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984"/>
        <w:spacing w:before="210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6"/>
        </w:rPr>
        <w:t>“东数西算”一周年：</w:t>
      </w:r>
    </w:p>
    <w:p>
      <w:pPr>
        <w:ind w:left="1098"/>
        <w:spacing w:before="97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实施进展、面临问题及相关建议</w:t>
      </w:r>
    </w:p>
    <w:p>
      <w:pPr>
        <w:ind w:left="1880"/>
        <w:spacing w:before="331" w:line="210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9"/>
        </w:rPr>
        <w:t>文/</w:t>
      </w:r>
      <w:r>
        <w:rPr>
          <w:rFonts w:ascii="STKaiti" w:hAnsi="STKaiti" w:eastAsia="STKaiti" w:cs="STKaiti"/>
          <w:sz w:val="30"/>
          <w:szCs w:val="30"/>
          <w:spacing w:val="23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熊小明</w:t>
      </w:r>
      <w:r>
        <w:rPr>
          <w:rFonts w:ascii="STKaiti" w:hAnsi="STKaiti" w:eastAsia="STKaiti" w:cs="STKaiti"/>
          <w:sz w:val="30"/>
          <w:szCs w:val="30"/>
          <w:spacing w:val="17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王思博  孙雪媛</w:t>
      </w:r>
      <w:r>
        <w:rPr>
          <w:rFonts w:ascii="STKaiti" w:hAnsi="STKaiti" w:eastAsia="STKaiti" w:cs="STKaiti"/>
          <w:sz w:val="30"/>
          <w:szCs w:val="30"/>
          <w:spacing w:val="20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9"/>
        </w:rPr>
        <w:t>陈元谋</w:t>
      </w:r>
    </w:p>
    <w:p>
      <w:pPr>
        <w:spacing w:line="402" w:lineRule="auto"/>
        <w:rPr>
          <w:rFonts w:ascii="Arial"/>
          <w:sz w:val="21"/>
        </w:rPr>
      </w:pPr>
      <w:r/>
    </w:p>
    <w:p>
      <w:pPr>
        <w:ind w:left="34" w:right="3" w:firstLine="568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11"/>
        </w:rPr>
        <w:t>“东数西算”工程是加快数字中国建设、落实数字经济发展、</w:t>
      </w:r>
      <w:r>
        <w:rPr>
          <w:rFonts w:ascii="FangSong" w:hAnsi="FangSong" w:eastAsia="FangSong" w:cs="FangSong"/>
          <w:sz w:val="30"/>
          <w:szCs w:val="30"/>
          <w:spacing w:val="-4"/>
        </w:rPr>
        <w:t>实现数据中心行业高质量发展的重要举措。“东数西算”</w:t>
      </w:r>
      <w:r>
        <w:rPr>
          <w:rFonts w:ascii="FangSong" w:hAnsi="FangSong" w:eastAsia="FangSong" w:cs="FangSong"/>
          <w:sz w:val="30"/>
          <w:szCs w:val="30"/>
          <w:spacing w:val="-5"/>
        </w:rPr>
        <w:t>工程从</w:t>
      </w:r>
      <w:r>
        <w:rPr>
          <w:rFonts w:ascii="FangSong" w:hAnsi="FangSong" w:eastAsia="FangSong" w:cs="FangSong"/>
          <w:sz w:val="30"/>
          <w:szCs w:val="30"/>
          <w:spacing w:val="-11"/>
        </w:rPr>
        <w:t>系统布局进入全面建设，历时一年时间，数据中心项目不断推出，</w:t>
      </w:r>
      <w:r>
        <w:rPr>
          <w:rFonts w:ascii="FangSong" w:hAnsi="FangSong" w:eastAsia="FangSong" w:cs="FangSong"/>
          <w:sz w:val="30"/>
          <w:szCs w:val="30"/>
          <w:spacing w:val="-4"/>
        </w:rPr>
        <w:t>算力资源结构日趋完善，算力产业底座持续夯实，持</w:t>
      </w:r>
      <w:r>
        <w:rPr>
          <w:rFonts w:ascii="FangSong" w:hAnsi="FangSong" w:eastAsia="FangSong" w:cs="FangSong"/>
          <w:sz w:val="30"/>
          <w:szCs w:val="30"/>
          <w:spacing w:val="-5"/>
        </w:rPr>
        <w:t>续赋能千行</w:t>
      </w:r>
      <w:r>
        <w:rPr>
          <w:rFonts w:ascii="FangSong" w:hAnsi="FangSong" w:eastAsia="FangSong" w:cs="FangSong"/>
          <w:sz w:val="30"/>
          <w:szCs w:val="30"/>
          <w:spacing w:val="-4"/>
        </w:rPr>
        <w:t>百业数字化转型。全面评估“东数西算”一周年取得</w:t>
      </w:r>
      <w:r>
        <w:rPr>
          <w:rFonts w:ascii="FangSong" w:hAnsi="FangSong" w:eastAsia="FangSong" w:cs="FangSong"/>
          <w:sz w:val="30"/>
          <w:szCs w:val="30"/>
          <w:spacing w:val="-5"/>
        </w:rPr>
        <w:t>成效，剖析</w:t>
      </w:r>
      <w:r>
        <w:rPr>
          <w:rFonts w:ascii="FangSong" w:hAnsi="FangSong" w:eastAsia="FangSong" w:cs="FangSong"/>
          <w:sz w:val="30"/>
          <w:szCs w:val="30"/>
          <w:spacing w:val="-4"/>
        </w:rPr>
        <w:t>工程落地存在问题，并提出中国电信优化布局、打造示范</w:t>
      </w:r>
      <w:r>
        <w:rPr>
          <w:rFonts w:ascii="FangSong" w:hAnsi="FangSong" w:eastAsia="FangSong" w:cs="FangSong"/>
          <w:sz w:val="30"/>
          <w:szCs w:val="30"/>
          <w:spacing w:val="-5"/>
        </w:rPr>
        <w:t>、绿色</w:t>
      </w:r>
      <w:r>
        <w:rPr>
          <w:rFonts w:ascii="FangSong" w:hAnsi="FangSong" w:eastAsia="FangSong" w:cs="FangSong"/>
          <w:sz w:val="30"/>
          <w:szCs w:val="30"/>
          <w:spacing w:val="-3"/>
        </w:rPr>
        <w:t>发展、技术创新等建议，助力“东数西算”工程落地。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一、工程实施进展及成效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2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．区域政策统领，重大项目不断落地，集约化布局加速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firstLine="409"/>
        <w:spacing w:line="2303" w:lineRule="exact"/>
        <w:rPr/>
      </w:pPr>
      <w:r>
        <w:rPr>
          <w:position w:val="-46"/>
        </w:rPr>
        <w:drawing>
          <wp:inline distT="0" distB="0" distL="0" distR="0">
            <wp:extent cx="4974532" cy="146214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4532" cy="14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52"/>
        <w:spacing w:before="318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7"/>
        </w:rPr>
        <w:t>图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-7"/>
        </w:rPr>
        <w:t>1</w:t>
      </w:r>
      <w:r>
        <w:rPr>
          <w:rFonts w:ascii="KaiTi" w:hAnsi="KaiTi" w:eastAsia="KaiTi" w:cs="KaiTi"/>
          <w:sz w:val="30"/>
          <w:szCs w:val="30"/>
          <w:spacing w:val="20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7"/>
        </w:rPr>
        <w:t>东数西算启动一年来项目数量统计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 w:right="106" w:firstLine="598"/>
        <w:spacing w:before="97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地方政府算力网络相关的发展实施方案。东部更多落</w:t>
      </w:r>
      <w:r>
        <w:rPr>
          <w:rFonts w:ascii="SimSun" w:hAnsi="SimSun" w:eastAsia="SimSun" w:cs="SimSun"/>
          <w:sz w:val="30"/>
          <w:szCs w:val="30"/>
          <w:spacing w:val="-5"/>
        </w:rPr>
        <w:t>地在数</w:t>
      </w:r>
      <w:r>
        <w:rPr>
          <w:rFonts w:ascii="SimSun" w:hAnsi="SimSun" w:eastAsia="SimSun" w:cs="SimSun"/>
          <w:sz w:val="30"/>
          <w:szCs w:val="30"/>
          <w:spacing w:val="-9"/>
        </w:rPr>
        <w:t>字经济整体发展，建设超算、智算算力为主， 西部更多立足数据</w:t>
      </w:r>
      <w:r>
        <w:rPr>
          <w:rFonts w:ascii="SimSun" w:hAnsi="SimSun" w:eastAsia="SimSun" w:cs="SimSun"/>
          <w:sz w:val="30"/>
          <w:szCs w:val="30"/>
          <w:spacing w:val="-3"/>
        </w:rPr>
        <w:t>中心集群建设和发展，吸引上下游企业入驻。</w:t>
      </w:r>
    </w:p>
    <w:p>
      <w:pPr>
        <w:ind w:left="25" w:firstLine="599"/>
        <w:spacing w:before="272" w:line="261" w:lineRule="auto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shape id="_x0000_s2" style="position:absolute;margin-left:0.72599pt;margin-top:60.945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rFonts w:ascii="SimSun" w:hAnsi="SimSun" w:eastAsia="SimSun" w:cs="SimSun"/>
          <w:sz w:val="30"/>
          <w:szCs w:val="30"/>
          <w:spacing w:val="-4"/>
        </w:rPr>
        <w:t>业界普遍关注的重大项目持续推进。近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年来全国新开工、</w:t>
      </w:r>
      <w:r>
        <w:rPr>
          <w:rFonts w:ascii="SimSun" w:hAnsi="SimSun" w:eastAsia="SimSun" w:cs="SimSun"/>
          <w:sz w:val="30"/>
          <w:szCs w:val="30"/>
          <w:spacing w:val="-5"/>
        </w:rPr>
        <w:t>在建、封顶或投产的数据中心项目超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160 </w:t>
      </w:r>
      <w:r>
        <w:rPr>
          <w:rFonts w:ascii="SimSun" w:hAnsi="SimSun" w:eastAsia="SimSun" w:cs="SimSun"/>
          <w:sz w:val="30"/>
          <w:szCs w:val="30"/>
          <w:spacing w:val="-5"/>
        </w:rPr>
        <w:t>个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5"/>
        </w:rPr>
        <w:t>，其中七成落地在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8</w:t>
      </w:r>
    </w:p>
    <w:p>
      <w:pPr>
        <w:ind w:left="22"/>
        <w:spacing w:before="235" w:line="296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1"/>
          <w:position w:val="12"/>
        </w:rPr>
        <w:t>1</w:t>
      </w:r>
      <w:r>
        <w:rPr>
          <w:rFonts w:ascii="DengXian" w:hAnsi="DengXian" w:eastAsia="DengXian" w:cs="DengXian"/>
          <w:sz w:val="11"/>
          <w:szCs w:val="11"/>
          <w:spacing w:val="9"/>
          <w:w w:val="101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1"/>
          <w:position w:val="2"/>
        </w:rPr>
        <w:t>数据来源：21 世纪经济报道基于公开市场数据统计。</w:t>
      </w:r>
    </w:p>
    <w:p>
      <w:pPr>
        <w:spacing w:line="296" w:lineRule="exact"/>
        <w:sectPr>
          <w:pgSz w:w="11907" w:h="16839"/>
          <w:pgMar w:top="1431" w:right="1692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pStyle w:val="BodyText"/>
        <w:ind w:left="23" w:right="85" w:firstLine="6"/>
        <w:spacing w:before="86" w:line="255" w:lineRule="auto"/>
        <w:jc w:val="both"/>
        <w:rPr/>
      </w:pPr>
      <w:r>
        <w:rPr>
          <w:spacing w:val="-1"/>
        </w:rPr>
        <w:t>大国家枢纽节点。</w:t>
      </w:r>
      <w:r>
        <w:rPr>
          <w:rFonts w:ascii="Times New Roman" w:hAnsi="Times New Roman" w:eastAsia="Times New Roman" w:cs="Times New Roman"/>
          <w:spacing w:val="-1"/>
        </w:rPr>
        <w:t>2022 </w:t>
      </w:r>
      <w:r>
        <w:rPr>
          <w:spacing w:val="-1"/>
        </w:rPr>
        <w:t>年枢纽节点新</w:t>
      </w:r>
      <w:r>
        <w:rPr>
          <w:spacing w:val="-2"/>
        </w:rPr>
        <w:t>开工项目近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70 </w:t>
      </w:r>
      <w:r>
        <w:rPr>
          <w:spacing w:val="-2"/>
        </w:rPr>
        <w:t>个，新建数</w:t>
      </w:r>
      <w:r>
        <w:rPr>
          <w:spacing w:val="-5"/>
        </w:rPr>
        <w:t>据中心规模达到 </w:t>
      </w:r>
      <w:r>
        <w:rPr>
          <w:rFonts w:ascii="Times New Roman" w:hAnsi="Times New Roman" w:eastAsia="Times New Roman" w:cs="Times New Roman"/>
          <w:spacing w:val="-5"/>
        </w:rPr>
        <w:t>150</w:t>
      </w:r>
      <w:r>
        <w:rPr>
          <w:rFonts w:ascii="Times New Roman" w:hAnsi="Times New Roman" w:eastAsia="Times New Roman" w:cs="Times New Roman"/>
          <w:spacing w:val="42"/>
          <w:w w:val="101"/>
        </w:rPr>
        <w:t xml:space="preserve"> </w:t>
      </w:r>
      <w:r>
        <w:rPr>
          <w:spacing w:val="-5"/>
        </w:rPr>
        <w:t>万标准机架，其中西部</w:t>
      </w:r>
      <w:r>
        <w:rPr>
          <w:spacing w:val="-4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60</w:t>
      </w:r>
      <w:r>
        <w:rPr>
          <w:rFonts w:ascii="Times New Roman" w:hAnsi="Times New Roman" w:eastAsia="Times New Roman" w:cs="Times New Roman"/>
          <w:spacing w:val="34"/>
        </w:rPr>
        <w:t xml:space="preserve"> </w:t>
      </w:r>
      <w:r>
        <w:rPr>
          <w:spacing w:val="-5"/>
        </w:rPr>
        <w:t>万架（规模同比</w:t>
      </w:r>
      <w:r>
        <w:rPr>
          <w:spacing w:val="-3"/>
        </w:rPr>
        <w:t>翻了一番</w:t>
      </w:r>
      <w:r>
        <w:rPr>
          <w:spacing w:val="-65"/>
        </w:rPr>
        <w:t>），</w:t>
      </w:r>
      <w:r>
        <w:rPr>
          <w:spacing w:val="-3"/>
        </w:rPr>
        <w:t>数据中心规模化、集约化布局加速升级。</w:t>
      </w:r>
    </w:p>
    <w:p>
      <w:pPr>
        <w:pStyle w:val="BodyText"/>
        <w:ind w:left="624"/>
        <w:spacing w:before="2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．企业积极跟进，运营商成建设主力，东西部协同显现</w:t>
      </w:r>
    </w:p>
    <w:p>
      <w:pPr>
        <w:pStyle w:val="BodyText"/>
        <w:ind w:left="29" w:right="86" w:firstLine="596"/>
        <w:spacing w:before="319" w:line="260" w:lineRule="auto"/>
        <w:jc w:val="both"/>
        <w:rPr/>
      </w:pPr>
      <w:r>
        <w:rPr>
          <w:spacing w:val="-10"/>
        </w:rPr>
        <w:t>三家基础电信运营商，腾讯、阿里、华为等互联网企业， 万</w:t>
      </w:r>
      <w:r>
        <w:rPr>
          <w:spacing w:val="-1"/>
        </w:rPr>
        <w:t>国数据、世纪互联等第三方 </w:t>
      </w:r>
      <w:r>
        <w:rPr>
          <w:rFonts w:ascii="Times New Roman" w:hAnsi="Times New Roman" w:eastAsia="Times New Roman" w:cs="Times New Roman"/>
          <w:spacing w:val="-1"/>
        </w:rPr>
        <w:t>IDC  </w:t>
      </w:r>
      <w:r>
        <w:rPr>
          <w:spacing w:val="-1"/>
        </w:rPr>
        <w:t>企业，围绕集群加快规划和布</w:t>
      </w:r>
      <w:r>
        <w:rPr>
          <w:spacing w:val="-4"/>
        </w:rPr>
        <w:t>局，加大征地、数据中心、算力和网络建设。从公开的重大项目</w:t>
      </w:r>
      <w:r>
        <w:rPr>
          <w:spacing w:val="-1"/>
        </w:rPr>
        <w:t>统计，电信运营商、云服务商投资占比较大。</w:t>
      </w:r>
    </w:p>
    <w:p>
      <w:pPr>
        <w:pStyle w:val="BodyText"/>
        <w:ind w:left="25" w:right="85" w:firstLine="601"/>
        <w:spacing w:before="272" w:line="258" w:lineRule="auto"/>
        <w:jc w:val="both"/>
        <w:rPr/>
      </w:pPr>
      <w:r>
        <w:rPr>
          <w:spacing w:val="1"/>
        </w:rPr>
        <w:t>根据通信业统计公报，</w:t>
      </w:r>
      <w:r>
        <w:rPr>
          <w:rFonts w:ascii="Times New Roman" w:hAnsi="Times New Roman" w:eastAsia="Times New Roman" w:cs="Times New Roman"/>
          <w:spacing w:val="1"/>
        </w:rPr>
        <w:t>2022  </w:t>
      </w:r>
      <w:r>
        <w:rPr>
          <w:spacing w:val="1"/>
        </w:rPr>
        <w:t>年底三家电信运营商对外服务</w:t>
      </w:r>
      <w:r>
        <w:rPr>
          <w:spacing w:val="-4"/>
        </w:rPr>
        <w:t>的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IDC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4"/>
        </w:rPr>
        <w:t>机架数比上年末净增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8.4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万个（中西部省份占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27%</w:t>
      </w:r>
      <w:r>
        <w:rPr>
          <w:spacing w:val="-69"/>
        </w:rPr>
        <w:t>），</w:t>
      </w:r>
      <w:r>
        <w:rPr>
          <w:spacing w:val="-4"/>
        </w:rPr>
        <w:t>对</w:t>
      </w:r>
      <w:r>
        <w:rPr>
          <w:spacing w:val="-4"/>
        </w:rPr>
        <w:t>外提供的算力规模超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18</w:t>
      </w:r>
      <w:r>
        <w:rPr>
          <w:rFonts w:ascii="Times New Roman" w:hAnsi="Times New Roman" w:eastAsia="Times New Roman" w:cs="Times New Roman"/>
          <w:spacing w:val="23"/>
        </w:rPr>
        <w:t xml:space="preserve"> </w:t>
      </w:r>
      <w:r>
        <w:rPr>
          <w:spacing w:val="-4"/>
        </w:rPr>
        <w:t>百亿亿次</w:t>
      </w:r>
      <w:r>
        <w:rPr>
          <w:rFonts w:ascii="Times New Roman" w:hAnsi="Times New Roman" w:eastAsia="Times New Roman" w:cs="Times New Roman"/>
          <w:spacing w:val="-4"/>
        </w:rPr>
        <w:t>/</w:t>
      </w:r>
      <w:r>
        <w:rPr>
          <w:spacing w:val="-4"/>
        </w:rPr>
        <w:t>秒（</w:t>
      </w:r>
      <w:r>
        <w:rPr>
          <w:rFonts w:ascii="Times New Roman" w:hAnsi="Times New Roman" w:eastAsia="Times New Roman" w:cs="Times New Roman"/>
          <w:spacing w:val="-4"/>
        </w:rPr>
        <w:t>EFLOPS</w:t>
      </w:r>
      <w:r>
        <w:rPr>
          <w:spacing w:val="-80"/>
        </w:rPr>
        <w:t>），</w:t>
      </w:r>
      <w:r>
        <w:rPr>
          <w:spacing w:val="-4"/>
        </w:rPr>
        <w:t>并分别启动打</w:t>
      </w:r>
      <w:r>
        <w:rPr>
          <w:spacing w:val="-1"/>
        </w:rPr>
        <w:t>造多层次 </w:t>
      </w:r>
      <w:r>
        <w:rPr>
          <w:rFonts w:ascii="Times New Roman" w:hAnsi="Times New Roman" w:eastAsia="Times New Roman" w:cs="Times New Roman"/>
          <w:spacing w:val="-1"/>
        </w:rPr>
        <w:t>DCI  </w:t>
      </w:r>
      <w:r>
        <w:rPr>
          <w:spacing w:val="-1"/>
        </w:rPr>
        <w:t>时延圈的通信网络计划。云服务商等积极布局中</w:t>
      </w:r>
      <w:r>
        <w:rPr>
          <w:spacing w:val="-4"/>
        </w:rPr>
        <w:t>西部，如阿里在成都和乌兰察布，腾讯在重庆和贵阳等，西部对</w:t>
      </w:r>
      <w:r>
        <w:rPr>
          <w:spacing w:val="-4"/>
        </w:rPr>
        <w:t>东部计算需求的支撑作用越发明显。</w:t>
      </w:r>
    </w:p>
    <w:p>
      <w:pPr>
        <w:pStyle w:val="BodyText"/>
        <w:ind w:left="621"/>
        <w:spacing w:before="28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．绿色低碳、算力网络示范引领，创新助推</w:t>
      </w:r>
      <w:r>
        <w:rPr>
          <w:b/>
          <w:bCs/>
          <w:spacing w:val="-3"/>
        </w:rPr>
        <w:t>产业集聚发展</w:t>
      </w:r>
    </w:p>
    <w:p>
      <w:pPr>
        <w:pStyle w:val="BodyText"/>
        <w:ind w:left="27" w:right="79" w:firstLine="598"/>
        <w:spacing w:before="318" w:line="257" w:lineRule="auto"/>
        <w:jc w:val="both"/>
        <w:rPr/>
      </w:pPr>
      <w:r>
        <w:rPr>
          <w:spacing w:val="-2"/>
        </w:rPr>
        <w:t>全国一体化大数据中心的硬指标（东西集群 </w:t>
      </w:r>
      <w:r>
        <w:rPr>
          <w:rFonts w:ascii="Times New Roman" w:hAnsi="Times New Roman" w:eastAsia="Times New Roman" w:cs="Times New Roman"/>
          <w:spacing w:val="-2"/>
        </w:rPr>
        <w:t>PUE</w:t>
      </w:r>
      <w:r>
        <w:rPr>
          <w:rFonts w:ascii="Times New Roman" w:hAnsi="Times New Roman" w:eastAsia="Times New Roman" w:cs="Times New Roman"/>
          <w:spacing w:val="60"/>
        </w:rPr>
        <w:t xml:space="preserve"> </w:t>
      </w:r>
      <w:r>
        <w:rPr>
          <w:spacing w:val="-2"/>
        </w:rPr>
        <w:t>分</w:t>
      </w:r>
      <w:r>
        <w:rPr>
          <w:spacing w:val="-3"/>
        </w:rPr>
        <w:t>别小于</w:t>
      </w:r>
      <w:r>
        <w:rPr>
          <w:rFonts w:ascii="Times New Roman" w:hAnsi="Times New Roman" w:eastAsia="Times New Roman" w:cs="Times New Roman"/>
          <w:spacing w:val="-6"/>
        </w:rPr>
        <w:t>1.25 </w:t>
      </w:r>
      <w:r>
        <w:rPr>
          <w:spacing w:val="-6"/>
        </w:rPr>
        <w:t>和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1.2</w:t>
      </w:r>
      <w:r>
        <w:rPr>
          <w:spacing w:val="-75"/>
          <w:w w:val="94"/>
        </w:rPr>
        <w:t>），</w:t>
      </w:r>
      <w:r>
        <w:rPr>
          <w:spacing w:val="-6"/>
        </w:rPr>
        <w:t>加快了间接蒸发冷、液冷、</w:t>
      </w:r>
      <w:r>
        <w:rPr>
          <w:rFonts w:ascii="Times New Roman" w:hAnsi="Times New Roman" w:eastAsia="Times New Roman" w:cs="Times New Roman"/>
          <w:spacing w:val="-6"/>
        </w:rPr>
        <w:t>AI </w:t>
      </w:r>
      <w:r>
        <w:rPr>
          <w:spacing w:val="-6"/>
        </w:rPr>
        <w:t>节能、模块化等试点</w:t>
      </w:r>
      <w:r>
        <w:rPr>
          <w:spacing w:val="-12"/>
        </w:rPr>
        <w:t>和应用，</w:t>
      </w:r>
      <w:r>
        <w:rPr>
          <w:rFonts w:ascii="Times New Roman" w:hAnsi="Times New Roman" w:eastAsia="Times New Roman" w:cs="Times New Roman"/>
          <w:spacing w:val="-12"/>
        </w:rPr>
        <w:t>22 </w:t>
      </w:r>
      <w:r>
        <w:rPr>
          <w:spacing w:val="-12"/>
        </w:rPr>
        <w:t>年在用大型、超大型数据中心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PUE </w:t>
      </w:r>
      <w:r>
        <w:rPr>
          <w:spacing w:val="-12"/>
        </w:rPr>
        <w:t>可下降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17%</w:t>
      </w:r>
      <w:r>
        <w:rPr>
          <w:spacing w:val="-12"/>
        </w:rPr>
        <w:t>和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10%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spacing w:val="-15"/>
        </w:rPr>
        <w:t>（相比 </w:t>
      </w:r>
      <w:r>
        <w:rPr>
          <w:rFonts w:ascii="Times New Roman" w:hAnsi="Times New Roman" w:eastAsia="Times New Roman" w:cs="Times New Roman"/>
          <w:spacing w:val="-15"/>
        </w:rPr>
        <w:t>17 </w:t>
      </w:r>
      <w:r>
        <w:rPr>
          <w:spacing w:val="-15"/>
        </w:rPr>
        <w:t>年）。青海河湟、甘肃庆阳等零碳产业园示范启动</w:t>
      </w:r>
      <w:r>
        <w:rPr>
          <w:spacing w:val="-16"/>
        </w:rPr>
        <w:t>， 推</w:t>
      </w:r>
      <w:r>
        <w:rPr>
          <w:spacing w:val="-3"/>
        </w:rPr>
        <w:t>动节能降碳从用电向发电、储电等环节延伸。</w:t>
      </w:r>
    </w:p>
    <w:p>
      <w:pPr>
        <w:pStyle w:val="BodyText"/>
        <w:ind w:left="28" w:right="85" w:firstLine="626"/>
        <w:spacing w:before="295" w:line="262" w:lineRule="auto"/>
        <w:rPr/>
      </w:pPr>
      <w:r>
        <w:rPr>
          <w:spacing w:val="-6"/>
        </w:rPr>
        <w:t>国内首个一体化算力交易调度平台，于今年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2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6"/>
        </w:rPr>
        <w:t>月在</w:t>
      </w:r>
      <w:r>
        <w:rPr>
          <w:spacing w:val="-7"/>
        </w:rPr>
        <w:t>宁夏正式</w:t>
      </w:r>
      <w:r>
        <w:rPr>
          <w:spacing w:val="-4"/>
        </w:rPr>
        <w:t>上线，面向企业数字化需求提供“一站式”算力服务订购，实现</w:t>
      </w:r>
      <w:r>
        <w:rPr>
          <w:spacing w:val="-16"/>
        </w:rPr>
        <w:t>算力、数据的自由流通、按需配置、有效共享。目前曙光、华为、</w:t>
      </w:r>
      <w:r>
        <w:rPr>
          <w:spacing w:val="-9"/>
        </w:rPr>
        <w:t>阿里云、天翼云等算力企业， 国家信息中心等大数据机构，以及</w:t>
      </w:r>
      <w:r>
        <w:rPr>
          <w:spacing w:val="-2"/>
        </w:rPr>
        <w:t>商汤、百度等大模型头部企业，共计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27 </w:t>
      </w:r>
      <w:r>
        <w:rPr>
          <w:spacing w:val="-2"/>
        </w:rPr>
        <w:t>家企业入驻该平台。</w:t>
      </w:r>
    </w:p>
    <w:p>
      <w:pPr>
        <w:spacing w:line="321" w:lineRule="auto"/>
        <w:rPr>
          <w:rFonts w:ascii="Arial"/>
          <w:sz w:val="21"/>
        </w:rPr>
      </w:pPr>
      <w:r/>
    </w:p>
    <w:p>
      <w:pPr>
        <w:ind w:left="675"/>
        <w:spacing w:before="101" w:line="225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二、产业面临问题和挑战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spacing w:before="98" w:line="220" w:lineRule="auto"/>
        <w:jc w:val="right"/>
        <w:rPr/>
      </w:pPr>
      <w:r>
        <w:rPr>
          <w:spacing w:val="-1"/>
        </w:rPr>
        <w:t>我国“东数西算”工程涉及区域跨度大、领域广、主体多，</w:t>
      </w:r>
    </w:p>
    <w:p>
      <w:pPr>
        <w:spacing w:line="220" w:lineRule="auto"/>
        <w:sectPr>
          <w:pgSz w:w="11907" w:h="16839"/>
          <w:pgMar w:top="1431" w:right="1712" w:bottom="0" w:left="1785" w:header="0" w:footer="0" w:gutter="0"/>
        </w:sectPr>
        <w:rPr/>
      </w:pPr>
    </w:p>
    <w:p>
      <w:pPr>
        <w:pStyle w:val="BodyText"/>
        <w:ind w:left="30" w:right="277" w:hanging="3"/>
        <w:spacing w:before="85" w:line="261" w:lineRule="auto"/>
        <w:rPr/>
      </w:pPr>
      <w:r>
        <w:rPr>
          <w:spacing w:val="-10"/>
        </w:rPr>
        <w:t>规模大、技术复杂， 落地过程中仍面临诸多现实问题，亟需国家</w:t>
      </w:r>
      <w:r>
        <w:rPr>
          <w:spacing w:val="-2"/>
        </w:rPr>
        <w:t>发挥统筹调控职能，加大扶持力度，全局谋划</w:t>
      </w:r>
      <w:r>
        <w:rPr>
          <w:spacing w:val="-3"/>
        </w:rPr>
        <w:t>、系统推进。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．集群建设方面，存在同质化、盲目性发展问题</w:t>
      </w:r>
    </w:p>
    <w:p>
      <w:pPr>
        <w:pStyle w:val="BodyText"/>
        <w:ind w:left="27" w:firstLine="597"/>
        <w:spacing w:before="319" w:line="250" w:lineRule="auto"/>
        <w:rPr/>
      </w:pPr>
      <w:r>
        <w:rPr>
          <w:spacing w:val="-4"/>
        </w:rPr>
        <w:t>①各国家数据中心集群的定位、近一年推进动作甚至招商方</w:t>
      </w:r>
      <w:r>
        <w:rPr>
          <w:spacing w:val="-4"/>
        </w:rPr>
        <w:t>向，不同程度的出现同质化。规模化、同质化资源的供给势必加</w:t>
      </w:r>
      <w:r>
        <w:rPr>
          <w:spacing w:val="-12"/>
        </w:rPr>
        <w:t>剧低价竞争，如</w:t>
      </w:r>
      <w:r>
        <w:rPr>
          <w:spacing w:val="-76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22 </w:t>
      </w:r>
      <w:r>
        <w:rPr>
          <w:spacing w:val="-12"/>
        </w:rPr>
        <w:t>年</w:t>
      </w:r>
      <w:r>
        <w:rPr>
          <w:spacing w:val="-71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3 </w:t>
      </w:r>
      <w:r>
        <w:rPr>
          <w:spacing w:val="-12"/>
        </w:rPr>
        <w:t>季度，万国数据机架月租金同比已降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5.3%</w:t>
      </w:r>
      <w:r>
        <w:rPr>
          <w:spacing w:val="-12"/>
        </w:rPr>
        <w:t>。</w:t>
      </w:r>
    </w:p>
    <w:p>
      <w:pPr>
        <w:pStyle w:val="BodyText"/>
        <w:ind w:left="26" w:right="272" w:firstLine="597"/>
        <w:spacing w:before="321" w:line="246" w:lineRule="auto"/>
        <w:rPr/>
      </w:pPr>
      <w:r>
        <w:rPr>
          <w:spacing w:val="-5"/>
        </w:rPr>
        <w:t>②政策和资本推动，存在“抢地盘”、过度超前和重复建设</w:t>
      </w:r>
      <w:r>
        <w:rPr>
          <w:spacing w:val="-2"/>
        </w:rPr>
        <w:t>问题。人工智能火爆，超过</w:t>
      </w:r>
      <w:r>
        <w:rPr>
          <w:spacing w:val="-2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</w:t>
      </w:r>
      <w:r>
        <w:rPr>
          <w:rFonts w:ascii="Times New Roman" w:hAnsi="Times New Roman" w:eastAsia="Times New Roman" w:cs="Times New Roman"/>
          <w:spacing w:val="41"/>
          <w:w w:val="101"/>
        </w:rPr>
        <w:t xml:space="preserve"> </w:t>
      </w:r>
      <w:r>
        <w:rPr>
          <w:spacing w:val="-2"/>
        </w:rPr>
        <w:t>城市在建和规划新建智算中心，</w:t>
      </w:r>
      <w:r>
        <w:rPr>
          <w:spacing w:val="-1"/>
        </w:rPr>
        <w:t>甚至出现一个城市同建多个超算中心、智算中心现象。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9"/>
        </w:rPr>
        <w:t>2</w:t>
      </w:r>
      <w:r>
        <w:rPr>
          <w:b/>
          <w:bCs/>
          <w:spacing w:val="-9"/>
        </w:rPr>
        <w:t>．东西协同方面，“西算”非刚需，政策性驱动不够</w:t>
      </w:r>
    </w:p>
    <w:p>
      <w:pPr>
        <w:pStyle w:val="BodyText"/>
        <w:ind w:left="25" w:right="260" w:firstLine="599"/>
        <w:spacing w:before="323" w:line="245" w:lineRule="auto"/>
        <w:rPr/>
      </w:pPr>
      <w:r>
        <w:rPr>
          <w:spacing w:val="-4"/>
        </w:rPr>
        <w:t>①东部数据和业务向西部转移不是刚需，企业需调整战</w:t>
      </w:r>
      <w:r>
        <w:rPr>
          <w:spacing w:val="-5"/>
        </w:rPr>
        <w:t>略规</w:t>
      </w:r>
      <w:r>
        <w:rPr>
          <w:spacing w:val="-16"/>
        </w:rPr>
        <w:t>划，改变投资、营运和运维方式，故多持观望态</w:t>
      </w:r>
      <w:r>
        <w:rPr>
          <w:spacing w:val="-17"/>
        </w:rPr>
        <w:t>度。从市场角度，</w:t>
      </w:r>
      <w:r>
        <w:rPr>
          <w:spacing w:val="-2"/>
        </w:rPr>
        <w:t>目前尚未达到在西部比东部发展“综合成本”划算的临界点。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28" w:right="258" w:firstLine="595"/>
        <w:spacing w:before="99" w:line="246" w:lineRule="auto"/>
        <w:rPr/>
      </w:pPr>
      <w:r>
        <w:rPr>
          <w:spacing w:val="-4"/>
        </w:rPr>
        <w:t>②统筹政策和调控机制引导不强。大部分政策以优惠补贴形</w:t>
      </w:r>
      <w:r>
        <w:rPr>
          <w:spacing w:val="-15"/>
        </w:rPr>
        <w:t>式在结算端减免成本（如“算力券”、现金奖励</w:t>
      </w:r>
      <w:r>
        <w:rPr>
          <w:spacing w:val="-1"/>
        </w:rPr>
        <w:t>），</w:t>
      </w:r>
      <w:r>
        <w:rPr>
          <w:spacing w:val="-15"/>
        </w:rPr>
        <w:t>缺乏对西迁需</w:t>
      </w:r>
      <w:r>
        <w:rPr>
          <w:spacing w:val="-3"/>
        </w:rPr>
        <w:t>求创造和引领，如对特定业务和数据强制西迁要求。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．节能低碳方面，用电节能压力大，绿电降碳缺激励</w:t>
      </w:r>
    </w:p>
    <w:p>
      <w:pPr>
        <w:pStyle w:val="BodyText"/>
        <w:ind w:left="27" w:right="260" w:firstLine="597"/>
        <w:spacing w:before="321" w:line="250" w:lineRule="auto"/>
        <w:rPr/>
      </w:pPr>
      <w:r>
        <w:rPr>
          <w:spacing w:val="-4"/>
        </w:rPr>
        <w:t>①东部算力和用电需求不断释放，能耗指标成发展</w:t>
      </w:r>
      <w:r>
        <w:rPr>
          <w:spacing w:val="-5"/>
        </w:rPr>
        <w:t>瓶颈，如</w:t>
      </w:r>
      <w:r>
        <w:rPr>
          <w:spacing w:val="-4"/>
        </w:rPr>
        <w:t>江苏、浙江、重庆等部分园区需逐年滚动申请。节能新技术推广</w:t>
      </w:r>
      <w:r>
        <w:rPr>
          <w:spacing w:val="-2"/>
        </w:rPr>
        <w:t>成本高，如浸没式液冷比传统方式初始投入约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 </w:t>
      </w:r>
      <w:r>
        <w:rPr>
          <w:spacing w:val="-2"/>
        </w:rPr>
        <w:t>倍价</w:t>
      </w:r>
      <w:r>
        <w:rPr>
          <w:spacing w:val="-3"/>
        </w:rPr>
        <w:t>差。</w:t>
      </w:r>
    </w:p>
    <w:p>
      <w:pPr>
        <w:pStyle w:val="BodyText"/>
        <w:ind w:left="32" w:right="156" w:firstLine="591"/>
        <w:spacing w:before="324" w:line="245" w:lineRule="auto"/>
        <w:rPr/>
      </w:pPr>
      <w:r>
        <w:rPr>
          <w:spacing w:val="-11"/>
        </w:rPr>
        <w:t>②东部可再生能源规模小，绿电溢价较高，跨省交易</w:t>
      </w:r>
      <w:r>
        <w:rPr>
          <w:spacing w:val="-12"/>
        </w:rPr>
        <w:t>难度大，</w:t>
      </w:r>
      <w:r>
        <w:rPr>
          <w:spacing w:val="-4"/>
        </w:rPr>
        <w:t>交易方式不灵活，且可再生能源使用激励机制缺乏。如现数</w:t>
      </w:r>
      <w:r>
        <w:rPr>
          <w:spacing w:val="-5"/>
        </w:rPr>
        <w:t>据中</w:t>
      </w:r>
      <w:r>
        <w:rPr/>
        <w:t>心碳排放评价体系，未充分体现数据中心经</w:t>
      </w:r>
      <w:r>
        <w:rPr>
          <w:spacing w:val="-1"/>
        </w:rPr>
        <w:t>济效益和减碳效益。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．技术创新方面，算力网络技术和生态尚不成熟</w:t>
      </w:r>
    </w:p>
    <w:p>
      <w:pPr>
        <w:pStyle w:val="BodyText"/>
        <w:ind w:left="624"/>
        <w:spacing w:before="322" w:line="217" w:lineRule="auto"/>
        <w:rPr/>
      </w:pPr>
      <w:r>
        <w:rPr>
          <w:spacing w:val="-9"/>
        </w:rPr>
        <w:t>①实现全社会算力共享、流通和利用，</w:t>
      </w:r>
      <w:r>
        <w:rPr>
          <w:spacing w:val="-22"/>
        </w:rPr>
        <w:t xml:space="preserve"> </w:t>
      </w:r>
      <w:r>
        <w:rPr>
          <w:spacing w:val="-9"/>
        </w:rPr>
        <w:t>亟需构建泛在算力的</w:t>
      </w:r>
    </w:p>
    <w:p>
      <w:pPr>
        <w:spacing w:line="217" w:lineRule="auto"/>
        <w:sectPr>
          <w:pgSz w:w="11907" w:h="16839"/>
          <w:pgMar w:top="1431" w:right="1539" w:bottom="0" w:left="1785" w:header="0" w:footer="0" w:gutter="0"/>
        </w:sectPr>
        <w:rPr/>
      </w:pPr>
    </w:p>
    <w:p>
      <w:pPr>
        <w:pStyle w:val="BodyText"/>
        <w:ind w:left="54" w:right="56" w:hanging="21"/>
        <w:spacing w:before="88" w:line="253" w:lineRule="auto"/>
        <w:rPr/>
      </w:pPr>
      <w:r>
        <w:rPr>
          <w:spacing w:val="-8"/>
        </w:rPr>
        <w:t>统一标识和度量体系，实现算力和网络协同、跨</w:t>
      </w:r>
      <w:r>
        <w:rPr>
          <w:spacing w:val="-9"/>
        </w:rPr>
        <w:t>云商</w:t>
      </w:r>
      <w:r>
        <w:rPr>
          <w:rFonts w:ascii="Times New Roman" w:hAnsi="Times New Roman" w:eastAsia="Times New Roman" w:cs="Times New Roman"/>
          <w:spacing w:val="-9"/>
        </w:rPr>
        <w:t>/</w:t>
      </w:r>
      <w:r>
        <w:rPr>
          <w:spacing w:val="-9"/>
        </w:rPr>
        <w:t>多云协同、</w:t>
      </w:r>
      <w:r>
        <w:rPr>
          <w:spacing w:val="-3"/>
        </w:rPr>
        <w:t>中心和边缘协同调度，目前大部分仍处在研究和探</w:t>
      </w:r>
      <w:r>
        <w:rPr>
          <w:spacing w:val="-4"/>
        </w:rPr>
        <w:t>索阶段。</w:t>
      </w:r>
    </w:p>
    <w:p>
      <w:pPr>
        <w:pStyle w:val="BodyText"/>
        <w:ind w:left="23" w:right="12" w:firstLine="599"/>
        <w:spacing w:before="292" w:line="261" w:lineRule="auto"/>
        <w:jc w:val="both"/>
        <w:rPr/>
      </w:pPr>
      <w:r>
        <w:rPr>
          <w:spacing w:val="-1"/>
        </w:rPr>
        <w:t>②算力产业协同生态较弱。如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1"/>
        </w:rPr>
        <w:t>训练、推理和部署等阶段</w:t>
      </w:r>
      <w:r>
        <w:rPr>
          <w:spacing w:val="-16"/>
        </w:rPr>
        <w:t>的场景多元化、数据海量化，需定制不同高</w:t>
      </w:r>
      <w:r>
        <w:rPr>
          <w:spacing w:val="-17"/>
        </w:rPr>
        <w:t>弹性、高精度的算力，</w:t>
      </w:r>
      <w:r>
        <w:rPr>
          <w:spacing w:val="-3"/>
        </w:rPr>
        <w:t>但不同厂商产品平台、技术标准难以兼容和互通。</w:t>
      </w:r>
    </w:p>
    <w:p>
      <w:pPr>
        <w:spacing w:line="341" w:lineRule="auto"/>
        <w:rPr>
          <w:rFonts w:ascii="Arial"/>
          <w:sz w:val="21"/>
        </w:rPr>
      </w:pPr>
      <w:r/>
    </w:p>
    <w:p>
      <w:pPr>
        <w:ind w:left="676"/>
        <w:spacing w:before="100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三、对中国电信的策略建议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．打造集群本地化服务，优化多层次、多元化算力布局</w:t>
      </w:r>
    </w:p>
    <w:p>
      <w:pPr>
        <w:pStyle w:val="BodyText"/>
        <w:ind w:left="25" w:right="13" w:firstLine="605"/>
        <w:spacing w:before="323" w:line="259" w:lineRule="auto"/>
        <w:jc w:val="both"/>
        <w:rPr/>
      </w:pPr>
      <w:r>
        <w:rPr>
          <w:spacing w:val="-5"/>
        </w:rPr>
        <w:t>一是企业和政府共发力，聚焦本地数字化特色，加快集群本</w:t>
      </w:r>
      <w:r>
        <w:rPr>
          <w:spacing w:val="-4"/>
        </w:rPr>
        <w:t>地产业配套落地，打造一体化算力建设运营服务体系。二是围绕</w:t>
      </w:r>
      <w:r>
        <w:rPr>
          <w:spacing w:val="-4"/>
        </w:rPr>
        <w:t>枢纽节点，以访问时延为特征，构建与现有省内、边缘节点的多</w:t>
      </w:r>
      <w:r>
        <w:rPr>
          <w:spacing w:val="-2"/>
        </w:rPr>
        <w:t>层次集群，坚持以需定供原则，加快通算和智算多元化供给。</w:t>
      </w:r>
    </w:p>
    <w:p>
      <w:pPr>
        <w:pStyle w:val="BodyText"/>
        <w:ind w:left="624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2</w:t>
      </w:r>
      <w:r>
        <w:rPr>
          <w:b/>
          <w:bCs/>
          <w:spacing w:val="-4"/>
        </w:rPr>
        <w:t>．提升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</w:rPr>
        <w:t>DCI</w:t>
      </w:r>
      <w:r>
        <w:rPr>
          <w:rFonts w:ascii="Times New Roman" w:hAnsi="Times New Roman" w:eastAsia="Times New Roman" w:cs="Times New Roman"/>
          <w:b/>
          <w:bCs/>
          <w:spacing w:val="36"/>
        </w:rPr>
        <w:t xml:space="preserve"> </w:t>
      </w:r>
      <w:r>
        <w:rPr>
          <w:b/>
          <w:bCs/>
          <w:spacing w:val="-4"/>
        </w:rPr>
        <w:t>网络服务能力，推进“西算”场景示范应用</w:t>
      </w:r>
    </w:p>
    <w:p>
      <w:pPr>
        <w:pStyle w:val="BodyText"/>
        <w:ind w:left="28" w:right="12" w:firstLine="602"/>
        <w:spacing w:before="320" w:line="260" w:lineRule="auto"/>
        <w:jc w:val="both"/>
        <w:rPr/>
      </w:pPr>
      <w:r>
        <w:rPr>
          <w:spacing w:val="-8"/>
        </w:rPr>
        <w:t>一是发挥网络优势，构建基于专线、专网形态的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DCI</w:t>
      </w:r>
      <w:r>
        <w:rPr>
          <w:rFonts w:ascii="Times New Roman" w:hAnsi="Times New Roman" w:eastAsia="Times New Roman" w:cs="Times New Roman"/>
          <w:spacing w:val="19"/>
          <w:w w:val="101"/>
        </w:rPr>
        <w:t xml:space="preserve"> </w:t>
      </w:r>
      <w:r>
        <w:rPr>
          <w:spacing w:val="-8"/>
        </w:rPr>
        <w:t>互联能</w:t>
      </w:r>
      <w:r>
        <w:rPr>
          <w:spacing w:val="-9"/>
        </w:rPr>
        <w:t>力，以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API </w:t>
      </w:r>
      <w:r>
        <w:rPr>
          <w:spacing w:val="-9"/>
        </w:rPr>
        <w:t>方式开放云网编排调度能力。二是依托国家云，</w:t>
      </w:r>
      <w:r>
        <w:rPr>
          <w:spacing w:val="-31"/>
        </w:rPr>
        <w:t xml:space="preserve"> </w:t>
      </w:r>
      <w:r>
        <w:rPr>
          <w:spacing w:val="-9"/>
        </w:rPr>
        <w:t>加大</w:t>
      </w:r>
      <w:r>
        <w:rPr>
          <w:spacing w:val="-1"/>
        </w:rPr>
        <w:t>行业合作，面向客服语音模型、视觉模型等大数据</w:t>
      </w:r>
      <w:r>
        <w:rPr>
          <w:spacing w:val="-2"/>
        </w:rPr>
        <w:t>推理和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2"/>
        </w:rPr>
        <w:t>训</w:t>
      </w:r>
      <w:r>
        <w:rPr>
          <w:spacing w:val="-4"/>
        </w:rPr>
        <w:t>练，探索西迁场景的业务逻辑架构、算力匹配调度、低成本部署</w:t>
      </w:r>
      <w:r>
        <w:rPr>
          <w:spacing w:val="-13"/>
        </w:rPr>
        <w:t>实践。</w:t>
      </w:r>
    </w:p>
    <w:p>
      <w:pPr>
        <w:pStyle w:val="BodyText"/>
        <w:ind w:left="621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．提高能耗指标获取效率，探索跨省用电交易模式</w:t>
      </w:r>
    </w:p>
    <w:p>
      <w:pPr>
        <w:pStyle w:val="BodyText"/>
        <w:ind w:left="25" w:right="13" w:firstLine="615"/>
        <w:spacing w:before="320" w:line="260" w:lineRule="auto"/>
        <w:jc w:val="both"/>
        <w:rPr/>
      </w:pPr>
      <w:r>
        <w:rPr>
          <w:spacing w:val="-5"/>
        </w:rPr>
        <w:t>多措并举提升能耗指标获取，如吸纳区域内（本地）云商及</w:t>
      </w:r>
      <w:r>
        <w:rPr>
          <w:spacing w:val="-8"/>
        </w:rPr>
        <w:t>互联网公司、产业上下游共同入驻，</w:t>
      </w:r>
      <w:r>
        <w:rPr>
          <w:spacing w:val="-34"/>
        </w:rPr>
        <w:t xml:space="preserve"> </w:t>
      </w:r>
      <w:r>
        <w:rPr>
          <w:spacing w:val="-8"/>
        </w:rPr>
        <w:t>加快绿色低碳发展承诺获得</w:t>
      </w:r>
      <w:r>
        <w:rPr>
          <w:spacing w:val="-4"/>
        </w:rPr>
        <w:t>优先权，参股地方政府成立的算力运营公司等。积极跟踪国家政</w:t>
      </w:r>
      <w:r>
        <w:rPr>
          <w:spacing w:val="-2"/>
        </w:rPr>
        <w:t>策，探索跨省绿电点对点交易、能耗指标互补交易等新模式。</w:t>
      </w:r>
    </w:p>
    <w:p>
      <w:pPr>
        <w:pStyle w:val="BodyText"/>
        <w:ind w:left="624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．加大关键技术创新，推进一体化算力网络调度建设</w:t>
      </w:r>
    </w:p>
    <w:p>
      <w:pPr>
        <w:pStyle w:val="BodyText"/>
        <w:ind w:left="27" w:right="12" w:firstLine="603"/>
        <w:spacing w:before="320" w:line="260" w:lineRule="auto"/>
        <w:jc w:val="both"/>
        <w:rPr/>
      </w:pPr>
      <w:r>
        <w:rPr>
          <w:spacing w:val="-10"/>
        </w:rPr>
        <w:t>一是持续攻关算力感知、封装和管理， 数据治理、云网安全</w:t>
      </w:r>
      <w:r>
        <w:rPr>
          <w:spacing w:val="-9"/>
        </w:rPr>
        <w:t>等核心技术。二是以算力并网为驱动， 建设多云统一监测、一体</w:t>
      </w:r>
      <w:r>
        <w:rPr>
          <w:spacing w:val="-9"/>
        </w:rPr>
        <w:t>化调度平台，建立算力、算网的跨区域协同联动机制， 实现算力</w:t>
      </w:r>
    </w:p>
    <w:p>
      <w:pPr>
        <w:spacing w:line="260" w:lineRule="auto"/>
        <w:sectPr>
          <w:pgSz w:w="11907" w:h="16839"/>
          <w:pgMar w:top="1431" w:right="1785" w:bottom="0" w:left="1785" w:header="0" w:footer="0" w:gutter="0"/>
        </w:sectPr>
        <w:rPr/>
      </w:pPr>
    </w:p>
    <w:p>
      <w:pPr>
        <w:pStyle w:val="BodyText"/>
        <w:ind w:left="49"/>
        <w:spacing w:before="87" w:line="220" w:lineRule="auto"/>
        <w:rPr/>
      </w:pPr>
      <w:r>
        <w:rPr>
          <w:spacing w:val="-9"/>
        </w:rPr>
        <w:t>网络一体化调度。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ind w:left="612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熊小明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硕士，高级工程师，在基础网络规划、数据中心发</w:t>
      </w:r>
    </w:p>
    <w:p>
      <w:pPr>
        <w:ind w:left="34" w:right="202" w:hanging="14"/>
        <w:spacing w:before="100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展、海外拓展运营、业务平台研发等领域耕耘</w:t>
      </w:r>
      <w:r>
        <w:rPr>
          <w:rFonts w:ascii="KaiTi" w:hAnsi="KaiTi" w:eastAsia="KaiTi" w:cs="KaiTi"/>
          <w:sz w:val="28"/>
          <w:szCs w:val="28"/>
          <w:spacing w:val="-1"/>
        </w:rPr>
        <w:t>多年，近年专注于算</w:t>
      </w:r>
      <w:r>
        <w:rPr>
          <w:rFonts w:ascii="KaiTi" w:hAnsi="KaiTi" w:eastAsia="KaiTi" w:cs="KaiTi"/>
          <w:sz w:val="28"/>
          <w:szCs w:val="28"/>
          <w:spacing w:val="-5"/>
        </w:rPr>
        <w:t>力基础设施、云网融合技术及产业研究。【13301</w:t>
      </w:r>
      <w:r>
        <w:rPr>
          <w:rFonts w:ascii="KaiTi" w:hAnsi="KaiTi" w:eastAsia="KaiTi" w:cs="KaiTi"/>
          <w:sz w:val="28"/>
          <w:szCs w:val="28"/>
          <w:spacing w:val="-6"/>
        </w:rPr>
        <w:t>168563】</w:t>
      </w:r>
    </w:p>
    <w:p>
      <w:pPr>
        <w:ind w:left="38" w:right="194" w:firstLine="555"/>
        <w:spacing w:before="278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王思博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硕士，中级经济师，长期研究新基建、数字经济、企</w:t>
      </w:r>
      <w:r>
        <w:rPr>
          <w:rFonts w:ascii="KaiTi" w:hAnsi="KaiTi" w:eastAsia="KaiTi" w:cs="KaiTi"/>
          <w:sz w:val="28"/>
          <w:szCs w:val="28"/>
          <w:spacing w:val="-1"/>
        </w:rPr>
        <w:t>业战略与运营等领域，近期专注于研究云网融合、算力基础设施</w:t>
      </w:r>
    </w:p>
    <w:p>
      <w:pPr>
        <w:ind w:left="27"/>
        <w:spacing w:before="2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3"/>
        </w:rPr>
        <w:t>等。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581"/>
        <w:spacing w:before="92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孙雪媛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硕士，云网融合研究中心工程师，主要从事数据中</w:t>
      </w:r>
    </w:p>
    <w:p>
      <w:pPr>
        <w:ind w:left="35"/>
        <w:spacing w:before="97" w:line="21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7"/>
        </w:rPr>
        <w:t>心、</w:t>
      </w:r>
      <w:r>
        <w:rPr>
          <w:rFonts w:ascii="KaiTi" w:hAnsi="KaiTi" w:eastAsia="KaiTi" w:cs="KaiTi"/>
          <w:sz w:val="28"/>
          <w:szCs w:val="28"/>
          <w:spacing w:val="-6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IP</w:t>
      </w:r>
      <w:r>
        <w:rPr>
          <w:rFonts w:ascii="KaiTi" w:hAnsi="KaiTi" w:eastAsia="KaiTi" w:cs="KaiTi"/>
          <w:sz w:val="28"/>
          <w:szCs w:val="28"/>
          <w:spacing w:val="-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7"/>
        </w:rPr>
        <w:t>网络等方向的研究及标准规范制定工作。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left="65" w:right="123" w:firstLine="542"/>
        <w:spacing w:before="91" w:line="27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4"/>
        </w:rPr>
        <w:t>陈元谋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4"/>
        </w:rPr>
        <w:t>硕士，云网融合研究中心团队总监，近年主要从事</w:t>
      </w:r>
      <w:r>
        <w:rPr>
          <w:rFonts w:ascii="KaiTi" w:hAnsi="KaiTi" w:eastAsia="KaiTi" w:cs="KaiTi"/>
          <w:sz w:val="28"/>
          <w:szCs w:val="28"/>
          <w:spacing w:val="-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4"/>
        </w:rPr>
        <w:t>IP</w:t>
      </w:r>
      <w:r>
        <w:rPr>
          <w:rFonts w:ascii="KaiTi" w:hAnsi="KaiTi" w:eastAsia="KaiTi" w:cs="KaiTi"/>
          <w:sz w:val="28"/>
          <w:szCs w:val="28"/>
          <w:spacing w:val="-4"/>
        </w:rPr>
        <w:t>网络、数据中心、云网等技术及行业研究。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2023-04-06T11:38:47Z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2025-11-04T14:20:26</vt:filetime>
  </property>
</Properties>
</file>