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92"/>
        <w:spacing w:before="210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“双百行动”央企标杆研究与启示</w:t>
      </w:r>
    </w:p>
    <w:p>
      <w:pPr>
        <w:ind w:left="2031"/>
        <w:spacing w:before="330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邓丽华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李一明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田盼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张云霞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34" w:right="15" w:firstLine="586"/>
        <w:spacing w:before="98" w:line="33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年</w:t>
      </w:r>
      <w:r>
        <w:rPr>
          <w:rFonts w:ascii="FangSong" w:hAnsi="FangSong" w:eastAsia="FangSong" w:cs="FangSong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月，国资委发布《关于印发中央企业所属“双百企</w:t>
      </w:r>
      <w:r>
        <w:rPr>
          <w:rFonts w:ascii="FangSong" w:hAnsi="FangSong" w:eastAsia="FangSong" w:cs="FangSong"/>
          <w:sz w:val="30"/>
          <w:szCs w:val="30"/>
          <w:spacing w:val="-9"/>
        </w:rPr>
        <w:t>业”“科改企业”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2022  </w:t>
      </w:r>
      <w:r>
        <w:rPr>
          <w:rFonts w:ascii="FangSong" w:hAnsi="FangSong" w:eastAsia="FangSong" w:cs="FangSong"/>
          <w:sz w:val="30"/>
          <w:szCs w:val="30"/>
          <w:spacing w:val="-9"/>
        </w:rPr>
        <w:t>年度专项考核结果的通知》（下文称“通</w:t>
      </w:r>
      <w:r>
        <w:rPr>
          <w:rFonts w:ascii="FangSong" w:hAnsi="FangSong" w:eastAsia="FangSong" w:cs="FangSong"/>
          <w:sz w:val="30"/>
          <w:szCs w:val="30"/>
          <w:spacing w:val="-24"/>
        </w:rPr>
        <w:t>知”）。新一轮国企改革深化提升行动开启，“双百行动”“科改行</w:t>
      </w:r>
      <w:r>
        <w:rPr>
          <w:rFonts w:ascii="FangSong" w:hAnsi="FangSong" w:eastAsia="FangSong" w:cs="FangSong"/>
          <w:sz w:val="30"/>
          <w:szCs w:val="30"/>
          <w:spacing w:val="-11"/>
        </w:rPr>
        <w:t>动”两大专项工程双双扩围。本文将聚焦“双百行</w:t>
      </w:r>
      <w:r>
        <w:rPr>
          <w:rFonts w:ascii="FangSong" w:hAnsi="FangSong" w:eastAsia="FangSong" w:cs="FangSong"/>
          <w:sz w:val="30"/>
          <w:szCs w:val="30"/>
          <w:spacing w:val="-12"/>
        </w:rPr>
        <w:t>动”发展现状、</w:t>
      </w:r>
      <w:r>
        <w:rPr>
          <w:rFonts w:ascii="FangSong" w:hAnsi="FangSong" w:eastAsia="FangSong" w:cs="FangSong"/>
          <w:sz w:val="30"/>
          <w:szCs w:val="30"/>
          <w:spacing w:val="-5"/>
        </w:rPr>
        <w:t>深度解析标杆</w:t>
      </w:r>
      <w:r>
        <w:rPr>
          <w:rFonts w:ascii="FangSong" w:hAnsi="FangSong" w:eastAsia="FangSong" w:cs="FangSong"/>
          <w:sz w:val="30"/>
          <w:szCs w:val="3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TOP3</w:t>
      </w:r>
      <w:r>
        <w:rPr>
          <w:rFonts w:ascii="Times New Roman" w:hAnsi="Times New Roman" w:eastAsia="Times New Roman" w:cs="Times New Roman"/>
          <w:sz w:val="30"/>
          <w:szCs w:val="30"/>
          <w:spacing w:val="8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企业先进经验，对中国电信争创世界一流，</w:t>
      </w:r>
      <w:r>
        <w:rPr>
          <w:rFonts w:ascii="FangSong" w:hAnsi="FangSong" w:eastAsia="FangSong" w:cs="FangSong"/>
          <w:sz w:val="30"/>
          <w:szCs w:val="30"/>
          <w:spacing w:val="-5"/>
        </w:rPr>
        <w:t>探索高质量发展提供借鉴。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一、“双百行动”发展总体情况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20" w:lineRule="auto"/>
        <w:outlineLvl w:val="2"/>
        <w:rPr/>
      </w:pPr>
      <w:r>
        <w:rPr>
          <w:b/>
          <w:bCs/>
          <w:spacing w:val="-3"/>
        </w:rPr>
        <w:t>（一）双百企业经济效益、管理方式取得显著突破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6" w:firstLine="578"/>
        <w:spacing w:before="97" w:line="333" w:lineRule="auto"/>
        <w:jc w:val="both"/>
        <w:rPr/>
      </w:pPr>
      <w:r>
        <w:rPr>
          <w:spacing w:val="-4"/>
        </w:rPr>
        <w:t>“双百行动”选取中央企业子企业和地方国有骨干企业，全</w:t>
      </w:r>
      <w:r>
        <w:rPr>
          <w:spacing w:val="-2"/>
        </w:rPr>
        <w:t>面落实“</w:t>
      </w:r>
      <w:r>
        <w:rPr>
          <w:rFonts w:ascii="Times New Roman" w:hAnsi="Times New Roman" w:eastAsia="Times New Roman" w:cs="Times New Roman"/>
          <w:spacing w:val="-2"/>
        </w:rPr>
        <w:t>1+N</w:t>
      </w:r>
      <w:r>
        <w:rPr>
          <w:spacing w:val="-2"/>
        </w:rPr>
        <w:t>”系列文件要求，深入推进综合性改革，旨在打造</w:t>
      </w:r>
      <w:r>
        <w:rPr>
          <w:spacing w:val="-11"/>
        </w:rPr>
        <w:t>一批治理结构科学完善、经营机制灵活高效、党的领导坚强有力、</w:t>
      </w:r>
      <w:r>
        <w:rPr>
          <w:spacing w:val="-3"/>
        </w:rPr>
        <w:t>创新能力和市场竞争力显著提升的国企改革尖兵。</w:t>
      </w:r>
    </w:p>
    <w:p>
      <w:pPr>
        <w:pStyle w:val="BodyText"/>
        <w:ind w:left="27" w:right="104" w:firstLine="647"/>
        <w:spacing w:before="274" w:line="326" w:lineRule="auto"/>
        <w:rPr/>
      </w:pPr>
      <w:r>
        <w:rPr>
          <w:spacing w:val="-5"/>
        </w:rPr>
        <w:t>自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2018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5"/>
        </w:rPr>
        <w:t>年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5"/>
        </w:rPr>
        <w:t>月实施以来，特别是国企改革三年行动实施以</w:t>
      </w:r>
      <w:r>
        <w:rPr>
          <w:spacing w:val="-9"/>
        </w:rPr>
        <w:t>来，“双百企业”取得了丰硕成果。最新公开数</w:t>
      </w:r>
      <w:r>
        <w:rPr>
          <w:spacing w:val="-10"/>
        </w:rPr>
        <w:t>据显示：</w:t>
      </w:r>
    </w:p>
    <w:p>
      <w:pPr>
        <w:pStyle w:val="BodyText"/>
        <w:ind w:left="636"/>
        <w:spacing w:before="300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．企业经济效益显著提高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7" w:right="102" w:firstLine="593"/>
        <w:spacing w:before="98" w:line="333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4"/>
        </w:rPr>
        <w:t>年“双百企业”营业收入 </w:t>
      </w:r>
      <w:r>
        <w:rPr>
          <w:rFonts w:ascii="Times New Roman" w:hAnsi="Times New Roman" w:eastAsia="Times New Roman" w:cs="Times New Roman"/>
          <w:spacing w:val="-4"/>
        </w:rPr>
        <w:t>14.3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万亿元、净利润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6732.7</w:t>
      </w:r>
      <w:r>
        <w:rPr>
          <w:spacing w:val="-5"/>
        </w:rPr>
        <w:t>亿元，较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2020 </w:t>
      </w:r>
      <w:r>
        <w:rPr>
          <w:spacing w:val="-5"/>
        </w:rPr>
        <w:t>年分别增长</w:t>
      </w:r>
      <w:r>
        <w:rPr>
          <w:rFonts w:ascii="Times New Roman" w:hAnsi="Times New Roman" w:eastAsia="Times New Roman" w:cs="Times New Roman"/>
          <w:spacing w:val="-5"/>
        </w:rPr>
        <w:t>29.7%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35.6%</w:t>
      </w:r>
      <w:r>
        <w:rPr>
          <w:spacing w:val="-5"/>
        </w:rPr>
        <w:t>；全员劳动生产</w:t>
      </w:r>
      <w:r>
        <w:rPr>
          <w:spacing w:val="-6"/>
        </w:rPr>
        <w:t>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105.2</w:t>
      </w:r>
      <w:r>
        <w:rPr>
          <w:spacing w:val="-2"/>
        </w:rPr>
        <w:t>万元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人，远超央企平均水平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76.3 </w:t>
      </w:r>
      <w:r>
        <w:rPr>
          <w:spacing w:val="-2"/>
        </w:rPr>
        <w:t>万元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人；人工成本利润率达到</w:t>
      </w:r>
    </w:p>
    <w:p>
      <w:pPr>
        <w:spacing w:line="333" w:lineRule="auto"/>
        <w:sectPr>
          <w:pgSz w:w="11907" w:h="16839"/>
          <w:pgMar w:top="1431" w:right="1694" w:bottom="0" w:left="1785" w:header="0" w:footer="0" w:gutter="0"/>
        </w:sectPr>
        <w:rPr/>
      </w:pPr>
    </w:p>
    <w:p>
      <w:pPr>
        <w:pStyle w:val="BodyText"/>
        <w:ind w:left="49"/>
        <w:spacing w:before="184" w:line="233" w:lineRule="auto"/>
        <w:rPr/>
      </w:pPr>
      <w:r>
        <w:rPr>
          <w:rFonts w:ascii="Times New Roman" w:hAnsi="Times New Roman" w:eastAsia="Times New Roman" w:cs="Times New Roman"/>
          <w:spacing w:val="-3"/>
        </w:rPr>
        <w:t>137.3%</w:t>
      </w:r>
      <w:r>
        <w:rPr>
          <w:spacing w:val="-3"/>
        </w:rPr>
        <w:t>，较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2020 </w:t>
      </w:r>
      <w:r>
        <w:rPr>
          <w:spacing w:val="-3"/>
        </w:rPr>
        <w:t>年提高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24.3%</w:t>
      </w:r>
      <w:r>
        <w:rPr>
          <w:spacing w:val="-3"/>
        </w:rPr>
        <w:t>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．企业管理市场化、发展动力显著增强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5" w:firstLine="580"/>
        <w:spacing w:before="98" w:line="333" w:lineRule="auto"/>
        <w:rPr/>
      </w:pPr>
      <w:r>
        <w:rPr>
          <w:spacing w:val="1"/>
        </w:rPr>
        <w:t>“双百企业”管理人员占比小于 </w:t>
      </w:r>
      <w:r>
        <w:rPr>
          <w:rFonts w:ascii="Times New Roman" w:hAnsi="Times New Roman" w:eastAsia="Times New Roman" w:cs="Times New Roman"/>
          <w:spacing w:val="1"/>
        </w:rPr>
        <w:t>5.5%</w:t>
      </w:r>
      <w:r>
        <w:rPr>
          <w:spacing w:val="1"/>
        </w:rPr>
        <w:t>，远低于央企平均水</w:t>
      </w:r>
      <w:r>
        <w:rPr>
          <w:spacing w:val="-3"/>
        </w:rPr>
        <w:t>平。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3"/>
        </w:rPr>
        <w:t>年“双百企业”管理人员竞争上岗比例平均达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69.6%</w:t>
      </w:r>
      <w:r>
        <w:rPr>
          <w:spacing w:val="-3"/>
        </w:rPr>
        <w:t>。</w:t>
      </w:r>
    </w:p>
    <w:p>
      <w:pPr>
        <w:pStyle w:val="BodyText"/>
        <w:ind w:left="31" w:right="110" w:firstLine="593"/>
        <w:spacing w:before="277" w:line="333" w:lineRule="auto"/>
        <w:jc w:val="both"/>
        <w:rPr/>
      </w:pPr>
      <w:r>
        <w:rPr>
          <w:spacing w:val="-11"/>
        </w:rPr>
        <w:t>截至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2022 </w:t>
      </w:r>
      <w:r>
        <w:rPr>
          <w:spacing w:val="-11"/>
        </w:rPr>
        <w:t>年底，“双百企业</w:t>
      </w:r>
      <w:r>
        <w:rPr>
          <w:spacing w:val="-110"/>
        </w:rPr>
        <w:t xml:space="preserve"> </w:t>
      </w:r>
      <w:r>
        <w:rPr>
          <w:spacing w:val="-11"/>
        </w:rPr>
        <w:t>”管理人员末等调整和不胜任退</w:t>
      </w:r>
      <w:r>
        <w:rPr>
          <w:spacing w:val="-5"/>
        </w:rPr>
        <w:t>出比例平均达到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7.7%</w:t>
      </w:r>
      <w:r>
        <w:rPr>
          <w:spacing w:val="-5"/>
        </w:rPr>
        <w:t>（高于中央企业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6.9%</w:t>
      </w:r>
      <w:r>
        <w:rPr>
          <w:spacing w:val="-5"/>
        </w:rPr>
        <w:t>、地方国有企业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4.9%</w:t>
      </w:r>
      <w:r>
        <w:rPr>
          <w:spacing w:val="-13"/>
        </w:rPr>
        <w:t>的平均水平</w:t>
      </w:r>
      <w:r>
        <w:rPr>
          <w:spacing w:val="-14"/>
        </w:rPr>
        <w:t>），</w:t>
      </w:r>
      <w:r>
        <w:rPr>
          <w:spacing w:val="-13"/>
        </w:rPr>
        <w:t>较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2020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13"/>
        </w:rPr>
        <w:t>年增长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49.9%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13"/>
        </w:rPr>
        <w:t>。</w:t>
      </w:r>
      <w:r>
        <w:rPr>
          <w:rFonts w:ascii="Times New Roman" w:hAnsi="Times New Roman" w:eastAsia="Times New Roman" w:cs="Times New Roman"/>
          <w:spacing w:val="-13"/>
        </w:rPr>
        <w:t>2022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13"/>
        </w:rPr>
        <w:t>年，“双百企</w:t>
      </w:r>
      <w:r>
        <w:rPr>
          <w:spacing w:val="-14"/>
        </w:rPr>
        <w:t>业</w:t>
      </w:r>
      <w:r>
        <w:rPr>
          <w:spacing w:val="-110"/>
        </w:rPr>
        <w:t xml:space="preserve"> </w:t>
      </w:r>
      <w:r>
        <w:rPr>
          <w:spacing w:val="-14"/>
        </w:rPr>
        <w:t>”本</w:t>
      </w:r>
      <w:r>
        <w:rPr>
          <w:spacing w:val="-2"/>
        </w:rPr>
        <w:t>级及各层级子企业管理人员收入差距倍数达到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2.74 </w:t>
      </w:r>
      <w:r>
        <w:rPr>
          <w:spacing w:val="-2"/>
        </w:rPr>
        <w:t>倍。</w:t>
      </w:r>
    </w:p>
    <w:p>
      <w:pPr>
        <w:pStyle w:val="BodyText"/>
        <w:ind w:left="636"/>
        <w:spacing w:before="273" w:line="220" w:lineRule="auto"/>
        <w:outlineLvl w:val="2"/>
        <w:rPr/>
      </w:pPr>
      <w:r>
        <w:rPr>
          <w:b/>
          <w:bCs/>
          <w:spacing w:val="-7"/>
        </w:rPr>
        <w:t>（二）</w:t>
      </w:r>
      <w:r>
        <w:rPr>
          <w:spacing w:val="-79"/>
        </w:rPr>
        <w:t xml:space="preserve"> </w:t>
      </w:r>
      <w:r>
        <w:rPr>
          <w:b/>
          <w:bCs/>
          <w:spacing w:val="-7"/>
        </w:rPr>
        <w:t>双百央企标杆率同比翻番，成效显著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5" w:right="108" w:firstLine="650"/>
        <w:spacing w:before="98" w:line="330" w:lineRule="auto"/>
        <w:rPr/>
      </w:pPr>
      <w:r>
        <w:rPr>
          <w:spacing w:val="-7"/>
        </w:rPr>
        <w:t>国资委公布“双百企业”</w:t>
      </w: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年度专项考核结果</w:t>
      </w:r>
      <w:r>
        <w:rPr>
          <w:spacing w:val="-8"/>
        </w:rPr>
        <w:t>：央企所属</w:t>
      </w:r>
      <w:r>
        <w:rPr>
          <w:spacing w:val="-2"/>
        </w:rPr>
        <w:t>“双百企业”标杆率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31%</w:t>
      </w:r>
      <w:r>
        <w:rPr>
          <w:spacing w:val="-2"/>
        </w:rPr>
        <w:t>，同比增长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15%</w:t>
      </w:r>
      <w:r>
        <w:rPr>
          <w:spacing w:val="-2"/>
        </w:rPr>
        <w:t>。</w:t>
      </w:r>
    </w:p>
    <w:p>
      <w:pPr>
        <w:ind w:firstLine="158"/>
        <w:spacing w:line="2562" w:lineRule="exact"/>
        <w:rPr/>
      </w:pPr>
      <w:r>
        <w:rPr>
          <w:position w:val="-51"/>
        </w:rPr>
        <w:drawing>
          <wp:inline distT="0" distB="0" distL="0" distR="0">
            <wp:extent cx="5015688" cy="162705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5688" cy="162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14"/>
        <w:spacing w:before="248" w:line="21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1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央企“双百企业</w:t>
      </w:r>
      <w:r>
        <w:rPr>
          <w:rFonts w:ascii="KaiTi" w:hAnsi="KaiTi" w:eastAsia="KaiTi" w:cs="KaiTi"/>
          <w:sz w:val="30"/>
          <w:szCs w:val="30"/>
          <w:spacing w:val="-11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”主题及数量变化情况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 w:right="110" w:firstLine="629"/>
        <w:spacing w:before="98" w:line="331" w:lineRule="auto"/>
        <w:jc w:val="both"/>
        <w:rPr/>
      </w:pPr>
      <w:r>
        <w:rPr>
          <w:spacing w:val="-6"/>
        </w:rPr>
        <w:t>同时，根据最新一次“双百企业”充实扩围和动态调整，央</w:t>
      </w:r>
      <w:r>
        <w:rPr>
          <w:spacing w:val="-2"/>
        </w:rPr>
        <w:t>企子企业新增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92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户，使得央企子企业达到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316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户。超</w:t>
      </w:r>
      <w:r>
        <w:rPr>
          <w:spacing w:val="-3"/>
        </w:rPr>
        <w:t>四成央企</w:t>
      </w:r>
      <w:r>
        <w:rPr>
          <w:spacing w:val="-4"/>
        </w:rPr>
        <w:t>本次都有充实扩围，央企标杆复制推广显现，标杆复制推广经验</w:t>
      </w:r>
      <w:r>
        <w:rPr>
          <w:spacing w:val="-5"/>
        </w:rPr>
        <w:t>值得央企集团重点关注。</w:t>
      </w:r>
    </w:p>
    <w:p>
      <w:pPr>
        <w:spacing w:line="331" w:lineRule="auto"/>
        <w:sectPr>
          <w:pgSz w:w="11907" w:h="16839"/>
          <w:pgMar w:top="1431" w:right="1687" w:bottom="0" w:left="1785" w:header="0" w:footer="0" w:gutter="0"/>
        </w:sectPr>
        <w:rPr/>
      </w:pPr>
    </w:p>
    <w:p>
      <w:pPr>
        <w:pStyle w:val="BodyText"/>
        <w:ind w:left="25" w:right="13" w:firstLine="635"/>
        <w:spacing w:before="183" w:line="334" w:lineRule="auto"/>
        <w:jc w:val="both"/>
        <w:rPr/>
      </w:pPr>
      <w:r>
        <w:rPr>
          <w:spacing w:val="-5"/>
        </w:rPr>
        <w:t>以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TOP3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10"/>
        </w:rPr>
        <w:t>1</w:t>
      </w:r>
      <w:r>
        <w:rPr>
          <w:spacing w:val="-5"/>
        </w:rPr>
        <w:t>标杆央企所属“双百企业”为例，在经济效益、市</w:t>
      </w:r>
      <w:r>
        <w:rPr>
          <w:spacing w:val="-4"/>
        </w:rPr>
        <w:t>场化程度和资源配置效率、企业发展活力动力等方面远高于“双</w:t>
      </w:r>
      <w:r>
        <w:rPr>
          <w:spacing w:val="-15"/>
        </w:rPr>
        <w:t>百企业”，引领带动作用显著。</w:t>
      </w:r>
    </w:p>
    <w:p>
      <w:pPr>
        <w:ind w:left="722"/>
        <w:spacing w:before="160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表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1</w:t>
      </w:r>
      <w:r>
        <w:rPr>
          <w:rFonts w:ascii="KaiTi" w:hAnsi="KaiTi" w:eastAsia="KaiTi" w:cs="KaiTi"/>
          <w:sz w:val="30"/>
          <w:szCs w:val="30"/>
        </w:rPr>
        <w:t xml:space="preserve">  </w:t>
      </w:r>
      <w:r>
        <w:rPr>
          <w:rFonts w:ascii="KaiTi" w:hAnsi="KaiTi" w:eastAsia="KaiTi" w:cs="KaiTi"/>
          <w:sz w:val="30"/>
          <w:szCs w:val="30"/>
        </w:rPr>
        <w:t>TOP3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标杆央企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2022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年与2019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年指标增长</w:t>
      </w:r>
      <w:r>
        <w:rPr>
          <w:rFonts w:ascii="KaiTi" w:hAnsi="KaiTi" w:eastAsia="KaiTi" w:cs="KaiTi"/>
          <w:sz w:val="30"/>
          <w:szCs w:val="30"/>
          <w:spacing w:val="-1"/>
        </w:rPr>
        <w:t>情况</w:t>
      </w:r>
    </w:p>
    <w:p>
      <w:pPr>
        <w:ind w:firstLine="14"/>
        <w:spacing w:before="148" w:line="2064" w:lineRule="exact"/>
        <w:rPr/>
      </w:pPr>
      <w:r>
        <w:rPr>
          <w:position w:val="-41"/>
        </w:rPr>
        <w:drawing>
          <wp:inline distT="0" distB="0" distL="0" distR="0">
            <wp:extent cx="5274563" cy="131064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675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二、“双百行动”央企标杆最佳实践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firstLine="1812"/>
        <w:spacing w:line="422" w:lineRule="exact"/>
        <w:rPr/>
      </w:pPr>
      <w:r>
        <w:rPr>
          <w:position w:val="-8"/>
        </w:rPr>
        <w:pict>
          <v:shape id="_x0000_s2" style="mso-position-vertical-relative:line;mso-position-horizontal-relative:char;width:235.55pt;height:21.15pt;" fillcolor="#609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9"/>
                    <w:spacing w:before="99" w:line="198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FFFFFF"/>
                      <w:spacing w:val="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color w:val="FFFFFF"/>
                      <w:spacing w:val="8"/>
                    </w:rPr>
                    <w:t>双百企业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color w:val="FFFFFF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color w:val="FFFFFF"/>
                      <w:spacing w:val="8"/>
                    </w:rPr>
                    <w:t>标杆打造五大核心要素</w:t>
                  </w:r>
                </w:p>
              </w:txbxContent>
            </v:textbox>
          </v:shape>
        </w:pict>
      </w:r>
    </w:p>
    <w:p>
      <w:pPr>
        <w:ind w:left="1812"/>
        <w:spacing w:before="241" w:line="235" w:lineRule="exact"/>
        <w:tabs>
          <w:tab w:val="left" w:pos="3202"/>
        </w:tabs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FFFFFE"/>
          <w:rFonts w:ascii="Microsoft YaHei" w:hAnsi="Microsoft YaHei" w:eastAsia="Microsoft YaHei" w:cs="Microsoft YaHei"/>
          <w:sz w:val="21"/>
          <w:szCs w:val="21"/>
        </w:rPr>
        <w:tab/>
      </w:r>
      <w:r>
        <w:rPr>
          <w:shd w:val="clear" w:fill="FFFFFE"/>
          <w:rFonts w:ascii="Microsoft YaHei" w:hAnsi="Microsoft YaHei" w:eastAsia="Microsoft YaHei" w:cs="Microsoft YaHei"/>
          <w:sz w:val="21"/>
          <w:szCs w:val="21"/>
          <w:spacing w:val="1"/>
        </w:rPr>
        <w:t>党建统领：</w:t>
      </w:r>
      <w:r>
        <w:rPr>
          <w:shd w:val="clear" w:fill="FFFFFE"/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shd w:val="clear" w:fill="FFFFFE"/>
          <w:rFonts w:ascii="Microsoft YaHei" w:hAnsi="Microsoft YaHei" w:eastAsia="Microsoft YaHei" w:cs="Microsoft YaHei"/>
          <w:sz w:val="21"/>
          <w:szCs w:val="21"/>
          <w:spacing w:val="1"/>
        </w:rPr>
        <w:t>一企一策                      </w:t>
      </w:r>
    </w:p>
    <w:p>
      <w:pPr>
        <w:ind w:left="2454"/>
        <w:spacing w:before="158" w:line="387" w:lineRule="exact"/>
        <w:rPr/>
      </w:pPr>
      <w:r>
        <w:rPr>
          <w:position w:val="-8"/>
        </w:rPr>
        <w:drawing>
          <wp:inline distT="0" distB="0" distL="0" distR="0">
            <wp:extent cx="2333216" cy="24619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3216" cy="2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812"/>
        <w:spacing w:before="9" w:line="1634" w:lineRule="exact"/>
        <w:rPr/>
      </w:pPr>
      <w:r>
        <w:rPr>
          <w:position w:val="-32"/>
        </w:rPr>
        <w:pict>
          <v:group id="_x0000_s4" style="mso-position-vertical-relative:line;mso-position-horizontal-relative:char;width:235.55pt;height:81.75pt;" filled="false" stroked="false" coordsize="4711,1635" coordorigin="0,0">
            <v:rect id="_x0000_s6" style="position:absolute;left:0;top:0;width:4711;height:1635;" fillcolor="#BFD5F5" filled="true" stroked="false"/>
            <v:rect id="_x0000_s8" style="position:absolute;left:1561;top:615;width:1455;height:911;" fillcolor="#6096E6" filled="true" stroked="false"/>
            <v:rect id="_x0000_s10" style="position:absolute;left:154;top:101;width:4396;height:450;" fillcolor="#6096E6" filled="true" stroked="false"/>
            <v:rect id="_x0000_s12" style="position:absolute;left:3090;top:615;width:1461;height:911;" fillcolor="#6096E6" filled="true" stroked="false"/>
            <v:shape id="_x0000_s14" style="position:absolute;left:1357;top:192;width:3157;height:12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5"/>
                      </w:rPr>
                      <w:t>股权：多元化与混改</w:t>
                    </w:r>
                  </w:p>
                  <w:p>
                    <w:pPr>
                      <w:ind w:left="705"/>
                      <w:spacing w:before="201" w:line="19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3"/>
                      </w:rPr>
                      <w:t>用人</w:t>
                    </w:r>
                  </w:p>
                  <w:p>
                    <w:pPr>
                      <w:ind w:right="20"/>
                      <w:spacing w:before="50" w:line="174" w:lineRule="auto"/>
                      <w:jc w:val="right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激励提质</w:t>
                    </w:r>
                  </w:p>
                  <w:p>
                    <w:pPr>
                      <w:ind w:left="2674"/>
                      <w:spacing w:line="199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3"/>
                      </w:rPr>
                      <w:t>扩面</w:t>
                    </w:r>
                  </w:p>
                </w:txbxContent>
              </v:textbox>
            </v:shape>
            <v:rect id="_x0000_s16" style="position:absolute;left:154;top:615;width:1328;height:911;" fillcolor="#6096E6" filled="true" stroked="false"/>
            <v:shape id="_x0000_s18" style="position:absolute;left:833;top:1042;width:658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授权清单</w:t>
                    </w:r>
                  </w:p>
                  <w:p>
                    <w:pPr>
                      <w:ind w:left="21"/>
                      <w:spacing w:line="199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动态调整</w:t>
                    </w:r>
                  </w:p>
                </w:txbxContent>
              </v:textbox>
            </v:shape>
            <v:shape id="_x0000_s20" style="position:absolute;left:2264;top:1023;width:658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管理人员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竞争上岗</w:t>
                    </w:r>
                  </w:p>
                </w:txbxContent>
              </v:textbox>
            </v:shape>
            <v:shape id="_x0000_s22" style="position:absolute;left:3103;top:1029;width:658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4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薪酬差异</w:t>
                    </w:r>
                  </w:p>
                  <w:p>
                    <w:pPr>
                      <w:ind w:left="174"/>
                      <w:spacing w:line="19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3"/>
                      </w:rPr>
                      <w:t>抓实</w:t>
                    </w:r>
                  </w:p>
                </w:txbxContent>
              </v:textbox>
            </v:shape>
            <v:shape id="_x0000_s24" style="position:absolute;left:137;top:1043;width:656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8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3"/>
                      </w:rPr>
                      <w:t>董事会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决议落实</w:t>
                    </w:r>
                  </w:p>
                </w:txbxContent>
              </v:textbox>
            </v:shape>
            <v:shape id="_x0000_s26" style="position:absolute;left:1583;top:1031;width:650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4"/>
                      </w:rPr>
                      <w:t>契约化</w:t>
                    </w:r>
                  </w:p>
                  <w:p>
                    <w:pPr>
                      <w:ind w:left="20"/>
                      <w:spacing w:line="199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FFFFFF"/>
                        <w:spacing w:val="2"/>
                      </w:rPr>
                      <w:t>刚性兑现</w:t>
                    </w:r>
                  </w:p>
                </w:txbxContent>
              </v:textbox>
            </v:shape>
            <v:shape id="_x0000_s28" style="position:absolute;left:3655;top:672;width:47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5"/>
                      </w:rPr>
                      <w:t>激励</w:t>
                    </w:r>
                  </w:p>
                </w:txbxContent>
              </v:textbox>
            </v:shape>
            <v:shape id="_x0000_s30" style="position:absolute;left:571;top:691;width:47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FFFFF"/>
                        <w:spacing w:val="4"/>
                      </w:rPr>
                      <w:t>治理</w:t>
                    </w:r>
                  </w:p>
                </w:txbxContent>
              </v:textbox>
            </v:shape>
          </v:group>
        </w:pict>
      </w:r>
    </w:p>
    <w:p>
      <w:pPr>
        <w:ind w:left="1101"/>
        <w:spacing w:before="189" w:line="217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央企“双百企业”标杆打造五大核心要素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6" w:right="13" w:firstLine="597"/>
        <w:spacing w:before="98" w:line="333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TOP3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1"/>
        </w:rPr>
        <w:t>标杆央企所属“双百企业”是标杆中的优秀代表</w:t>
      </w:r>
      <w:r>
        <w:rPr>
          <w:spacing w:val="-2"/>
        </w:rPr>
        <w:t>。下</w:t>
      </w:r>
      <w:r>
        <w:rPr>
          <w:spacing w:val="-4"/>
        </w:rPr>
        <w:t>文将重点研究其具体举措和实践，总结标杆企业建设的五大核心</w:t>
      </w:r>
      <w:r>
        <w:rPr>
          <w:spacing w:val="-4"/>
        </w:rPr>
        <w:t>要素。为电信实现激发活力、提高效率、促进企业高质量发展提</w:t>
      </w:r>
      <w:r>
        <w:rPr>
          <w:spacing w:val="-8"/>
        </w:rPr>
        <w:t>供经验借鉴。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32" style="position:absolute;margin-left:0.72599pt;margin-top:7.92799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29" w:right="173" w:hanging="3"/>
        <w:spacing w:before="68" w:line="258" w:lineRule="auto"/>
        <w:rPr>
          <w:sz w:val="21"/>
          <w:szCs w:val="21"/>
        </w:rPr>
      </w:pPr>
      <w:r>
        <w:rPr>
          <w:sz w:val="11"/>
          <w:szCs w:val="11"/>
          <w:position w:val="10"/>
        </w:rPr>
        <w:t>1  </w:t>
      </w:r>
      <w:r>
        <w:rPr>
          <w:sz w:val="21"/>
          <w:szCs w:val="21"/>
        </w:rPr>
        <w:t>TOP3：南方航空物流股份有限公司、中车株洲电力机车研究</w:t>
      </w:r>
      <w:r>
        <w:rPr>
          <w:sz w:val="21"/>
          <w:szCs w:val="21"/>
          <w:spacing w:val="-1"/>
        </w:rPr>
        <w:t>所、中交一公局集团有限公</w:t>
      </w:r>
      <w:r>
        <w:rPr>
          <w:sz w:val="21"/>
          <w:szCs w:val="21"/>
        </w:rPr>
        <w:t>司。另，中国通信服务股份有限公司、天翼电子商务有限公司（2021年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</w:rPr>
        <w:t>5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</w:rPr>
        <w:t>月入围）参与</w:t>
      </w:r>
    </w:p>
    <w:p>
      <w:pPr>
        <w:pStyle w:val="BodyText"/>
        <w:ind w:left="28" w:right="72" w:hanging="3"/>
        <w:spacing w:before="62" w:line="247" w:lineRule="auto"/>
        <w:rPr>
          <w:sz w:val="21"/>
          <w:szCs w:val="21"/>
        </w:rPr>
      </w:pPr>
      <w:r>
        <w:rPr>
          <w:sz w:val="21"/>
          <w:szCs w:val="21"/>
        </w:rPr>
        <w:t>2022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</w:rPr>
        <w:t>年专项考核，中移在线、终端公司和咪咕文化均获优</w:t>
      </w:r>
      <w:r>
        <w:rPr>
          <w:sz w:val="21"/>
          <w:szCs w:val="21"/>
          <w:spacing w:val="-1"/>
        </w:rPr>
        <w:t>秀，联通智网科技获标杆，联通</w:t>
      </w:r>
      <w:r>
        <w:rPr>
          <w:sz w:val="21"/>
          <w:szCs w:val="21"/>
          <w:spacing w:val="-2"/>
        </w:rPr>
        <w:t>云南省分公司退出</w:t>
      </w:r>
    </w:p>
    <w:p>
      <w:pPr>
        <w:spacing w:line="247" w:lineRule="auto"/>
        <w:sectPr>
          <w:pgSz w:w="11907" w:h="16839"/>
          <w:pgMar w:top="1431" w:right="1785" w:bottom="0" w:left="1785" w:header="0" w:footer="0" w:gutter="0"/>
        </w:sectPr>
        <w:rPr>
          <w:sz w:val="21"/>
          <w:szCs w:val="21"/>
        </w:rPr>
      </w:pPr>
    </w:p>
    <w:p>
      <w:pPr>
        <w:pStyle w:val="BodyText"/>
        <w:ind w:left="636"/>
        <w:spacing w:before="180" w:line="220" w:lineRule="auto"/>
        <w:outlineLvl w:val="2"/>
        <w:rPr/>
      </w:pPr>
      <w:r>
        <w:rPr>
          <w:b/>
          <w:bCs/>
          <w:spacing w:val="-2"/>
        </w:rPr>
        <w:t>（一）加强党建统领，一企一策制定改革方案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7" w:firstLine="603"/>
        <w:spacing w:before="97" w:line="334" w:lineRule="auto"/>
        <w:jc w:val="both"/>
        <w:rPr/>
      </w:pPr>
      <w:r>
        <w:rPr/>
        <w:t>央企集团应加强党建统领，如党建进章程、党委前置研究、</w:t>
      </w:r>
      <w:r>
        <w:rPr>
          <w:spacing w:val="-4"/>
        </w:rPr>
        <w:t>党委人员“双向进入、交叉任职”和规范“三会一层”权责体系</w:t>
      </w:r>
      <w:r>
        <w:rPr>
          <w:spacing w:val="-4"/>
        </w:rPr>
        <w:t>等，把党的领导充分融入公司治理各环节，一企一策制定改革方</w:t>
      </w:r>
      <w:r>
        <w:rPr>
          <w:spacing w:val="-15"/>
        </w:rPr>
        <w:t>案。</w:t>
      </w:r>
    </w:p>
    <w:p>
      <w:pPr>
        <w:ind w:left="2559"/>
        <w:spacing w:before="159" w:line="21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表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2</w:t>
      </w:r>
      <w:r>
        <w:rPr>
          <w:rFonts w:ascii="KaiTi" w:hAnsi="KaiTi" w:eastAsia="KaiTi" w:cs="KaiTi"/>
          <w:sz w:val="30"/>
          <w:szCs w:val="30"/>
          <w:spacing w:val="1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党建统领最佳实践</w:t>
      </w:r>
    </w:p>
    <w:p>
      <w:pPr>
        <w:ind w:firstLine="14"/>
        <w:spacing w:before="202" w:line="2894" w:lineRule="exact"/>
        <w:rPr/>
      </w:pPr>
      <w:r>
        <w:rPr>
          <w:position w:val="-57"/>
        </w:rPr>
        <w:drawing>
          <wp:inline distT="0" distB="0" distL="0" distR="0">
            <wp:extent cx="5274563" cy="183794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20" w:lineRule="auto"/>
        <w:outlineLvl w:val="2"/>
        <w:rPr/>
      </w:pPr>
      <w:r>
        <w:rPr>
          <w:b/>
          <w:bCs/>
          <w:spacing w:val="-7"/>
        </w:rPr>
        <w:t>（二）</w:t>
      </w:r>
      <w:r>
        <w:rPr>
          <w:spacing w:val="-83"/>
        </w:rPr>
        <w:t xml:space="preserve"> </w:t>
      </w:r>
      <w:r>
        <w:rPr>
          <w:b/>
          <w:bCs/>
          <w:spacing w:val="-7"/>
        </w:rPr>
        <w:t>用活股权工具，充分释放混改活力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27" w:right="110" w:firstLine="602"/>
        <w:spacing w:before="98" w:line="334" w:lineRule="auto"/>
        <w:jc w:val="both"/>
        <w:rPr/>
      </w:pPr>
      <w:r>
        <w:rPr>
          <w:spacing w:val="-4"/>
        </w:rPr>
        <w:t>混改是国有企业改革的重要突破口。通过深入</w:t>
      </w:r>
      <w:r>
        <w:rPr>
          <w:spacing w:val="-5"/>
        </w:rPr>
        <w:t>推进股权多元</w:t>
      </w:r>
      <w:r>
        <w:rPr>
          <w:spacing w:val="-4"/>
        </w:rPr>
        <w:t>化，为企业发展提供有力的资金保障和充足动力潜能，进一步激</w:t>
      </w:r>
      <w:r>
        <w:rPr>
          <w:spacing w:val="-7"/>
        </w:rPr>
        <w:t>发员工队伍活力。</w:t>
      </w:r>
    </w:p>
    <w:p>
      <w:pPr>
        <w:pStyle w:val="BodyText"/>
        <w:ind w:left="636"/>
        <w:spacing w:before="27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9"/>
        </w:rPr>
        <w:t>1</w:t>
      </w:r>
      <w:r>
        <w:rPr>
          <w:b/>
          <w:bCs/>
          <w:spacing w:val="9"/>
        </w:rPr>
        <w:t>．通过上市“广积粮”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5" w:right="109" w:firstLine="625"/>
        <w:spacing w:before="98" w:line="326" w:lineRule="auto"/>
        <w:rPr/>
      </w:pPr>
      <w:r>
        <w:rPr>
          <w:spacing w:val="-1"/>
        </w:rPr>
        <w:t>如中车株洲所旗下时代电气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2021 </w:t>
      </w:r>
      <w:r>
        <w:rPr>
          <w:spacing w:val="-1"/>
        </w:rPr>
        <w:t>年登录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 </w:t>
      </w:r>
      <w:r>
        <w:rPr>
          <w:spacing w:val="-1"/>
        </w:rPr>
        <w:t>股</w:t>
      </w:r>
      <w:r>
        <w:rPr>
          <w:spacing w:val="-2"/>
        </w:rPr>
        <w:t>科创板，实现</w:t>
      </w:r>
      <w:r>
        <w:rPr>
          <w:spacing w:val="-2"/>
        </w:rPr>
        <w:t>“</w:t>
      </w:r>
      <w:r>
        <w:rPr>
          <w:rFonts w:ascii="Times New Roman" w:hAnsi="Times New Roman" w:eastAsia="Times New Roman" w:cs="Times New Roman"/>
          <w:spacing w:val="-2"/>
        </w:rPr>
        <w:t>A+H</w:t>
      </w:r>
      <w:r>
        <w:rPr>
          <w:spacing w:val="-2"/>
        </w:rPr>
        <w:t>”双通道资本布局。</w:t>
      </w:r>
    </w:p>
    <w:p>
      <w:pPr>
        <w:pStyle w:val="BodyText"/>
        <w:ind w:left="26" w:right="118" w:firstLine="597"/>
        <w:spacing w:before="300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．通过股权投资、引入战略投资者“借梯登高”和员工持</w:t>
      </w:r>
      <w:r>
        <w:rPr>
          <w:b/>
          <w:bCs/>
          <w:spacing w:val="17"/>
        </w:rPr>
        <w:t>股“共享共担”</w:t>
      </w:r>
    </w:p>
    <w:p>
      <w:pPr>
        <w:spacing w:line="277" w:lineRule="auto"/>
        <w:sectPr>
          <w:pgSz w:w="11907" w:h="16839"/>
          <w:pgMar w:top="1431" w:right="1689" w:bottom="0" w:left="1785" w:header="0" w:footer="0" w:gutter="0"/>
        </w:sectPr>
        <w:rPr/>
      </w:pPr>
    </w:p>
    <w:p>
      <w:pPr>
        <w:pStyle w:val="BodyText"/>
        <w:ind w:left="26" w:firstLine="604"/>
        <w:spacing w:before="184" w:line="330" w:lineRule="auto"/>
        <w:jc w:val="both"/>
        <w:rPr/>
      </w:pPr>
      <w:r>
        <w:rPr>
          <w:spacing w:val="1"/>
        </w:rPr>
        <w:t>如南航物流 </w:t>
      </w:r>
      <w:r>
        <w:rPr>
          <w:rFonts w:ascii="Times New Roman" w:hAnsi="Times New Roman" w:eastAsia="Times New Roman" w:cs="Times New Roman"/>
          <w:spacing w:val="1"/>
        </w:rPr>
        <w:t>2020  </w:t>
      </w:r>
      <w:r>
        <w:rPr>
          <w:spacing w:val="1"/>
        </w:rPr>
        <w:t>年引入 </w:t>
      </w:r>
      <w:r>
        <w:rPr>
          <w:rFonts w:ascii="Times New Roman" w:hAnsi="Times New Roman" w:eastAsia="Times New Roman" w:cs="Times New Roman"/>
          <w:spacing w:val="1"/>
        </w:rPr>
        <w:t>7  </w:t>
      </w:r>
      <w:r>
        <w:rPr>
          <w:spacing w:val="1"/>
        </w:rPr>
        <w:t>家外部投资者，注册资本增至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18.18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spacing w:val="-1"/>
        </w:rPr>
        <w:t>亿元，同步开展员工持股，从南航全资企业变为南航持股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55%</w:t>
      </w:r>
      <w:r>
        <w:rPr>
          <w:spacing w:val="-2"/>
        </w:rPr>
        <w:t>的混合所有制企业。中交一公局依靠与具有产业优势的地方</w:t>
      </w:r>
      <w:r>
        <w:rPr>
          <w:spacing w:val="-13"/>
        </w:rPr>
        <w:t>国企、优质民企共同出资，</w:t>
      </w:r>
      <w:r>
        <w:rPr>
          <w:spacing w:val="-27"/>
        </w:rPr>
        <w:t xml:space="preserve"> </w:t>
      </w:r>
      <w:r>
        <w:rPr>
          <w:spacing w:val="-13"/>
        </w:rPr>
        <w:t>组建公司，补齐“大交通”“大城市”</w:t>
      </w:r>
      <w:r>
        <w:rPr>
          <w:spacing w:val="-5"/>
        </w:rPr>
        <w:t>基础设施领域的产业短板。</w:t>
      </w:r>
    </w:p>
    <w:p>
      <w:pPr>
        <w:ind w:left="2559"/>
        <w:spacing w:before="185" w:line="21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3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央企混改最佳实践</w:t>
      </w:r>
    </w:p>
    <w:p>
      <w:pPr>
        <w:ind w:firstLine="14"/>
        <w:spacing w:before="133" w:line="1804" w:lineRule="exact"/>
        <w:rPr/>
      </w:pPr>
      <w:r>
        <w:rPr>
          <w:position w:val="-36"/>
        </w:rPr>
        <w:drawing>
          <wp:inline distT="0" distB="0" distL="0" distR="0">
            <wp:extent cx="5274563" cy="114604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19" w:lineRule="auto"/>
        <w:outlineLvl w:val="2"/>
        <w:rPr/>
      </w:pPr>
      <w:r>
        <w:rPr>
          <w:b/>
          <w:bCs/>
          <w:spacing w:val="-8"/>
        </w:rPr>
        <w:t>（三）</w:t>
      </w:r>
      <w:r>
        <w:rPr>
          <w:spacing w:val="-65"/>
        </w:rPr>
        <w:t xml:space="preserve"> </w:t>
      </w:r>
      <w:r>
        <w:rPr>
          <w:b/>
          <w:bCs/>
          <w:spacing w:val="-8"/>
        </w:rPr>
        <w:t>聚焦决策授权，完善法人治理机制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5" w:right="151" w:firstLine="608"/>
        <w:spacing w:before="98" w:line="334" w:lineRule="auto"/>
        <w:jc w:val="both"/>
        <w:rPr/>
      </w:pPr>
      <w:r>
        <w:rPr>
          <w:spacing w:val="-5"/>
        </w:rPr>
        <w:t>治理机制是提升企业活力和效率的重要基础，标杆“双百企</w:t>
      </w:r>
      <w:r>
        <w:rPr>
          <w:spacing w:val="-4"/>
        </w:rPr>
        <w:t>业”着力完善法人治理结构，明晰各治理主体权责边界，持续将</w:t>
      </w:r>
      <w:r>
        <w:rPr>
          <w:spacing w:val="-3"/>
        </w:rPr>
        <w:t>中国特色现代企业制度优势转化为治理效能。</w:t>
      </w:r>
    </w:p>
    <w:p>
      <w:pPr>
        <w:pStyle w:val="BodyText"/>
        <w:ind w:left="28" w:right="153" w:firstLine="608"/>
        <w:spacing w:before="270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．聚焦董事会决议落实，成立董事会专门委员会，提升决</w:t>
      </w:r>
      <w:r>
        <w:rPr>
          <w:b/>
          <w:bCs/>
          <w:spacing w:val="-8"/>
        </w:rPr>
        <w:t>策质量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6" w:right="46" w:firstLine="628"/>
        <w:spacing w:before="99" w:line="336" w:lineRule="auto"/>
        <w:jc w:val="both"/>
        <w:rPr/>
      </w:pPr>
      <w:r>
        <w:rPr>
          <w:spacing w:val="-5"/>
        </w:rPr>
        <w:t>中车株洲所构建与落实董事会中长期发展决策权</w:t>
      </w:r>
      <w:r>
        <w:rPr>
          <w:spacing w:val="-6"/>
        </w:rPr>
        <w:t>、经营层选</w:t>
      </w:r>
      <w:r>
        <w:rPr>
          <w:spacing w:val="-4"/>
        </w:rPr>
        <w:t>聘考核权、薪酬决定分配权等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4"/>
        </w:rPr>
        <w:t>个方面 </w:t>
      </w:r>
      <w:r>
        <w:rPr>
          <w:rFonts w:ascii="Times New Roman" w:hAnsi="Times New Roman" w:eastAsia="Times New Roman" w:cs="Times New Roman"/>
          <w:spacing w:val="-4"/>
        </w:rPr>
        <w:t>15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项具体权责。南航物</w:t>
      </w:r>
      <w:r>
        <w:rPr>
          <w:spacing w:val="-6"/>
        </w:rPr>
        <w:t>流成立董事会专门委员会，出台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30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6"/>
        </w:rPr>
        <w:t>项落实董事会职</w:t>
      </w:r>
      <w:r>
        <w:rPr>
          <w:spacing w:val="-7"/>
        </w:rPr>
        <w:t>权配套制度。</w:t>
      </w:r>
    </w:p>
    <w:p>
      <w:pPr>
        <w:pStyle w:val="BodyText"/>
        <w:ind w:left="28" w:right="153" w:firstLine="595"/>
        <w:spacing w:before="261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．聚焦授权清单运行，建立动态调整的授权清单机制，提</w:t>
      </w:r>
      <w:r>
        <w:rPr>
          <w:b/>
          <w:bCs/>
          <w:spacing w:val="-6"/>
        </w:rPr>
        <w:t>升决策效率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630"/>
        <w:spacing w:before="98" w:line="233" w:lineRule="auto"/>
        <w:rPr>
          <w:rFonts w:ascii="Times New Roman" w:hAnsi="Times New Roman" w:eastAsia="Times New Roman" w:cs="Times New Roman"/>
        </w:rPr>
      </w:pPr>
      <w:r>
        <w:rPr>
          <w:spacing w:val="8"/>
        </w:rPr>
        <w:t>如南航物流制定党委前置研究讨论重大经营管理事项等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6</w:t>
      </w:r>
    </w:p>
    <w:p>
      <w:pPr>
        <w:spacing w:line="233" w:lineRule="auto"/>
        <w:sectPr>
          <w:pgSz w:w="11907" w:h="16839"/>
          <w:pgMar w:top="1431" w:right="1647" w:bottom="0" w:left="1785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5" w:firstLine="28"/>
        <w:spacing w:before="183" w:line="332" w:lineRule="auto"/>
        <w:jc w:val="both"/>
        <w:rPr/>
      </w:pPr>
      <w:r>
        <w:rPr>
          <w:spacing w:val="-14"/>
        </w:rPr>
        <w:t>张清单，整合形成公司治理“一张表”，实现决策事项全</w:t>
      </w:r>
      <w:r>
        <w:rPr>
          <w:spacing w:val="-15"/>
        </w:rPr>
        <w:t>覆盖。并</w:t>
      </w:r>
      <w:r>
        <w:rPr/>
        <w:t>推行分类差异化授权，采取“制度</w:t>
      </w:r>
      <w:r>
        <w:rPr>
          <w:rFonts w:ascii="Times New Roman" w:hAnsi="Times New Roman" w:eastAsia="Times New Roman" w:cs="Times New Roman"/>
        </w:rPr>
        <w:t>+</w:t>
      </w:r>
      <w:r>
        <w:rPr/>
        <w:t>清单</w:t>
      </w:r>
      <w:r>
        <w:rPr>
          <w:spacing w:val="-101"/>
        </w:rPr>
        <w:t xml:space="preserve"> </w:t>
      </w:r>
      <w:r>
        <w:rPr/>
        <w:t>”管理模式制定董事会</w:t>
      </w:r>
      <w:r>
        <w:rPr>
          <w:spacing w:val="-3"/>
        </w:rPr>
        <w:t>授权管理办法，建立动态调整的授权清单机制。中交一公</w:t>
      </w:r>
      <w:r>
        <w:rPr>
          <w:spacing w:val="-4"/>
        </w:rPr>
        <w:t>局建立</w:t>
      </w:r>
      <w:r>
        <w:rPr>
          <w:spacing w:val="-8"/>
        </w:rPr>
        <w:t>数智化“三会”决策系统，将“三重一大”决策事项清单</w:t>
      </w:r>
      <w:r>
        <w:rPr>
          <w:spacing w:val="-9"/>
        </w:rPr>
        <w:t>中“重”</w:t>
      </w:r>
      <w:r>
        <w:rPr/>
        <w:t xml:space="preserve"> </w:t>
      </w:r>
      <w:r>
        <w:rPr>
          <w:spacing w:val="-15"/>
        </w:rPr>
        <w:t>“大”事项全面数字化、定量化、类型化，形成清晰的管理标线。</w:t>
      </w:r>
    </w:p>
    <w:p>
      <w:pPr>
        <w:ind w:left="2259"/>
        <w:spacing w:before="170" w:line="21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4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央企治理机制最佳实践</w:t>
      </w:r>
    </w:p>
    <w:p>
      <w:pPr>
        <w:ind w:firstLine="14"/>
        <w:spacing w:before="207" w:line="3511" w:lineRule="exact"/>
        <w:rPr/>
      </w:pPr>
      <w:r>
        <w:rPr>
          <w:position w:val="-70"/>
        </w:rPr>
        <w:drawing>
          <wp:inline distT="0" distB="0" distL="0" distR="0">
            <wp:extent cx="5274563" cy="222961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22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19" w:lineRule="auto"/>
        <w:outlineLvl w:val="2"/>
        <w:rPr/>
      </w:pPr>
      <w:r>
        <w:rPr>
          <w:b/>
          <w:bCs/>
          <w:spacing w:val="-14"/>
        </w:rPr>
        <w:t>（四）</w:t>
      </w:r>
      <w:r>
        <w:rPr>
          <w:spacing w:val="-73"/>
        </w:rPr>
        <w:t xml:space="preserve"> </w:t>
      </w:r>
      <w:r>
        <w:rPr>
          <w:b/>
          <w:bCs/>
          <w:spacing w:val="-14"/>
        </w:rPr>
        <w:t>抓实“两制一契”，健全市场化用人机制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8" w:right="150" w:firstLine="597"/>
        <w:spacing w:before="97" w:line="334" w:lineRule="auto"/>
        <w:jc w:val="both"/>
        <w:rPr/>
      </w:pPr>
      <w:r>
        <w:rPr>
          <w:spacing w:val="-9"/>
        </w:rPr>
        <w:t>推动职业经理人制度、任期制和契约化管理向下贯穿，</w:t>
      </w:r>
      <w:r>
        <w:rPr>
          <w:spacing w:val="-25"/>
        </w:rPr>
        <w:t xml:space="preserve"> </w:t>
      </w:r>
      <w:r>
        <w:rPr>
          <w:spacing w:val="-9"/>
        </w:rPr>
        <w:t>扭住</w:t>
      </w:r>
      <w:r>
        <w:rPr>
          <w:spacing w:val="-14"/>
        </w:rPr>
        <w:t>人事制度改革这一“牛鼻子”，标杆“双百企业”大力实施</w:t>
      </w:r>
      <w:r>
        <w:rPr>
          <w:spacing w:val="-15"/>
        </w:rPr>
        <w:t>考核结</w:t>
      </w:r>
      <w:r>
        <w:rPr>
          <w:spacing w:val="-4"/>
        </w:rPr>
        <w:t>果刚性应用和市场化退出机制。</w:t>
      </w:r>
    </w:p>
    <w:p>
      <w:pPr>
        <w:pStyle w:val="BodyText"/>
        <w:ind w:left="636"/>
        <w:spacing w:before="273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．任期制和契约化管理刚性兑现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0" w:right="146" w:firstLine="610"/>
        <w:spacing w:before="98" w:line="331" w:lineRule="auto"/>
        <w:rPr/>
      </w:pPr>
      <w:r>
        <w:rPr>
          <w:spacing w:val="-15"/>
        </w:rPr>
        <w:t>如南航物流强化业绩对标和“摸高”，实现刚性兑现和</w:t>
      </w:r>
      <w:r>
        <w:rPr>
          <w:spacing w:val="-16"/>
        </w:rPr>
        <w:t>退出。</w:t>
      </w:r>
      <w:r>
        <w:rPr>
          <w:spacing w:val="-4"/>
        </w:rPr>
        <w:t>近三年，累计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210 </w:t>
      </w:r>
      <w:r>
        <w:rPr>
          <w:spacing w:val="-4"/>
        </w:rPr>
        <w:t>名管理干部退出，退出</w:t>
      </w:r>
      <w:r>
        <w:rPr>
          <w:spacing w:val="-5"/>
        </w:rPr>
        <w:t>比例达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25%</w:t>
      </w:r>
      <w:r>
        <w:rPr>
          <w:spacing w:val="-5"/>
        </w:rPr>
        <w:t>。中交一公</w:t>
      </w:r>
      <w:r>
        <w:rPr>
          <w:spacing w:val="-4"/>
        </w:rPr>
        <w:t>局经理层各岗位主要指标与企业发展业绩指标硬挂钩，两年共对</w:t>
      </w:r>
      <w:r>
        <w:rPr>
          <w:rFonts w:ascii="Times New Roman" w:hAnsi="Times New Roman" w:eastAsia="Times New Roman" w:cs="Times New Roman"/>
          <w:spacing w:val="-6"/>
        </w:rPr>
        <w:t>23 </w:t>
      </w:r>
      <w:r>
        <w:rPr>
          <w:spacing w:val="-6"/>
        </w:rPr>
        <w:t>名领导干部进行降职、免职和调整处理。中车株洲所通过“发</w:t>
      </w:r>
      <w:r>
        <w:rPr>
          <w:spacing w:val="-4"/>
        </w:rPr>
        <w:t>帖揭榜”选聘总经理，经理层副职则由总经理提名，实现“选一</w:t>
      </w:r>
    </w:p>
    <w:p>
      <w:pPr>
        <w:spacing w:line="331" w:lineRule="auto"/>
        <w:sectPr>
          <w:pgSz w:w="11907" w:h="16839"/>
          <w:pgMar w:top="1431" w:right="1649" w:bottom="0" w:left="1785" w:header="0" w:footer="0" w:gutter="0"/>
        </w:sectPr>
        <w:rPr/>
      </w:pPr>
    </w:p>
    <w:p>
      <w:pPr>
        <w:pStyle w:val="BodyText"/>
        <w:ind w:left="29" w:right="108" w:hanging="1"/>
        <w:spacing w:before="184" w:line="333" w:lineRule="auto"/>
        <w:rPr/>
      </w:pPr>
      <w:r>
        <w:rPr>
          <w:spacing w:val="-11"/>
        </w:rPr>
        <w:t>人、一人选、共进退”。近三年， </w:t>
      </w:r>
      <w:r>
        <w:rPr>
          <w:rFonts w:ascii="Times New Roman" w:hAnsi="Times New Roman" w:eastAsia="Times New Roman" w:cs="Times New Roman"/>
          <w:spacing w:val="-11"/>
        </w:rPr>
        <w:t>15 </w:t>
      </w:r>
      <w:r>
        <w:rPr>
          <w:spacing w:val="-11"/>
        </w:rPr>
        <w:t>家产业单元总经理“揭榜挂</w:t>
      </w:r>
      <w:r>
        <w:rPr>
          <w:spacing w:val="-5"/>
        </w:rPr>
        <w:t>帅</w:t>
      </w:r>
      <w:r>
        <w:rPr>
          <w:spacing w:val="-95"/>
        </w:rPr>
        <w:t xml:space="preserve"> </w:t>
      </w:r>
      <w:r>
        <w:rPr>
          <w:spacing w:val="-5"/>
        </w:rPr>
        <w:t>”并完成组阁，有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 </w:t>
      </w:r>
      <w:r>
        <w:rPr>
          <w:spacing w:val="-5"/>
        </w:rPr>
        <w:t>名经理层成员竞聘失败转入普通岗位。</w:t>
      </w:r>
    </w:p>
    <w:p>
      <w:pPr>
        <w:pStyle w:val="BodyText"/>
        <w:ind w:left="624"/>
        <w:spacing w:before="276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．抓实管理人员竞争上岗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7" w:right="25" w:firstLine="603"/>
        <w:spacing w:before="98" w:line="334" w:lineRule="auto"/>
        <w:jc w:val="both"/>
        <w:rPr/>
      </w:pPr>
      <w:r>
        <w:rPr>
          <w:spacing w:val="1"/>
        </w:rPr>
        <w:t>如南航物流常态化推进竞争上岗，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年管理人员竞争上</w:t>
      </w:r>
      <w:r>
        <w:rPr>
          <w:spacing w:val="-5"/>
        </w:rPr>
        <w:t>岗比例为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94.89%</w:t>
      </w:r>
      <w:r>
        <w:rPr>
          <w:spacing w:val="-5"/>
        </w:rPr>
        <w:t>。中车株洲所对领导人员分群体强制排序考核，</w:t>
      </w:r>
      <w:r>
        <w:rPr>
          <w:spacing w:val="-1"/>
        </w:rPr>
        <w:t>后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5%</w:t>
      </w:r>
      <w:r>
        <w:rPr>
          <w:spacing w:val="-1"/>
        </w:rPr>
        <w:t>列入绩效处罚和末位淘汰范围。中交一公局对连续两次排</w:t>
      </w:r>
      <w:r>
        <w:rPr>
          <w:spacing w:val="-4"/>
        </w:rPr>
        <w:t>名末位的员工，自动降低一级，连续两次赋能仍不能胜任的予以</w:t>
      </w:r>
      <w:r>
        <w:rPr>
          <w:spacing w:val="-11"/>
        </w:rPr>
        <w:t>退出。近两年共对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23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1"/>
        </w:rPr>
        <w:t>名领导干部进行了降职、免</w:t>
      </w:r>
      <w:r>
        <w:rPr>
          <w:spacing w:val="-12"/>
        </w:rPr>
        <w:t>职和调整处理。</w:t>
      </w:r>
    </w:p>
    <w:p>
      <w:pPr>
        <w:ind w:left="1509"/>
        <w:spacing w:before="155" w:line="21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5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央企市场化经营机制相关指标统计</w:t>
      </w:r>
    </w:p>
    <w:p>
      <w:pPr>
        <w:pStyle w:val="BodyText"/>
        <w:ind w:left="5811"/>
        <w:spacing w:before="204" w:line="22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注：统计截至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3"/>
        </w:rPr>
        <w:t>2022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3"/>
        </w:rPr>
        <w:t>年底</w:t>
      </w:r>
    </w:p>
    <w:p>
      <w:pPr>
        <w:ind w:firstLine="14"/>
        <w:spacing w:before="164" w:line="1992" w:lineRule="exact"/>
        <w:rPr/>
      </w:pPr>
      <w:r>
        <w:rPr>
          <w:position w:val="-39"/>
        </w:rPr>
        <w:drawing>
          <wp:inline distT="0" distB="0" distL="0" distR="0">
            <wp:extent cx="5274563" cy="126492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9" w:lineRule="auto"/>
        <w:outlineLvl w:val="2"/>
        <w:rPr/>
      </w:pPr>
      <w:r>
        <w:rPr>
          <w:b/>
          <w:bCs/>
          <w:spacing w:val="-7"/>
        </w:rPr>
        <w:t>（五）</w:t>
      </w:r>
      <w:r>
        <w:rPr>
          <w:spacing w:val="-83"/>
        </w:rPr>
        <w:t xml:space="preserve"> </w:t>
      </w:r>
      <w:r>
        <w:rPr>
          <w:b/>
          <w:bCs/>
          <w:spacing w:val="-7"/>
        </w:rPr>
        <w:t>坚持贡献导向，强化考核激励机制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25" w:firstLine="603"/>
        <w:spacing w:before="98" w:line="333" w:lineRule="auto"/>
        <w:jc w:val="both"/>
        <w:rPr/>
      </w:pPr>
      <w:r>
        <w:rPr>
          <w:spacing w:val="-4"/>
        </w:rPr>
        <w:t>完善激励机制、激发企业活力是标杆“双百企业</w:t>
      </w:r>
      <w:r>
        <w:rPr>
          <w:spacing w:val="-5"/>
        </w:rPr>
        <w:t>”的重要举</w:t>
      </w:r>
      <w:r>
        <w:rPr/>
        <w:t>措，也是促进企业高质量发展、打造世界一流企业的迫切任务。</w:t>
      </w:r>
      <w:r>
        <w:rPr>
          <w:spacing w:val="-4"/>
        </w:rPr>
        <w:t>对激励约束机制改革而言，薪酬差异化与激励机制长期化尤为重</w:t>
      </w:r>
      <w:r>
        <w:rPr>
          <w:spacing w:val="-3"/>
        </w:rPr>
        <w:t>要，须切实发挥贡献考核的导向作用。</w:t>
      </w:r>
    </w:p>
    <w:p>
      <w:pPr>
        <w:pStyle w:val="BodyText"/>
        <w:ind w:left="636"/>
        <w:spacing w:before="27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．抓实差异化薪酬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6" w:right="105" w:firstLine="603"/>
        <w:spacing w:before="97" w:line="345" w:lineRule="auto"/>
        <w:rPr/>
      </w:pPr>
      <w:r>
        <w:rPr>
          <w:spacing w:val="-15"/>
        </w:rPr>
        <w:t>南航物流建立“一人一表”考核制度，“增人不增资、</w:t>
      </w:r>
      <w:r>
        <w:rPr>
          <w:spacing w:val="-16"/>
        </w:rPr>
        <w:t>减人不</w:t>
      </w:r>
      <w:r>
        <w:rPr>
          <w:spacing w:val="-6"/>
        </w:rPr>
        <w:t>减资”的薪酬总额核定机制。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年相同职级的薪酬待遇最大差</w:t>
      </w:r>
    </w:p>
    <w:p>
      <w:pPr>
        <w:spacing w:line="345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6" w:right="12" w:hanging="1"/>
        <w:spacing w:before="184" w:line="335" w:lineRule="auto"/>
        <w:rPr/>
      </w:pPr>
      <w:r>
        <w:rPr>
          <w:spacing w:val="-3"/>
        </w:rPr>
        <w:t>距达到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倍以上。中车株洲所实施“</w:t>
      </w:r>
      <w:r>
        <w:rPr>
          <w:rFonts w:ascii="Times New Roman" w:hAnsi="Times New Roman" w:eastAsia="Times New Roman" w:cs="Times New Roman"/>
          <w:spacing w:val="-3"/>
        </w:rPr>
        <w:t>3+X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3"/>
        </w:rPr>
        <w:t>”薪酬分配模式，</w:t>
      </w:r>
      <w:r>
        <w:rPr>
          <w:spacing w:val="-4"/>
        </w:rPr>
        <w:t>并对</w:t>
      </w:r>
      <w:r>
        <w:rPr>
          <w:spacing w:val="7"/>
        </w:rPr>
        <w:t>核心科技人才实施工资总额单列，薪酬水平为其</w:t>
      </w:r>
      <w:r>
        <w:rPr>
          <w:spacing w:val="6"/>
        </w:rPr>
        <w:t>他同等级岗位</w:t>
      </w:r>
      <w:r>
        <w:rPr>
          <w:rFonts w:ascii="Times New Roman" w:hAnsi="Times New Roman" w:eastAsia="Times New Roman" w:cs="Times New Roman"/>
          <w:spacing w:val="-3"/>
        </w:rPr>
        <w:t>1.5</w:t>
      </w:r>
      <w:r>
        <w:rPr>
          <w:rFonts w:ascii="Times New Roman" w:hAnsi="Times New Roman" w:eastAsia="Times New Roman" w:cs="Times New Roman"/>
          <w:spacing w:val="87"/>
        </w:rPr>
        <w:t xml:space="preserve"> </w:t>
      </w:r>
      <w:r>
        <w:rPr>
          <w:spacing w:val="-3"/>
        </w:rPr>
        <w:t>倍以上。中交一公局推行工资总额分配与业绩增长全挂钩、</w:t>
      </w:r>
      <w:r>
        <w:rPr>
          <w:spacing w:val="-4"/>
        </w:rPr>
        <w:t>全员绩效与业绩全挂钩的“双挂钩”机制，同类所属单位之间主</w:t>
      </w:r>
      <w:r>
        <w:rPr>
          <w:spacing w:val="-3"/>
        </w:rPr>
        <w:t>要负责人的薪酬差距达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3.4 </w:t>
      </w:r>
      <w:r>
        <w:rPr>
          <w:spacing w:val="-3"/>
        </w:rPr>
        <w:t>倍。</w:t>
      </w:r>
    </w:p>
    <w:p>
      <w:pPr>
        <w:pStyle w:val="BodyText"/>
        <w:ind w:left="624"/>
        <w:spacing w:before="256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．中长期激励提质扩面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8" w:right="12" w:firstLine="625"/>
        <w:spacing w:before="97" w:line="334" w:lineRule="auto"/>
        <w:jc w:val="both"/>
        <w:rPr/>
      </w:pPr>
      <w:r>
        <w:rPr>
          <w:spacing w:val="-5"/>
        </w:rPr>
        <w:t>中车株洲所坚持“存量重点用分红、增量重点用</w:t>
      </w:r>
      <w:r>
        <w:rPr>
          <w:spacing w:val="-6"/>
        </w:rPr>
        <w:t>股权、现金</w:t>
      </w:r>
      <w:r>
        <w:rPr>
          <w:spacing w:val="-10"/>
        </w:rPr>
        <w:t>与股权激励相结合”，超过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1600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名核心骨</w:t>
      </w:r>
      <w:r>
        <w:rPr>
          <w:spacing w:val="-11"/>
        </w:rPr>
        <w:t>干员工成为与企业同发</w:t>
      </w:r>
      <w:r>
        <w:rPr>
          <w:spacing w:val="-10"/>
        </w:rPr>
        <w:t>展、共成长的事业“合伙人</w:t>
      </w:r>
      <w:r>
        <w:rPr>
          <w:spacing w:val="-104"/>
        </w:rPr>
        <w:t xml:space="preserve"> </w:t>
      </w:r>
      <w:r>
        <w:rPr>
          <w:spacing w:val="-10"/>
        </w:rPr>
        <w:t>”。南航物流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年有序推进核心员</w:t>
      </w:r>
      <w:r>
        <w:rPr>
          <w:spacing w:val="-2"/>
        </w:rPr>
        <w:t>工持股计划和超额利润分享，员工持股累计激励人数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18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人。</w:t>
      </w:r>
    </w:p>
    <w:p>
      <w:pPr>
        <w:ind w:left="2259"/>
        <w:spacing w:before="156" w:line="21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6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央企激励机制最佳实践</w:t>
      </w:r>
    </w:p>
    <w:p>
      <w:pPr>
        <w:ind w:firstLine="14"/>
        <w:spacing w:before="118" w:line="4329" w:lineRule="exact"/>
        <w:rPr/>
      </w:pPr>
      <w:r>
        <w:rPr>
          <w:position w:val="-86"/>
        </w:rPr>
        <w:drawing>
          <wp:inline distT="0" distB="0" distL="0" distR="0">
            <wp:extent cx="5274563" cy="274929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7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676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三、中国电信“双百行动”打造标杆的建议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8" w:right="13" w:firstLine="598"/>
        <w:spacing w:before="98" w:line="334" w:lineRule="auto"/>
        <w:rPr/>
      </w:pPr>
      <w:r>
        <w:rPr>
          <w:spacing w:val="-4"/>
        </w:rPr>
        <w:t>新一轮的“双百行动”已经开启，行动带来的</w:t>
      </w:r>
      <w:r>
        <w:rPr>
          <w:spacing w:val="-5"/>
        </w:rPr>
        <w:t>系列改革“政</w:t>
      </w:r>
      <w:r>
        <w:rPr>
          <w:spacing w:val="-14"/>
        </w:rPr>
        <w:t>策包”“工具箱”，以及支持、鼓励符合条件的科技型企业</w:t>
      </w:r>
      <w:r>
        <w:rPr>
          <w:spacing w:val="-15"/>
        </w:rPr>
        <w:t>优先在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 w:right="23" w:firstLine="1"/>
        <w:spacing w:before="181" w:line="334" w:lineRule="auto"/>
        <w:jc w:val="both"/>
        <w:rPr/>
      </w:pPr>
      <w:r>
        <w:rPr>
          <w:spacing w:val="-4"/>
        </w:rPr>
        <w:t>科创板上市等利好，将有利于推动打造符合经济高质量发展要求</w:t>
      </w:r>
      <w:r>
        <w:rPr>
          <w:spacing w:val="-6"/>
        </w:rPr>
        <w:t>的国有科技企业。集团应统筹推进打造电信改革样本和创新尖兵，</w:t>
      </w:r>
      <w:r>
        <w:rPr>
          <w:spacing w:val="-3"/>
        </w:rPr>
        <w:t>在集团内部形成良好的引领示范带动效应。</w:t>
      </w:r>
    </w:p>
    <w:p>
      <w:pPr>
        <w:pStyle w:val="BodyText"/>
        <w:ind w:left="629"/>
        <w:spacing w:before="270" w:line="220" w:lineRule="auto"/>
        <w:rPr/>
      </w:pPr>
      <w:r>
        <w:rPr>
          <w:spacing w:val="-8"/>
        </w:rPr>
        <w:t>建议在以下方面着力：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5" w:right="265" w:firstLine="611"/>
        <w:spacing w:before="98" w:line="276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．加强党的领导全面融入公司治理，健全中国特色</w:t>
      </w:r>
      <w:r>
        <w:rPr>
          <w:b/>
          <w:bCs/>
          <w:spacing w:val="-3"/>
        </w:rPr>
        <w:t>现代企</w:t>
      </w:r>
      <w:r>
        <w:rPr>
          <w:b/>
          <w:bCs/>
          <w:spacing w:val="-6"/>
        </w:rPr>
        <w:t>业制度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5" w:firstLine="605"/>
        <w:spacing w:before="97" w:line="332" w:lineRule="auto"/>
        <w:jc w:val="both"/>
        <w:rPr/>
      </w:pPr>
      <w:r>
        <w:rPr>
          <w:spacing w:val="3"/>
        </w:rPr>
        <w:t>一是持续加强党的领导，</w:t>
      </w:r>
      <w:r>
        <w:rPr>
          <w:rFonts w:ascii="Times New Roman" w:hAnsi="Times New Roman" w:eastAsia="Times New Roman" w:cs="Times New Roman"/>
          <w:spacing w:val="3"/>
        </w:rPr>
        <w:t>100%</w:t>
      </w:r>
      <w:r>
        <w:rPr>
          <w:spacing w:val="3"/>
        </w:rPr>
        <w:t>制定党委决定重大事项清单</w:t>
      </w:r>
      <w:r>
        <w:rPr>
          <w:spacing w:val="-4"/>
        </w:rPr>
        <w:t>及党委前置研究讨论重大经营管理事项清单，并提高其精准性和</w:t>
      </w:r>
      <w:r>
        <w:rPr>
          <w:spacing w:val="-5"/>
        </w:rPr>
        <w:t>可操作性，党的领导全面融入公司治理实现制度化规范化</w:t>
      </w:r>
      <w:r>
        <w:rPr>
          <w:spacing w:val="-6"/>
        </w:rPr>
        <w:t>程序化。</w:t>
      </w:r>
    </w:p>
    <w:p>
      <w:pPr>
        <w:pStyle w:val="BodyText"/>
        <w:ind w:left="25" w:right="256" w:firstLine="605"/>
        <w:spacing w:before="283" w:line="332" w:lineRule="auto"/>
        <w:jc w:val="both"/>
        <w:rPr/>
      </w:pPr>
      <w:r>
        <w:rPr>
          <w:spacing w:val="-5"/>
        </w:rPr>
        <w:t>二是持续健全法人治理结构，指导各级子企业建设董事会专</w:t>
      </w:r>
      <w:r>
        <w:rPr>
          <w:spacing w:val="-4"/>
        </w:rPr>
        <w:t>门委员会，进一步完善董事会运作相关制度，全面落实董事会职</w:t>
      </w:r>
      <w:r>
        <w:rPr>
          <w:spacing w:val="2"/>
        </w:rPr>
        <w:t>权。如建立动态调整的授权清单机制，采取</w:t>
      </w:r>
      <w:r>
        <w:rPr>
          <w:rFonts w:ascii="Times New Roman" w:hAnsi="Times New Roman" w:eastAsia="Times New Roman" w:cs="Times New Roman"/>
          <w:spacing w:val="2"/>
        </w:rPr>
        <w:t>“</w:t>
      </w:r>
      <w:r>
        <w:rPr>
          <w:spacing w:val="2"/>
        </w:rPr>
        <w:t>制度</w:t>
      </w:r>
      <w:r>
        <w:rPr>
          <w:rFonts w:ascii="Times New Roman" w:hAnsi="Times New Roman" w:eastAsia="Times New Roman" w:cs="Times New Roman"/>
          <w:spacing w:val="2"/>
        </w:rPr>
        <w:t>+</w:t>
      </w:r>
      <w:r>
        <w:rPr>
          <w:spacing w:val="2"/>
        </w:rPr>
        <w:t>清单</w:t>
      </w:r>
      <w:r>
        <w:rPr>
          <w:rFonts w:ascii="Times New Roman" w:hAnsi="Times New Roman" w:eastAsia="Times New Roman" w:cs="Times New Roman"/>
          <w:spacing w:val="2"/>
        </w:rPr>
        <w:t>”</w:t>
      </w:r>
      <w:r>
        <w:rPr>
          <w:spacing w:val="2"/>
        </w:rPr>
        <w:t>管</w:t>
      </w:r>
      <w:r>
        <w:rPr>
          <w:spacing w:val="1"/>
        </w:rPr>
        <w:t>理模</w:t>
      </w:r>
      <w:r>
        <w:rPr>
          <w:spacing w:val="-3"/>
        </w:rPr>
        <w:t>式制定董事会授权管理办法，</w:t>
      </w:r>
      <w:r>
        <w:rPr>
          <w:spacing w:val="-51"/>
        </w:rPr>
        <w:t xml:space="preserve"> </w:t>
      </w:r>
      <w:r>
        <w:rPr>
          <w:spacing w:val="-3"/>
        </w:rPr>
        <w:t>确保董事会职权全面落实。</w:t>
      </w:r>
    </w:p>
    <w:p>
      <w:pPr>
        <w:pStyle w:val="BodyText"/>
        <w:ind w:left="624"/>
        <w:spacing w:before="284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．深化混合所有制改革，促进国企民企协同发展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6" w:right="258" w:firstLine="628"/>
        <w:spacing w:before="98" w:line="333" w:lineRule="auto"/>
        <w:jc w:val="both"/>
        <w:rPr/>
      </w:pPr>
      <w:r>
        <w:rPr>
          <w:spacing w:val="-5"/>
        </w:rPr>
        <w:t>中国电信应坚持“分层分类、混资引战、转</w:t>
      </w:r>
      <w:r>
        <w:rPr>
          <w:spacing w:val="-6"/>
        </w:rPr>
        <w:t>制提效、依法合</w:t>
      </w:r>
      <w:r>
        <w:rPr>
          <w:spacing w:val="-4"/>
        </w:rPr>
        <w:t>规”原则，分层分类用活股权工具。如在国家“双碳”战略指引</w:t>
      </w:r>
      <w:r>
        <w:rPr>
          <w:spacing w:val="-4"/>
        </w:rPr>
        <w:t>下，除提供传统电力基建及配套服务外，依靠与具有产业优势的</w:t>
      </w:r>
      <w:r>
        <w:rPr>
          <w:spacing w:val="-12"/>
        </w:rPr>
        <w:t>地方国企、优质民企共同出资，</w:t>
      </w:r>
      <w:r>
        <w:rPr>
          <w:spacing w:val="77"/>
        </w:rPr>
        <w:t xml:space="preserve"> </w:t>
      </w:r>
      <w:r>
        <w:rPr>
          <w:spacing w:val="-12"/>
        </w:rPr>
        <w:t>组建公司，补齐“绿色低碳”等</w:t>
      </w:r>
      <w:r>
        <w:rPr>
          <w:spacing w:val="-5"/>
        </w:rPr>
        <w:t>战略性新兴产业短板。</w:t>
      </w:r>
    </w:p>
    <w:p>
      <w:pPr>
        <w:pStyle w:val="BodyText"/>
        <w:ind w:left="31" w:right="264" w:firstLine="590"/>
        <w:spacing w:before="271" w:line="282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．真正按市场化机制运营，打造富有生机活力的现代新国</w:t>
      </w:r>
      <w:r>
        <w:rPr>
          <w:b/>
          <w:bCs/>
          <w:spacing w:val="-4"/>
        </w:rPr>
        <w:t>企</w:t>
      </w:r>
    </w:p>
    <w:p>
      <w:pPr>
        <w:spacing w:line="282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7" w:right="13" w:firstLine="598"/>
        <w:spacing w:before="183" w:line="333" w:lineRule="auto"/>
        <w:jc w:val="both"/>
        <w:rPr/>
      </w:pPr>
      <w:r>
        <w:rPr>
          <w:spacing w:val="-4"/>
        </w:rPr>
        <w:t>全面践行“双百行动”改革要求，按照“契约化</w:t>
      </w:r>
      <w:r>
        <w:rPr>
          <w:spacing w:val="-5"/>
        </w:rPr>
        <w:t>管理、市场</w:t>
      </w:r>
      <w:r>
        <w:rPr>
          <w:spacing w:val="-4"/>
        </w:rPr>
        <w:t>化退出、差异化薪酬、长期化激励”原则，深入实施全覆盖、全</w:t>
      </w:r>
      <w:r>
        <w:rPr>
          <w:spacing w:val="-4"/>
        </w:rPr>
        <w:t>穿透的市场化经营机制和激励机制改革，深度落实管理人员竞争</w:t>
      </w:r>
      <w:r>
        <w:rPr>
          <w:spacing w:val="-4"/>
        </w:rPr>
        <w:t>上岗、末位调整和不胜任退出、考核导向薪酬及股权激励等一系</w:t>
      </w:r>
      <w:r>
        <w:rPr>
          <w:spacing w:val="-1"/>
        </w:rPr>
        <w:t>列举措，激发企业内生动力。</w:t>
      </w:r>
    </w:p>
    <w:p>
      <w:pPr>
        <w:spacing w:line="3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26" w:right="12" w:firstLine="17"/>
        <w:spacing w:before="165" w:line="3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</w:rPr>
        <w:t>附录：央企所属“双百企业”“科改示范企业”2022</w:t>
      </w:r>
      <w:r>
        <w:rPr>
          <w:rFonts w:ascii="SimHei" w:hAnsi="SimHei" w:eastAsia="SimHei" w:cs="SimHei"/>
          <w:sz w:val="31"/>
          <w:szCs w:val="31"/>
          <w:spacing w:val="-2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年度专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项考核结果综合排名</w:t>
      </w:r>
    </w:p>
    <w:p>
      <w:pPr>
        <w:ind w:firstLine="386"/>
        <w:spacing w:before="185" w:line="11467" w:lineRule="exact"/>
        <w:rPr/>
      </w:pPr>
      <w:r>
        <w:rPr>
          <w:position w:val="-229"/>
        </w:rPr>
        <w:drawing>
          <wp:inline distT="0" distB="0" distL="0" distR="0">
            <wp:extent cx="4802123" cy="728167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2123" cy="72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467" w:lineRule="exact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39"/>
        <w:spacing w:before="11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1"/>
        </w:rPr>
        <w:t>作者简介：</w:t>
      </w:r>
      <w:r>
        <w:rPr>
          <w:rFonts w:ascii="KaiTi" w:hAnsi="KaiTi" w:eastAsia="KaiTi" w:cs="KaiTi"/>
          <w:sz w:val="30"/>
          <w:szCs w:val="30"/>
          <w:spacing w:val="1"/>
        </w:rPr>
        <w:t>中国电信股份有限公司研究院/战略发展研究所</w:t>
      </w: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179603</wp:posOffset>
            </wp:positionH>
            <wp:positionV relativeFrom="paragraph">
              <wp:posOffset>79429</wp:posOffset>
            </wp:positionV>
            <wp:extent cx="871727" cy="248716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1727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269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邓丽华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【18918006673】</w:t>
      </w:r>
    </w:p>
    <w:p>
      <w:pPr>
        <w:ind w:left="2255" w:right="203" w:firstLine="296"/>
        <w:spacing w:before="11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长期从事价值评估、行业洞察等，近年来专注</w:t>
      </w:r>
      <w:r>
        <w:rPr>
          <w:rFonts w:ascii="KaiTi" w:hAnsi="KaiTi" w:eastAsia="KaiTi" w:cs="KaiTi"/>
          <w:sz w:val="28"/>
          <w:szCs w:val="28"/>
          <w:spacing w:val="-1"/>
        </w:rPr>
        <w:t>产业数字化、数字政府领域。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269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李一明</w:t>
      </w:r>
    </w:p>
    <w:p>
      <w:pPr>
        <w:ind w:left="2266" w:right="203" w:firstLine="300"/>
        <w:spacing w:before="112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高级工程师，在移动业务市场、商业模式研究</w:t>
      </w:r>
      <w:r>
        <w:rPr>
          <w:rFonts w:ascii="KaiTi" w:hAnsi="KaiTi" w:eastAsia="KaiTi" w:cs="KaiTi"/>
          <w:sz w:val="28"/>
          <w:szCs w:val="28"/>
          <w:spacing w:val="-1"/>
        </w:rPr>
        <w:t>方面有超过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25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年的项目经历，近年专注于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</w:t>
      </w:r>
      <w:r>
        <w:rPr>
          <w:rFonts w:ascii="KaiTi" w:hAnsi="KaiTi" w:eastAsia="KaiTi" w:cs="KaiTi"/>
          <w:sz w:val="28"/>
          <w:szCs w:val="28"/>
          <w:spacing w:val="-1"/>
        </w:rPr>
        <w:t>行业应用、工业互联网等方面的研究。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159791</wp:posOffset>
            </wp:positionH>
            <wp:positionV relativeFrom="paragraph">
              <wp:posOffset>35906</wp:posOffset>
            </wp:positionV>
            <wp:extent cx="908303" cy="126034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303" cy="126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5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田盼</w:t>
      </w:r>
    </w:p>
    <w:p>
      <w:pPr>
        <w:ind w:left="2282" w:right="203" w:firstLine="269"/>
        <w:spacing w:before="105" w:line="22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长期从事行业数字化政策、需求和发展趋势研</w:t>
      </w:r>
      <w:r>
        <w:rPr>
          <w:rFonts w:ascii="KaiTi" w:hAnsi="KaiTi" w:eastAsia="KaiTi" w:cs="KaiTi"/>
          <w:sz w:val="28"/>
          <w:szCs w:val="28"/>
          <w:spacing w:val="-2"/>
        </w:rPr>
        <w:t>究，擅长通过定性和定量结合的方式进行行业研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167411</wp:posOffset>
            </wp:positionH>
            <wp:positionV relativeFrom="paragraph">
              <wp:posOffset>19189</wp:posOffset>
            </wp:positionV>
            <wp:extent cx="900683" cy="1283208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0683" cy="128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78"/>
        <w:spacing w:before="9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张云霞</w:t>
      </w:r>
    </w:p>
    <w:p>
      <w:pPr>
        <w:ind w:left="2264" w:right="484" w:firstLine="280"/>
        <w:spacing w:before="116" w:line="22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一级分析师，主要从事数字城市、数字化转</w:t>
      </w:r>
      <w:r>
        <w:rPr>
          <w:rFonts w:ascii="KaiTi" w:hAnsi="KaiTi" w:eastAsia="KaiTi" w:cs="KaiTi"/>
          <w:sz w:val="28"/>
          <w:szCs w:val="28"/>
          <w:spacing w:val="-1"/>
        </w:rPr>
        <w:t>型、数字政府、智慧城市、物联网等领域的研</w:t>
      </w:r>
      <w:r>
        <w:rPr>
          <w:rFonts w:ascii="KaiTi" w:hAnsi="KaiTi" w:eastAsia="KaiTi" w:cs="KaiTi"/>
          <w:sz w:val="28"/>
          <w:szCs w:val="28"/>
          <w:spacing w:val="-13"/>
        </w:rPr>
        <w:t>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2.jpeg"/><Relationship Id="rId11" Type="http://schemas.openxmlformats.org/officeDocument/2006/relationships/image" Target="media/image11.jpe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2023-12-11T14:27:34Z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2025-11-04T14:24:17</vt:filetime>
  </property>
</Properties>
</file>