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after="156"/>
        <w:jc w:val="center"/>
        <w:rPr>
          <w:sz w:val="32"/>
          <w:szCs w:val="32"/>
        </w:rPr>
      </w:pPr>
      <w:r>
        <w:rPr>
          <w:sz w:val="32"/>
          <w:szCs w:val="32"/>
        </w:rPr>
        <w:t>《</w:t>
      </w:r>
      <w:r>
        <w:rPr>
          <w:rFonts w:hint="eastAsia"/>
          <w:sz w:val="32"/>
          <w:szCs w:val="32"/>
          <w:lang w:val="en-US" w:eastAsia="zh-CN"/>
        </w:rPr>
        <w:t>低空经济场景应用与通信需求白皮书》在“2025全球6G技术与产业生态大会”开幕式发布</w:t>
      </w:r>
    </w:p>
    <w:p>
      <w:pPr>
        <w:spacing w:before="156" w:after="156"/>
        <w:ind w:firstLine="560" w:firstLineChars="200"/>
        <w:rPr>
          <w:rFonts w:ascii="仿宋_GB2312" w:eastAsia="仿宋_GB2312"/>
          <w:sz w:val="28"/>
          <w:szCs w:val="24"/>
        </w:rPr>
      </w:pPr>
      <w:r>
        <w:rPr>
          <w:rFonts w:ascii="仿宋_GB2312" w:eastAsia="仿宋_GB2312"/>
          <w:sz w:val="28"/>
          <w:szCs w:val="24"/>
        </w:rPr>
        <w:t>低空经济是以各种航空器的低空飞行活动为牵引，辐射带动相关领域融合发展的综合性经济形态</w:t>
      </w:r>
      <w:r>
        <w:rPr>
          <w:rFonts w:hint="eastAsia" w:ascii="仿宋_GB2312" w:eastAsia="仿宋_GB2312"/>
          <w:sz w:val="28"/>
          <w:szCs w:val="24"/>
        </w:rPr>
        <w:t>。</w:t>
      </w:r>
      <w:r>
        <w:rPr>
          <w:rFonts w:ascii="仿宋_GB2312" w:eastAsia="仿宋_GB2312"/>
          <w:sz w:val="28"/>
          <w:szCs w:val="24"/>
        </w:rPr>
        <w:t>2025 年《政府工作报告》明确提出</w:t>
      </w:r>
      <w:r>
        <w:rPr>
          <w:rFonts w:hint="eastAsia" w:ascii="仿宋_GB2312" w:eastAsia="仿宋_GB2312"/>
          <w:sz w:val="28"/>
          <w:szCs w:val="24"/>
        </w:rPr>
        <w:t>“推动低空经济等新兴产业安全健康发展”，推动低空经济成为经济增长的新引擎。在此基础上，</w:t>
      </w:r>
      <w:r>
        <w:rPr>
          <w:rFonts w:ascii="仿宋_GB2312" w:eastAsia="仿宋_GB2312"/>
          <w:sz w:val="28"/>
          <w:szCs w:val="24"/>
        </w:rPr>
        <w:t>低空经济产业已渗透到百业百态中，从物流、交通、应急到植保、测绘，从消费级无人机到工业级无人机</w:t>
      </w:r>
      <w:r>
        <w:rPr>
          <w:rFonts w:hint="eastAsia" w:ascii="仿宋_GB2312" w:eastAsia="仿宋_GB2312"/>
          <w:sz w:val="28"/>
          <w:szCs w:val="24"/>
        </w:rPr>
        <w:t>，</w:t>
      </w:r>
      <w:r>
        <w:rPr>
          <w:rFonts w:ascii="仿宋_GB2312" w:eastAsia="仿宋_GB2312"/>
          <w:sz w:val="28"/>
          <w:szCs w:val="24"/>
        </w:rPr>
        <w:t>应用场景日益丰富</w:t>
      </w:r>
      <w:r>
        <w:rPr>
          <w:rFonts w:hint="eastAsia" w:ascii="仿宋_GB2312" w:eastAsia="仿宋_GB2312"/>
          <w:sz w:val="28"/>
          <w:szCs w:val="24"/>
        </w:rPr>
        <w:t>。</w:t>
      </w:r>
    </w:p>
    <w:p>
      <w:pPr>
        <w:spacing w:before="156" w:after="156"/>
        <w:ind w:firstLine="560" w:firstLineChars="200"/>
        <w:rPr>
          <w:rFonts w:hint="eastAsia" w:ascii="仿宋_GB2312" w:eastAsia="仿宋_GB2312"/>
          <w:sz w:val="28"/>
          <w:szCs w:val="24"/>
        </w:rPr>
      </w:pPr>
      <w:r>
        <w:rPr>
          <w:rFonts w:ascii="仿宋_GB2312" w:eastAsia="仿宋_GB2312"/>
          <w:sz w:val="28"/>
          <w:szCs w:val="24"/>
        </w:rPr>
        <w:t>低空经济的发展依赖于能够满足其独特需求的先进通信技术，应用场景的多样化发展也对信息通信技术提出了更高的要求。</w:t>
      </w:r>
      <w:r>
        <w:rPr>
          <w:rFonts w:hint="eastAsia" w:ascii="仿宋_GB2312" w:eastAsia="仿宋_GB2312"/>
          <w:sz w:val="28"/>
          <w:szCs w:val="24"/>
        </w:rPr>
        <w:t>为推动</w:t>
      </w:r>
      <w:r>
        <w:rPr>
          <w:rFonts w:ascii="仿宋_GB2312" w:eastAsia="仿宋_GB2312"/>
          <w:sz w:val="28"/>
          <w:szCs w:val="24"/>
        </w:rPr>
        <w:t>低空经济场景应用和所对应的通信需求研究，</w:t>
      </w:r>
      <w:r>
        <w:rPr>
          <w:rFonts w:hint="eastAsia" w:ascii="仿宋_GB2312" w:eastAsia="仿宋_GB2312"/>
          <w:sz w:val="28"/>
          <w:szCs w:val="24"/>
        </w:rPr>
        <w:t>推动</w:t>
      </w:r>
      <w:r>
        <w:rPr>
          <w:rFonts w:ascii="仿宋_GB2312" w:eastAsia="仿宋_GB2312"/>
          <w:sz w:val="28"/>
          <w:szCs w:val="24"/>
        </w:rPr>
        <w:t>信息通信技术助力低空经济发展</w:t>
      </w:r>
      <w:r>
        <w:rPr>
          <w:rFonts w:hint="eastAsia" w:ascii="仿宋_GB2312" w:eastAsia="仿宋_GB2312"/>
          <w:sz w:val="28"/>
          <w:szCs w:val="24"/>
        </w:rPr>
        <w:t>，天翼智库团队积极参与</w:t>
      </w:r>
      <w:r>
        <w:rPr>
          <w:rFonts w:ascii="仿宋_GB2312" w:eastAsia="仿宋_GB2312"/>
          <w:sz w:val="28"/>
          <w:szCs w:val="24"/>
        </w:rPr>
        <w:t>未来移动通信论坛、数字低空工作组</w:t>
      </w:r>
      <w:r>
        <w:rPr>
          <w:rFonts w:hint="eastAsia" w:ascii="仿宋_GB2312" w:eastAsia="仿宋_GB2312"/>
          <w:sz w:val="28"/>
          <w:szCs w:val="24"/>
        </w:rPr>
        <w:t>的相关工作，</w:t>
      </w:r>
      <w:r>
        <w:rPr>
          <w:rFonts w:hint="eastAsia" w:ascii="仿宋_GB2312" w:eastAsia="仿宋_GB2312"/>
          <w:sz w:val="28"/>
          <w:szCs w:val="24"/>
          <w:lang w:val="en-US" w:eastAsia="zh-CN"/>
        </w:rPr>
        <w:t>与</w:t>
      </w:r>
      <w:r>
        <w:rPr>
          <w:rFonts w:hint="eastAsia" w:ascii="仿宋_GB2312" w:eastAsia="仿宋_GB2312"/>
          <w:sz w:val="28"/>
          <w:szCs w:val="24"/>
        </w:rPr>
        <w:t>中国联通研究院</w:t>
      </w:r>
      <w:r>
        <w:rPr>
          <w:rFonts w:hint="eastAsia" w:ascii="仿宋_GB2312" w:eastAsia="仿宋_GB2312"/>
          <w:sz w:val="28"/>
          <w:szCs w:val="24"/>
          <w:lang w:val="en-US" w:eastAsia="zh-CN"/>
        </w:rPr>
        <w:t>联合牵头，并积极协同高通、是德科技等产业伙伴，共同编写</w:t>
      </w:r>
      <w:r>
        <w:rPr>
          <w:rFonts w:hint="eastAsia" w:ascii="仿宋_GB2312" w:eastAsia="仿宋_GB2312"/>
          <w:sz w:val="28"/>
          <w:szCs w:val="24"/>
        </w:rPr>
        <w:t>《</w:t>
      </w:r>
      <w:r>
        <w:rPr>
          <w:rFonts w:ascii="仿宋_GB2312" w:eastAsia="仿宋_GB2312"/>
          <w:sz w:val="28"/>
          <w:szCs w:val="24"/>
        </w:rPr>
        <w:t>低空经济场景应用与通信需求白皮书</w:t>
      </w:r>
      <w:r>
        <w:rPr>
          <w:rFonts w:hint="eastAsia" w:ascii="仿宋_GB2312" w:eastAsia="仿宋_GB2312"/>
          <w:sz w:val="28"/>
          <w:szCs w:val="24"/>
        </w:rPr>
        <w:t>》，</w:t>
      </w:r>
      <w:r>
        <w:rPr>
          <w:rFonts w:hint="eastAsia" w:ascii="仿宋_GB2312" w:eastAsia="仿宋_GB2312"/>
          <w:sz w:val="28"/>
          <w:szCs w:val="24"/>
          <w:lang w:val="en-US" w:eastAsia="zh-CN"/>
        </w:rPr>
        <w:t>并</w:t>
      </w:r>
      <w:r>
        <w:rPr>
          <w:rFonts w:hint="eastAsia" w:ascii="仿宋_GB2312" w:eastAsia="仿宋_GB2312"/>
          <w:sz w:val="28"/>
          <w:szCs w:val="24"/>
        </w:rPr>
        <w:t>于2025年4月10日在“2025全球6G技术与产业生态大会”</w:t>
      </w:r>
      <w:r>
        <w:rPr>
          <w:rFonts w:hint="eastAsia" w:ascii="仿宋_GB2312" w:eastAsia="仿宋_GB2312"/>
          <w:sz w:val="28"/>
          <w:szCs w:val="24"/>
          <w:lang w:val="en-US" w:eastAsia="zh-CN"/>
        </w:rPr>
        <w:t>主论坛上</w:t>
      </w:r>
      <w:r>
        <w:rPr>
          <w:rFonts w:hint="eastAsia" w:ascii="仿宋_GB2312" w:eastAsia="仿宋_GB2312"/>
          <w:sz w:val="28"/>
          <w:szCs w:val="24"/>
        </w:rPr>
        <w:t>面向行业发布。</w:t>
      </w:r>
    </w:p>
    <w:p>
      <w:pPr>
        <w:spacing w:before="156" w:after="156"/>
        <w:ind w:firstLine="560" w:firstLineChars="200"/>
        <w:jc w:val="center"/>
        <w:rPr>
          <w:rFonts w:hint="eastAsia" w:ascii="仿宋_GB2312" w:eastAsia="仿宋_GB2312"/>
          <w:sz w:val="28"/>
          <w:szCs w:val="24"/>
          <w:lang w:eastAsia="zh-CN"/>
        </w:rPr>
      </w:pPr>
      <w:r>
        <w:rPr>
          <w:rFonts w:hint="eastAsia" w:ascii="仿宋_GB2312" w:eastAsia="仿宋_GB2312"/>
          <w:sz w:val="28"/>
          <w:szCs w:val="24"/>
          <w:lang w:eastAsia="zh-CN"/>
        </w:rPr>
        <w:drawing>
          <wp:inline distT="0" distB="0" distL="114300" distR="114300">
            <wp:extent cx="1692275" cy="2378710"/>
            <wp:effectExtent l="0" t="0" r="9525" b="8890"/>
            <wp:docPr id="1" name="图片 1" descr="1744884122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4884122954"/>
                    <pic:cNvPicPr>
                      <a:picLocks noChangeAspect="1"/>
                    </pic:cNvPicPr>
                  </pic:nvPicPr>
                  <pic:blipFill>
                    <a:blip r:embed="rId6"/>
                    <a:srcRect l="997" t="795" r="1433" b="2053"/>
                    <a:stretch>
                      <a:fillRect/>
                    </a:stretch>
                  </pic:blipFill>
                  <pic:spPr>
                    <a:xfrm>
                      <a:off x="0" y="0"/>
                      <a:ext cx="169227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6" w:after="156"/>
        <w:ind w:firstLine="560" w:firstLineChars="200"/>
      </w:pPr>
      <w:r>
        <w:rPr>
          <w:rFonts w:hint="eastAsia" w:ascii="仿宋_GB2312" w:eastAsia="仿宋_GB2312"/>
          <w:sz w:val="28"/>
          <w:szCs w:val="24"/>
        </w:rPr>
        <w:t>白皮书指出低空经济的产业链不断完善，低空经济的应用场景</w:t>
      </w:r>
      <w:r>
        <w:rPr>
          <w:rFonts w:ascii="仿宋_GB2312" w:eastAsia="仿宋_GB2312"/>
          <w:sz w:val="28"/>
          <w:szCs w:val="24"/>
        </w:rPr>
        <w:t>特点鲜明且应用广泛</w:t>
      </w:r>
      <w:r>
        <w:rPr>
          <w:rFonts w:hint="eastAsia" w:ascii="仿宋_GB2312" w:eastAsia="仿宋_GB2312"/>
          <w:sz w:val="28"/>
          <w:szCs w:val="24"/>
        </w:rPr>
        <w:t>。低空信息通信系统作为低空经济安全、高效运行的关键支撑，</w:t>
      </w:r>
      <w:r>
        <w:rPr>
          <w:rFonts w:hint="eastAsia" w:ascii="仿宋_GB2312" w:eastAsia="仿宋_GB2312"/>
          <w:sz w:val="28"/>
          <w:szCs w:val="24"/>
          <w:lang w:val="en-US" w:eastAsia="zh-CN"/>
        </w:rPr>
        <w:t>但其量化性需求一直有待讨论。针对此</w:t>
      </w:r>
      <w:r>
        <w:rPr>
          <w:rFonts w:hint="eastAsia" w:ascii="仿宋_GB2312" w:eastAsia="仿宋_GB2312"/>
          <w:sz w:val="28"/>
          <w:szCs w:val="24"/>
        </w:rPr>
        <w:t>天翼智库团队通过</w:t>
      </w:r>
      <w:r>
        <w:rPr>
          <w:rFonts w:hint="eastAsia" w:ascii="仿宋_GB2312" w:eastAsia="仿宋_GB2312"/>
          <w:sz w:val="28"/>
          <w:szCs w:val="24"/>
          <w:lang w:val="en-US" w:eastAsia="zh-CN"/>
        </w:rPr>
        <w:t>案头研究、专家访谈</w:t>
      </w:r>
      <w:r>
        <w:rPr>
          <w:rFonts w:hint="eastAsia" w:ascii="仿宋_GB2312" w:eastAsia="仿宋_GB2312"/>
          <w:sz w:val="28"/>
          <w:szCs w:val="24"/>
        </w:rPr>
        <w:t>等形式</w:t>
      </w:r>
      <w:r>
        <w:rPr>
          <w:rFonts w:ascii="仿宋_GB2312" w:eastAsia="仿宋_GB2312"/>
          <w:sz w:val="28"/>
          <w:szCs w:val="24"/>
        </w:rPr>
        <w:t>深度挖掘</w:t>
      </w:r>
      <w:r>
        <w:rPr>
          <w:rFonts w:hint="eastAsia" w:ascii="仿宋_GB2312" w:eastAsia="仿宋_GB2312"/>
          <w:sz w:val="28"/>
          <w:szCs w:val="24"/>
        </w:rPr>
        <w:t>低空六大典型</w:t>
      </w:r>
      <w:r>
        <w:rPr>
          <w:rFonts w:ascii="仿宋_GB2312" w:eastAsia="仿宋_GB2312"/>
          <w:sz w:val="28"/>
          <w:szCs w:val="24"/>
        </w:rPr>
        <w:t>应用场景，</w:t>
      </w:r>
      <w:r>
        <w:rPr>
          <w:rFonts w:hint="eastAsia" w:ascii="仿宋_GB2312" w:eastAsia="仿宋_GB2312"/>
          <w:sz w:val="28"/>
          <w:szCs w:val="24"/>
        </w:rPr>
        <w:t>以案例为代表分析六大应用场景的需求情况，</w:t>
      </w:r>
      <w:r>
        <w:rPr>
          <w:rFonts w:hint="eastAsia" w:ascii="仿宋_GB2312" w:eastAsia="仿宋_GB2312"/>
          <w:sz w:val="28"/>
          <w:szCs w:val="24"/>
          <w:lang w:val="en-US" w:eastAsia="zh-CN"/>
        </w:rPr>
        <w:t>业内首次</w:t>
      </w:r>
      <w:r>
        <w:rPr>
          <w:rFonts w:hint="eastAsia" w:ascii="仿宋_GB2312" w:eastAsia="仿宋_GB2312"/>
          <w:sz w:val="28"/>
          <w:szCs w:val="24"/>
        </w:rPr>
        <w:t>落实通信等基础设施需求的具体指标颗粒度，</w:t>
      </w:r>
      <w:r>
        <w:rPr>
          <w:rFonts w:hint="eastAsia" w:ascii="仿宋_GB2312" w:eastAsia="仿宋_GB2312"/>
          <w:sz w:val="28"/>
          <w:szCs w:val="24"/>
          <w:lang w:val="en-US" w:eastAsia="zh-CN"/>
        </w:rPr>
        <w:t>抛转引玉，旨在</w:t>
      </w:r>
      <w:r>
        <w:rPr>
          <w:rFonts w:hint="eastAsia" w:ascii="仿宋_GB2312" w:eastAsia="仿宋_GB2312"/>
          <w:sz w:val="28"/>
          <w:szCs w:val="24"/>
        </w:rPr>
        <w:t>为低空信息通信系统的建设</w:t>
      </w:r>
      <w:r>
        <w:rPr>
          <w:rFonts w:hint="eastAsia" w:ascii="仿宋_GB2312" w:eastAsia="仿宋_GB2312"/>
          <w:sz w:val="28"/>
          <w:szCs w:val="24"/>
          <w:lang w:val="en-US" w:eastAsia="zh-CN"/>
        </w:rPr>
        <w:t>提供参考依据</w:t>
      </w:r>
      <w:r>
        <w:rPr>
          <w:rFonts w:hint="eastAsia" w:ascii="仿宋_GB2312" w:eastAsia="仿宋_GB2312"/>
          <w:sz w:val="28"/>
          <w:szCs w:val="24"/>
        </w:rPr>
        <w:t>。</w:t>
      </w:r>
    </w:p>
    <w:tbl>
      <w:tblPr>
        <w:tblStyle w:val="15"/>
        <w:tblW w:w="832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5"/>
        <w:gridCol w:w="62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83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firstLine="420" w:firstLineChars="20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农林植保场景需求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终端需求</w:t>
            </w:r>
          </w:p>
        </w:tc>
        <w:tc>
          <w:tcPr>
            <w:tcW w:w="6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续航能力要求高，作业时长＞100min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需要搭载摄像头、传感器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通信需求</w:t>
            </w:r>
          </w:p>
        </w:tc>
        <w:tc>
          <w:tcPr>
            <w:tcW w:w="6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实时通信能力要求低，以飞控数据为主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上/下行约300Kbps，控制端到端时延20~100ms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飞行、起降需求</w:t>
            </w:r>
          </w:p>
        </w:tc>
        <w:tc>
          <w:tcPr>
            <w:tcW w:w="6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飞行高度10~200m不等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起降点位置选定较宽松，但起降阶段需实现厘米级定位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定位需求</w:t>
            </w:r>
          </w:p>
        </w:tc>
        <w:tc>
          <w:tcPr>
            <w:tcW w:w="6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大多场景需实现＜1m级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特殊场景（如农业土地勘测等）需＜0.1m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平台需求</w:t>
            </w:r>
          </w:p>
        </w:tc>
        <w:tc>
          <w:tcPr>
            <w:tcW w:w="6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建立农业大数据库，实时收集和自动传输作业相关数据，获取农田实时信息</w:t>
            </w:r>
          </w:p>
        </w:tc>
      </w:tr>
    </w:tbl>
    <w:p>
      <w:pPr>
        <w:spacing w:before="156" w:after="156"/>
        <w:ind w:firstLine="420" w:firstLineChars="200"/>
      </w:pPr>
    </w:p>
    <w:tbl>
      <w:tblPr>
        <w:tblStyle w:val="15"/>
        <w:tblW w:w="842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628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84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firstLine="422" w:firstLineChars="20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物流场景需求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  <w:jc w:val="center"/>
        </w:trPr>
        <w:tc>
          <w:tcPr>
            <w:tcW w:w="2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终端需求</w:t>
            </w:r>
          </w:p>
        </w:tc>
        <w:tc>
          <w:tcPr>
            <w:tcW w:w="6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续航能力要求＞30min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需要搭载外卖专用温控储物箱、5G 通信模块、智能机械手臂、避障传感器、智能温控系统、快速换电模块、实时飞行监控系统等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  <w:jc w:val="center"/>
        </w:trPr>
        <w:tc>
          <w:tcPr>
            <w:tcW w:w="2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通信需求</w:t>
            </w:r>
          </w:p>
        </w:tc>
        <w:tc>
          <w:tcPr>
            <w:tcW w:w="6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实时通信能力要求高，飞控数据为基础，城市场景还需对飞行区域的图像进行实时回传，以便意外时可人工接管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飞控上/下行约300Kbps，高清视频约25Mbps；控制端到端时延20~100ms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  <w:jc w:val="center"/>
        </w:trPr>
        <w:tc>
          <w:tcPr>
            <w:tcW w:w="2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飞行、起降需求</w:t>
            </w:r>
          </w:p>
        </w:tc>
        <w:tc>
          <w:tcPr>
            <w:tcW w:w="6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飞行高度100~120m不等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起降点位置要求高，尤其是在城市内需要具备良好的净空条件，起降阶段需实现厘米级定位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2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定位需求</w:t>
            </w:r>
          </w:p>
        </w:tc>
        <w:tc>
          <w:tcPr>
            <w:tcW w:w="6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大多场景需实现＜1m级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人工接管的场景需要达到亚米级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21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平台需求</w:t>
            </w:r>
          </w:p>
        </w:tc>
        <w:tc>
          <w:tcPr>
            <w:tcW w:w="6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支持多机协同路径规划、自动化飞行控制和应急管理制度，确保无人机在复杂环境中的安全运行</w:t>
            </w:r>
          </w:p>
        </w:tc>
      </w:tr>
    </w:tbl>
    <w:p>
      <w:pPr>
        <w:spacing w:before="156" w:after="156"/>
        <w:ind w:firstLine="420" w:firstLineChars="200"/>
      </w:pPr>
    </w:p>
    <w:tbl>
      <w:tblPr>
        <w:tblStyle w:val="15"/>
        <w:tblpPr w:leftFromText="180" w:rightFromText="180" w:vertAnchor="text" w:horzAnchor="page" w:tblpXSpec="center" w:tblpY="303"/>
        <w:tblOverlap w:val="never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0"/>
        <w:gridCol w:w="626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500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firstLine="422" w:firstLineChars="20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城市管理场景需求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终端需求</w:t>
            </w:r>
          </w:p>
        </w:tc>
        <w:tc>
          <w:tcPr>
            <w:tcW w:w="3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不同场景续航能力需求不一，快速出警类要求＞30min；城市消防等较大区域任务要求＞4h；大规模灾害响应＞36h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需要搭载高分辨率摄像机、热成像仪、激光雷达、多光谱传感器、远程通信模块、自动避障系统、数据记录与存储设备等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  <w:jc w:val="center"/>
        </w:trPr>
        <w:tc>
          <w:tcPr>
            <w:tcW w:w="1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通信需求</w:t>
            </w:r>
          </w:p>
        </w:tc>
        <w:tc>
          <w:tcPr>
            <w:tcW w:w="3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城市低空飞行器的通信需求要求高带宽和低时延的网络支持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视频回传＞6Mbps；控制端到端时延20~100ms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1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飞行、起降需求</w:t>
            </w:r>
          </w:p>
        </w:tc>
        <w:tc>
          <w:tcPr>
            <w:tcW w:w="3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飞行高度100m左右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城市内起降点，位置要求高，起降阶段需实现厘米级定位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定位需求</w:t>
            </w:r>
          </w:p>
        </w:tc>
        <w:tc>
          <w:tcPr>
            <w:tcW w:w="3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大多场景需实现＜1m级，高清场景需要实现＜0.5m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3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平台需求</w:t>
            </w:r>
          </w:p>
        </w:tc>
        <w:tc>
          <w:tcPr>
            <w:tcW w:w="3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城市UTM系统需处理单个或多个无人机在近距离内的飞行，以管理BVLOS无人机交通，并具备实时4D的冲突避免、优化和紧急事件处理能力</w:t>
            </w:r>
          </w:p>
        </w:tc>
      </w:tr>
    </w:tbl>
    <w:p>
      <w:pPr>
        <w:spacing w:before="156" w:after="156"/>
        <w:ind w:firstLine="420" w:firstLineChars="200"/>
      </w:pPr>
    </w:p>
    <w:tbl>
      <w:tblPr>
        <w:tblStyle w:val="15"/>
        <w:tblW w:w="832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62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832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firstLine="422" w:firstLineChars="20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交通文旅场景需求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  <w:jc w:val="center"/>
        </w:trPr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终端需求</w:t>
            </w:r>
          </w:p>
        </w:tc>
        <w:tc>
          <w:tcPr>
            <w:tcW w:w="6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不同场景续航能力需求不一，文旅类要求＞20min；交通类要求＞1h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需要集成多种功能，包括图传和数传的通信协议设计、多链路接入调度、载荷智能控制、高精度定位等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通信需求</w:t>
            </w:r>
          </w:p>
        </w:tc>
        <w:tc>
          <w:tcPr>
            <w:tcW w:w="6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交通文旅场景与游客、旅客关系密切，且运行环境复杂且对安全性要求极高，通信系统必须具备极低的延迟和高可靠性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可靠性＞99.999%、时延＜10ms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飞行、起降需求</w:t>
            </w:r>
          </w:p>
        </w:tc>
        <w:tc>
          <w:tcPr>
            <w:tcW w:w="6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飞行高度300m-600m左右，未来甚至更高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定位需求</w:t>
            </w:r>
          </w:p>
        </w:tc>
        <w:tc>
          <w:tcPr>
            <w:tcW w:w="6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定位精度＜0.1m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平台需求</w:t>
            </w:r>
          </w:p>
        </w:tc>
        <w:tc>
          <w:tcPr>
            <w:tcW w:w="6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需要处理大量的飞行数据，并根据不同的应用需求提供实时或离线处理服务；城市UAM系统还需需处理单个或多个无人机在近距离内的飞行，以管理BVLOS无人机交通，并具备实时4D的冲突避免、优化和紧急事件处理能力</w:t>
            </w:r>
          </w:p>
        </w:tc>
      </w:tr>
    </w:tbl>
    <w:p>
      <w:pPr>
        <w:spacing w:before="156" w:after="156"/>
        <w:ind w:firstLine="420" w:firstLineChars="200"/>
      </w:pPr>
    </w:p>
    <w:tbl>
      <w:tblPr>
        <w:tblStyle w:val="15"/>
        <w:tblW w:w="837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0"/>
        <w:gridCol w:w="57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83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firstLine="422" w:firstLineChars="20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能源巡检场景需求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  <w:jc w:val="center"/>
        </w:trPr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终端需求</w:t>
            </w:r>
          </w:p>
        </w:tc>
        <w:tc>
          <w:tcPr>
            <w:tcW w:w="5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能源巡检类往往作业于复杂环境和长距离任务，对于无人机的续航能力需求较高，至少需达小时级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需要搭载无人机叠加红外摄像机、光电吊舱、气体嗅探仪、红外光谱分析、激光雷达系统、高光谱气体检测器、导航与定位系统、数据传输与存储设备、环境适应装置等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通信需求</w:t>
            </w:r>
          </w:p>
        </w:tc>
        <w:tc>
          <w:tcPr>
            <w:tcW w:w="5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特殊场景巡检需要高带宽视频回传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视频回传＞6Mbps，如高清视频需＞25Mbps；控制端到端时延20~100ms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飞行、起降需求</w:t>
            </w:r>
          </w:p>
        </w:tc>
        <w:tc>
          <w:tcPr>
            <w:tcW w:w="5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飞行高度100m左右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城市内起降点，位置要求高，起降阶段需实现厘米级定位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定位需求</w:t>
            </w:r>
          </w:p>
        </w:tc>
        <w:tc>
          <w:tcPr>
            <w:tcW w:w="5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大多场景需实现＜1m级，高清场景需要实现＜0.5m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平台需求</w:t>
            </w:r>
          </w:p>
        </w:tc>
        <w:tc>
          <w:tcPr>
            <w:tcW w:w="5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平台需集成多种传感器数据，如可见光、红外等，以实现精细化巡检。</w:t>
            </w:r>
          </w:p>
        </w:tc>
      </w:tr>
    </w:tbl>
    <w:p>
      <w:pPr>
        <w:spacing w:before="156" w:after="156"/>
        <w:ind w:firstLine="420" w:firstLineChars="200"/>
      </w:pPr>
    </w:p>
    <w:tbl>
      <w:tblPr>
        <w:tblStyle w:val="1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4"/>
        <w:gridCol w:w="638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500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firstLine="422" w:firstLineChars="20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地理测绘场景需求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终端需求</w:t>
            </w:r>
          </w:p>
        </w:tc>
        <w:tc>
          <w:tcPr>
            <w:tcW w:w="3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续航能力＞30min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需集成多种传感器数据，如可见光、红外等，以实现精细化巡检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通信需求</w:t>
            </w:r>
          </w:p>
        </w:tc>
        <w:tc>
          <w:tcPr>
            <w:tcW w:w="3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可通过视频存储方式保存信息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如需实时回传，则图片信息＞6Mbps，激光测绘信息＞100Mbps；控制端到端时延20~100ms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飞行、起降需求</w:t>
            </w:r>
          </w:p>
        </w:tc>
        <w:tc>
          <w:tcPr>
            <w:tcW w:w="3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飞行高度100m~200m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依据作业环境，选择地势平坦、无障碍物的开阔地带作为起降点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定位需求</w:t>
            </w:r>
          </w:p>
        </w:tc>
        <w:tc>
          <w:tcPr>
            <w:tcW w:w="3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大多场景需实现＜1m级，激光测绘场景需要实现＜0.1m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  <w:jc w:val="center"/>
        </w:trPr>
        <w:tc>
          <w:tcPr>
            <w:tcW w:w="12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平台需求</w:t>
            </w:r>
          </w:p>
        </w:tc>
        <w:tc>
          <w:tcPr>
            <w:tcW w:w="37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widowControl/>
              <w:suppressLineNumbers w:val="0"/>
              <w:spacing w:after="0" w:line="360" w:lineRule="auto"/>
              <w:ind w:left="0" w:leftChars="0" w:firstLine="0" w:firstLineChars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24292F"/>
                <w:kern w:val="2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24292F"/>
                <w:kern w:val="0"/>
                <w:sz w:val="21"/>
                <w:szCs w:val="21"/>
                <w:u w:val="none"/>
                <w:lang w:val="en-US" w:eastAsia="zh-CN" w:bidi="ar"/>
              </w:rPr>
              <w:t>低空地理测绘需要快速、实时地获取和处理大量三维地理信息数据。云平台需具备高效的计算资源和存储能力、高并发与弹性扩展能力以及多元数据融合、智能化处理能力等</w:t>
            </w:r>
          </w:p>
        </w:tc>
      </w:tr>
    </w:tbl>
    <w:p>
      <w:pPr>
        <w:spacing w:before="156" w:after="156"/>
        <w:ind w:firstLine="560" w:firstLineChars="200"/>
        <w:rPr>
          <w:rFonts w:hint="eastAsia" w:ascii="仿宋_GB2312" w:eastAsia="仿宋_GB2312"/>
          <w:sz w:val="28"/>
          <w:szCs w:val="24"/>
        </w:rPr>
      </w:pPr>
    </w:p>
    <w:p>
      <w:pPr>
        <w:spacing w:before="156" w:after="156"/>
        <w:ind w:firstLine="560" w:firstLineChars="200"/>
        <w:rPr>
          <w:rFonts w:hint="eastAsia" w:ascii="仿宋_GB2312" w:eastAsia="仿宋_GB2312"/>
          <w:sz w:val="28"/>
          <w:szCs w:val="24"/>
          <w:lang w:val="en-US" w:eastAsia="zh-CN"/>
        </w:rPr>
      </w:pPr>
      <w:r>
        <w:rPr>
          <w:rFonts w:hint="eastAsia" w:ascii="仿宋_GB2312" w:eastAsia="仿宋_GB2312"/>
          <w:sz w:val="28"/>
          <w:szCs w:val="24"/>
          <w:lang w:val="en-US" w:eastAsia="zh-CN"/>
        </w:rPr>
        <w:t>更多精彩详细内容，可通过扫描二维码进行报告下载。欢迎广大业务人士一同交流研讨。</w:t>
      </w:r>
    </w:p>
    <w:p>
      <w:pPr>
        <w:spacing w:before="156" w:after="156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75410" cy="1348105"/>
            <wp:effectExtent l="0" t="0" r="8890" b="10795"/>
            <wp:docPr id="2" name="图片 2" descr="1744884250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48842506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before="156" w:after="156"/>
        <w:ind w:firstLine="420" w:firstLineChars="200"/>
      </w:pPr>
    </w:p>
    <w:p>
      <w:pPr>
        <w:spacing w:before="156" w:after="156"/>
        <w:ind w:firstLine="420" w:firstLineChars="200"/>
        <w:rPr>
          <w:rFonts w:hint="eastAsia"/>
        </w:rPr>
      </w:pPr>
    </w:p>
    <w:p>
      <w:pPr>
        <w:spacing w:before="156" w:after="156"/>
        <w:rPr>
          <w:rFonts w:hint="default" w:ascii="仿宋_GB2312" w:eastAsia="仿宋_GB2312"/>
          <w:sz w:val="28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4FD"/>
    <w:rsid w:val="00050E9D"/>
    <w:rsid w:val="000914FD"/>
    <w:rsid w:val="00154C09"/>
    <w:rsid w:val="00197C56"/>
    <w:rsid w:val="001C068D"/>
    <w:rsid w:val="002541D9"/>
    <w:rsid w:val="00256D4D"/>
    <w:rsid w:val="002E482C"/>
    <w:rsid w:val="003331D3"/>
    <w:rsid w:val="00337825"/>
    <w:rsid w:val="00344F44"/>
    <w:rsid w:val="00371CE3"/>
    <w:rsid w:val="004024CF"/>
    <w:rsid w:val="00434FC1"/>
    <w:rsid w:val="00462866"/>
    <w:rsid w:val="004B0E69"/>
    <w:rsid w:val="004C1A79"/>
    <w:rsid w:val="004D618D"/>
    <w:rsid w:val="004F75F2"/>
    <w:rsid w:val="00523538"/>
    <w:rsid w:val="0052405E"/>
    <w:rsid w:val="00570653"/>
    <w:rsid w:val="005828A0"/>
    <w:rsid w:val="005C135F"/>
    <w:rsid w:val="005F54B4"/>
    <w:rsid w:val="00607E92"/>
    <w:rsid w:val="006406D8"/>
    <w:rsid w:val="006A0D58"/>
    <w:rsid w:val="00712913"/>
    <w:rsid w:val="00750442"/>
    <w:rsid w:val="0079323A"/>
    <w:rsid w:val="007D4F2B"/>
    <w:rsid w:val="0081433C"/>
    <w:rsid w:val="00881270"/>
    <w:rsid w:val="008E7EE5"/>
    <w:rsid w:val="00915948"/>
    <w:rsid w:val="009275AD"/>
    <w:rsid w:val="009477A0"/>
    <w:rsid w:val="00980778"/>
    <w:rsid w:val="009A72BB"/>
    <w:rsid w:val="009B0D74"/>
    <w:rsid w:val="00A40BF0"/>
    <w:rsid w:val="00A602E1"/>
    <w:rsid w:val="00A64075"/>
    <w:rsid w:val="00AC27F0"/>
    <w:rsid w:val="00BA29BF"/>
    <w:rsid w:val="00BC63E4"/>
    <w:rsid w:val="00BD59AD"/>
    <w:rsid w:val="00C1665D"/>
    <w:rsid w:val="00CA20B7"/>
    <w:rsid w:val="00CC6717"/>
    <w:rsid w:val="00D16279"/>
    <w:rsid w:val="00D25309"/>
    <w:rsid w:val="00D82780"/>
    <w:rsid w:val="00D87EE6"/>
    <w:rsid w:val="00E86133"/>
    <w:rsid w:val="00EE394A"/>
    <w:rsid w:val="00F36FDE"/>
    <w:rsid w:val="00F45B11"/>
    <w:rsid w:val="00F57BF5"/>
    <w:rsid w:val="00F64E75"/>
    <w:rsid w:val="00F67D09"/>
    <w:rsid w:val="00F86293"/>
    <w:rsid w:val="00FB0D26"/>
    <w:rsid w:val="05BA03A1"/>
    <w:rsid w:val="10343B68"/>
    <w:rsid w:val="15767161"/>
    <w:rsid w:val="1DB11096"/>
    <w:rsid w:val="217750CC"/>
    <w:rsid w:val="21BB481C"/>
    <w:rsid w:val="22035D5D"/>
    <w:rsid w:val="290257DB"/>
    <w:rsid w:val="2E4957BD"/>
    <w:rsid w:val="3FC51FAF"/>
    <w:rsid w:val="45CF2E79"/>
    <w:rsid w:val="5C3A0EAF"/>
    <w:rsid w:val="60256581"/>
    <w:rsid w:val="60344795"/>
    <w:rsid w:val="7FCE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after="50" w:afterLines="50" w:line="288" w:lineRule="auto"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line="240" w:lineRule="auto"/>
      <w:outlineLvl w:val="0"/>
    </w:pPr>
    <w:rPr>
      <w:rFonts w:ascii="Times New Roman" w:hAnsi="Times New Roman" w:eastAsia="宋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ascii="Times New Roman" w:hAnsi="Times New Roman" w:eastAsia="宋体" w:cstheme="majorBidi"/>
      <w:b/>
      <w:bCs/>
      <w:sz w:val="28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line="415" w:lineRule="auto"/>
      <w:outlineLvl w:val="2"/>
    </w:pPr>
    <w:rPr>
      <w:rFonts w:ascii="Times New Roman" w:hAnsi="Times New Roman" w:eastAsia="宋体"/>
      <w:bCs/>
      <w:sz w:val="24"/>
      <w:szCs w:val="32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before="0"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22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Cs w:val="18"/>
    </w:rPr>
  </w:style>
  <w:style w:type="paragraph" w:styleId="12">
    <w:name w:val="header"/>
    <w:basedOn w:val="1"/>
    <w:link w:val="2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Cs w:val="18"/>
    </w:rPr>
  </w:style>
  <w:style w:type="paragraph" w:styleId="13">
    <w:name w:val="Subtitle"/>
    <w:basedOn w:val="1"/>
    <w:next w:val="1"/>
    <w:link w:val="31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30"/>
    <w:qFormat/>
    <w:uiPriority w:val="10"/>
    <w:pPr>
      <w:spacing w:before="0"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3 字符"/>
    <w:basedOn w:val="16"/>
    <w:link w:val="4"/>
    <w:uiPriority w:val="9"/>
    <w:rPr>
      <w:rFonts w:ascii="Times New Roman" w:hAnsi="Times New Roman" w:eastAsia="宋体"/>
      <w:bCs/>
      <w:sz w:val="24"/>
      <w:szCs w:val="32"/>
    </w:rPr>
  </w:style>
  <w:style w:type="character" w:customStyle="1" w:styleId="19">
    <w:name w:val="标题 2 字符"/>
    <w:basedOn w:val="16"/>
    <w:link w:val="3"/>
    <w:uiPriority w:val="9"/>
    <w:rPr>
      <w:rFonts w:ascii="Times New Roman" w:hAnsi="Times New Roman" w:eastAsia="宋体" w:cstheme="majorBidi"/>
      <w:b/>
      <w:bCs/>
      <w:sz w:val="28"/>
      <w:szCs w:val="32"/>
    </w:rPr>
  </w:style>
  <w:style w:type="character" w:customStyle="1" w:styleId="20">
    <w:name w:val="标题 1 字符"/>
    <w:basedOn w:val="16"/>
    <w:link w:val="2"/>
    <w:uiPriority w:val="9"/>
    <w:rPr>
      <w:rFonts w:ascii="Times New Roman" w:hAnsi="Times New Roman" w:eastAsia="宋体"/>
      <w:b/>
      <w:bCs/>
      <w:kern w:val="44"/>
      <w:sz w:val="28"/>
      <w:szCs w:val="44"/>
    </w:rPr>
  </w:style>
  <w:style w:type="character" w:customStyle="1" w:styleId="21">
    <w:name w:val="页眉 字符"/>
    <w:basedOn w:val="16"/>
    <w:link w:val="12"/>
    <w:uiPriority w:val="99"/>
    <w:rPr>
      <w:szCs w:val="18"/>
    </w:rPr>
  </w:style>
  <w:style w:type="character" w:customStyle="1" w:styleId="22">
    <w:name w:val="页脚 字符"/>
    <w:basedOn w:val="16"/>
    <w:link w:val="11"/>
    <w:uiPriority w:val="99"/>
    <w:rPr>
      <w:szCs w:val="18"/>
    </w:rPr>
  </w:style>
  <w:style w:type="character" w:customStyle="1" w:styleId="23">
    <w:name w:val="标题 4 字符"/>
    <w:basedOn w:val="16"/>
    <w:link w:val="5"/>
    <w:uiPriority w:val="9"/>
    <w:rPr>
      <w:rFonts w:asciiTheme="majorHAnsi" w:hAnsiTheme="majorHAnsi" w:eastAsiaTheme="majorEastAsia" w:cstheme="majorBidi"/>
      <w:b/>
      <w:bCs/>
      <w:szCs w:val="28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character" w:customStyle="1" w:styleId="25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6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7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6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字符"/>
    <w:basedOn w:val="16"/>
    <w:link w:val="35"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Unresolved Mention"/>
    <w:basedOn w:val="1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170</Words>
  <Characters>974</Characters>
  <Lines>8</Lines>
  <Paragraphs>2</Paragraphs>
  <TotalTime>0</TotalTime>
  <ScaleCrop>false</ScaleCrop>
  <LinksUpToDate>false</LinksUpToDate>
  <CharactersWithSpaces>1142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2025-04-17T06:11:00Z</dcterms:created>
  <dc:creator>Qin</dc:creator>
  <cp:lastModifiedBy>liana</cp:lastModifiedBy>
  <dcterms:modified xsi:type="dcterms:W3CDTF">2025-04-17T10:06:36Z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4B6D1F0FCD0E4B88A7E932438C1F2073_12</vt:lpwstr>
  </property>
</Properties>
</file>