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2" w:right="203" w:firstLine="102"/>
        <w:spacing w:before="213" w:line="210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《近距离自组网信息服务管理规定（征求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3"/>
        </w:rPr>
        <w:t>意见稿）》解读及中国电信翼相连策略建议</w:t>
      </w:r>
    </w:p>
    <w:p>
      <w:pPr>
        <w:ind w:left="2031"/>
        <w:spacing w:before="341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孟凡蓉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李为民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刘桦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杨庆丰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" w:firstLine="614"/>
        <w:spacing w:before="97" w:line="332" w:lineRule="auto"/>
        <w:jc w:val="both"/>
        <w:rPr/>
      </w:pPr>
      <w:r>
        <w:rPr>
          <w:spacing w:val="-4"/>
        </w:rPr>
        <w:t>随着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Wi-Fi/</w:t>
      </w:r>
      <w:r>
        <w:rPr>
          <w:spacing w:val="-4"/>
        </w:rPr>
        <w:t>蓝牙等近距离自组网通信的普及，网信安全问题</w:t>
      </w:r>
      <w:r>
        <w:rPr>
          <w:spacing w:val="-4"/>
        </w:rPr>
        <w:t>日益突出，如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4"/>
        </w:rPr>
        <w:t>月，杭州女生地铁上通过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AirDro</w:t>
      </w:r>
      <w:r>
        <w:rPr>
          <w:rFonts w:ascii="Times New Roman" w:hAnsi="Times New Roman" w:eastAsia="Times New Roman" w:cs="Times New Roman"/>
          <w:spacing w:val="-5"/>
        </w:rPr>
        <w:t>p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5"/>
        </w:rPr>
        <w:t>隔空</w:t>
      </w:r>
      <w:r>
        <w:rPr>
          <w:spacing w:val="-6"/>
        </w:rPr>
        <w:t>收到不雅照，冲上微博热搜第一。</w:t>
      </w:r>
      <w:r>
        <w:rPr>
          <w:rFonts w:ascii="Times New Roman" w:hAnsi="Times New Roman" w:eastAsia="Times New Roman" w:cs="Times New Roman"/>
          <w:spacing w:val="-6"/>
        </w:rPr>
        <w:t>6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6"/>
        </w:rPr>
        <w:t>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  </w:t>
      </w:r>
      <w:r>
        <w:rPr>
          <w:spacing w:val="-6"/>
        </w:rPr>
        <w:t>日，国家互联网信息办</w:t>
      </w:r>
      <w:r>
        <w:rPr>
          <w:spacing w:val="-16"/>
        </w:rPr>
        <w:t>公室发布《近距离自组网信息服务管理规定（征求意见稿）》（简</w:t>
      </w:r>
      <w:r>
        <w:rPr/>
        <w:t>称意见稿</w:t>
      </w:r>
      <w:r>
        <w:rPr>
          <w:spacing w:val="-61"/>
        </w:rPr>
        <w:t>），</w:t>
      </w:r>
      <w:r>
        <w:rPr/>
        <w:t>对近距离自组网信息服务做出明确规范，明确提供</w:t>
      </w:r>
      <w:r>
        <w:rPr>
          <w:spacing w:val="-4"/>
        </w:rPr>
        <w:t>者义务等。意见发布将对华为、苹果等终端企业相关</w:t>
      </w:r>
      <w:r>
        <w:rPr>
          <w:spacing w:val="-5"/>
        </w:rPr>
        <w:t>应用产生直</w:t>
      </w:r>
      <w:r>
        <w:rPr/>
        <w:t>接影响，也将对中国电信翼相连产品设计等产生短期负面影</w:t>
      </w:r>
      <w:r>
        <w:rPr>
          <w:spacing w:val="-1"/>
        </w:rPr>
        <w:t>响。</w:t>
      </w:r>
      <w:r>
        <w:rPr>
          <w:spacing w:val="-11"/>
        </w:rPr>
        <w:t>中国电信应关注政策动向，推进技术标准化，加强产品合规管理。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一、意见稿内容解读与影响判断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（一）政策内容以加强服务提供者合规性为主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23" w:right="112" w:firstLine="610"/>
        <w:spacing w:before="98" w:line="33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意见稿采用场景化监管模式，依据服务提供过程中的各环节</w:t>
      </w:r>
      <w:r>
        <w:rPr>
          <w:rFonts w:ascii="SimSun" w:hAnsi="SimSun" w:eastAsia="SimSun" w:cs="SimSun"/>
          <w:sz w:val="30"/>
          <w:szCs w:val="30"/>
          <w:spacing w:val="-8"/>
        </w:rPr>
        <w:t>进行政策制定。通过对服务提供者提出要求，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进而由其对使用者</w:t>
      </w:r>
      <w:r>
        <w:rPr>
          <w:rFonts w:ascii="SimSun" w:hAnsi="SimSun" w:eastAsia="SimSun" w:cs="SimSun"/>
          <w:sz w:val="30"/>
          <w:szCs w:val="30"/>
          <w:spacing w:val="-4"/>
        </w:rPr>
        <w:t>行为进行规范，可以推动事前预防与综合治理。《征</w:t>
      </w:r>
      <w:r>
        <w:rPr>
          <w:rFonts w:ascii="SimSun" w:hAnsi="SimSun" w:eastAsia="SimSun" w:cs="SimSun"/>
          <w:sz w:val="30"/>
          <w:szCs w:val="30"/>
          <w:spacing w:val="-5"/>
        </w:rPr>
        <w:t>求意见稿》</w:t>
      </w:r>
      <w:r>
        <w:rPr>
          <w:rFonts w:ascii="SimSun" w:hAnsi="SimSun" w:eastAsia="SimSun" w:cs="SimSun"/>
          <w:sz w:val="30"/>
          <w:szCs w:val="30"/>
          <w:spacing w:val="-4"/>
        </w:rPr>
        <w:t>全文共十九条，其中有十一条与提供者的合规义务直接相关，占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57.9%</w:t>
      </w:r>
      <w:r>
        <w:rPr>
          <w:rFonts w:ascii="SimSun" w:hAnsi="SimSun" w:eastAsia="SimSun" w:cs="SimSun"/>
          <w:sz w:val="30"/>
          <w:szCs w:val="30"/>
          <w:spacing w:val="-4"/>
        </w:rPr>
        <w:t>以上的篇幅。具体可分为三方面：</w:t>
      </w:r>
    </w:p>
    <w:p>
      <w:pPr>
        <w:ind w:left="54" w:right="2" w:firstLine="570"/>
        <w:spacing w:before="243" w:line="3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①提供者对使用者的安全管理义务，如建立安全管理制度、</w:t>
      </w:r>
      <w:r>
        <w:rPr>
          <w:rFonts w:ascii="SimSun" w:hAnsi="SimSun" w:eastAsia="SimSun" w:cs="SimSun"/>
          <w:sz w:val="30"/>
          <w:szCs w:val="30"/>
          <w:spacing w:val="-5"/>
        </w:rPr>
        <w:t>明确使用者真实身份信息、提供投诉举报途径等；</w:t>
      </w:r>
    </w:p>
    <w:p>
      <w:pPr>
        <w:spacing w:line="335" w:lineRule="auto"/>
        <w:sectPr>
          <w:pgSz w:w="11907" w:h="16839"/>
          <w:pgMar w:top="1431" w:right="168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3" w:right="107" w:firstLine="599"/>
        <w:spacing w:before="181" w:line="27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②根据服务场景，明确提供者义务，例如配对确认、默认设</w:t>
      </w:r>
      <w:r>
        <w:rPr>
          <w:rFonts w:ascii="SimSun" w:hAnsi="SimSun" w:eastAsia="SimSun" w:cs="SimSun"/>
          <w:sz w:val="30"/>
          <w:szCs w:val="30"/>
          <w:spacing w:val="-5"/>
        </w:rPr>
        <w:t>置、缩略图预览等场景需符合规定；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23"/>
        <w:spacing w:before="98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③配合监管义务，例如产品上线需符合监管要求等。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25" w:right="111" w:firstLine="611"/>
        <w:spacing w:before="98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（二）政策将对以</w:t>
      </w:r>
      <w:r>
        <w:rPr>
          <w:rFonts w:ascii="SimSun" w:hAnsi="SimSun" w:eastAsia="SimSun" w:cs="SimSun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AirDrop 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为例的离网短讯通信业产生直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接影响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32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具体分为行业、企业两个层面：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7" w:right="116" w:firstLine="609"/>
        <w:spacing w:before="97" w:line="277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．政策对行业影响短期可能造成活跃度下降，长期有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利于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规范近距离通信业务发展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1" w:firstLine="601"/>
        <w:spacing w:before="99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相关法律意见的发布将使诸多不合规应用下架，造成</w:t>
      </w:r>
      <w:r>
        <w:rPr>
          <w:rFonts w:ascii="SimSun" w:hAnsi="SimSun" w:eastAsia="SimSun" w:cs="SimSun"/>
          <w:sz w:val="30"/>
          <w:szCs w:val="30"/>
          <w:spacing w:val="-5"/>
        </w:rPr>
        <w:t>市场活</w:t>
      </w:r>
      <w:r>
        <w:rPr>
          <w:rFonts w:ascii="SimSun" w:hAnsi="SimSun" w:eastAsia="SimSun" w:cs="SimSun"/>
          <w:sz w:val="30"/>
          <w:szCs w:val="30"/>
          <w:spacing w:val="-4"/>
        </w:rPr>
        <w:t>跃度下降。以实施一年的《数据安全法》来看，监管机构共作出</w:t>
      </w:r>
      <w:r>
        <w:rPr>
          <w:rFonts w:ascii="SimSun" w:hAnsi="SimSun" w:eastAsia="SimSun" w:cs="SimSun"/>
          <w:sz w:val="30"/>
          <w:szCs w:val="30"/>
          <w:spacing w:val="-9"/>
        </w:rPr>
        <w:t>行政处罚决定典型案例</w:t>
      </w:r>
      <w:r>
        <w:rPr>
          <w:rFonts w:ascii="SimSun" w:hAnsi="SimSun" w:eastAsia="SimSun" w:cs="SimSun"/>
          <w:sz w:val="30"/>
          <w:szCs w:val="3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34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起，整改下架滴滴、“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B612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咔叽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”等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338</w:t>
      </w:r>
      <w:r>
        <w:rPr>
          <w:rFonts w:ascii="Times New Roman" w:hAnsi="Times New Roman" w:eastAsia="Times New Roman" w:cs="Times New Roman"/>
          <w:sz w:val="30"/>
          <w:szCs w:val="30"/>
          <w:spacing w:val="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款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  </w:t>
      </w:r>
      <w:r>
        <w:rPr>
          <w:rFonts w:ascii="SimSun" w:hAnsi="SimSun" w:eastAsia="SimSun" w:cs="SimSun"/>
          <w:sz w:val="30"/>
          <w:szCs w:val="30"/>
          <w:spacing w:val="-2"/>
        </w:rPr>
        <w:t>或程序。滴滴由于违规收集个人数据，受到行政处</w:t>
      </w:r>
      <w:r>
        <w:rPr>
          <w:rFonts w:ascii="SimSun" w:hAnsi="SimSun" w:eastAsia="SimSun" w:cs="SimSun"/>
          <w:sz w:val="30"/>
          <w:szCs w:val="30"/>
          <w:spacing w:val="-3"/>
        </w:rPr>
        <w:t>罚，市场份额从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82%</w:t>
      </w:r>
      <w:r>
        <w:rPr>
          <w:rFonts w:ascii="SimSun" w:hAnsi="SimSun" w:eastAsia="SimSun" w:cs="SimSun"/>
          <w:sz w:val="30"/>
          <w:szCs w:val="30"/>
          <w:spacing w:val="-3"/>
        </w:rPr>
        <w:t>下滑至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74%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18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个月后恢复注册时</w:t>
      </w:r>
      <w:r>
        <w:rPr>
          <w:rFonts w:ascii="SimSun" w:hAnsi="SimSun" w:eastAsia="SimSun" w:cs="SimSun"/>
          <w:sz w:val="30"/>
          <w:szCs w:val="30"/>
          <w:spacing w:val="-4"/>
        </w:rPr>
        <w:t>，一个</w:t>
      </w:r>
      <w:r>
        <w:rPr>
          <w:rFonts w:ascii="SimSun" w:hAnsi="SimSun" w:eastAsia="SimSun" w:cs="SimSun"/>
          <w:sz w:val="30"/>
          <w:szCs w:val="30"/>
          <w:spacing w:val="-8"/>
        </w:rPr>
        <w:t>月内市占率重新提升至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76%</w:t>
      </w:r>
      <w:r>
        <w:rPr>
          <w:rFonts w:ascii="SimSun" w:hAnsi="SimSun" w:eastAsia="SimSun" w:cs="SimSun"/>
          <w:sz w:val="30"/>
          <w:szCs w:val="30"/>
          <w:spacing w:val="-8"/>
        </w:rPr>
        <w:t>。长期来看，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政策推出将使行业合规</w:t>
      </w:r>
      <w:r>
        <w:rPr>
          <w:rFonts w:ascii="SimSun" w:hAnsi="SimSun" w:eastAsia="SimSun" w:cs="SimSun"/>
          <w:sz w:val="30"/>
          <w:szCs w:val="30"/>
          <w:spacing w:val="-5"/>
        </w:rPr>
        <w:t>度不断提升。以网约车行业为例，交通部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年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月合规报告</w:t>
      </w:r>
      <w:r>
        <w:rPr>
          <w:rFonts w:ascii="SimSun" w:hAnsi="SimSun" w:eastAsia="SimSun" w:cs="SimSun"/>
          <w:sz w:val="30"/>
          <w:szCs w:val="30"/>
          <w:spacing w:val="-2"/>
        </w:rPr>
        <w:t>显示，滴滴出行订单合规率从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年的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43%</w:t>
      </w:r>
      <w:r>
        <w:rPr>
          <w:rFonts w:ascii="SimSun" w:hAnsi="SimSun" w:eastAsia="SimSun" w:cs="SimSun"/>
          <w:sz w:val="30"/>
          <w:szCs w:val="30"/>
          <w:spacing w:val="-2"/>
        </w:rPr>
        <w:t>提升到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63.1%</w:t>
      </w:r>
      <w:r>
        <w:rPr>
          <w:rFonts w:ascii="SimSun" w:hAnsi="SimSun" w:eastAsia="SimSun" w:cs="SimSun"/>
          <w:sz w:val="30"/>
          <w:szCs w:val="30"/>
          <w:spacing w:val="-2"/>
        </w:rPr>
        <w:t>。各</w:t>
      </w:r>
      <w:r>
        <w:rPr>
          <w:rFonts w:ascii="SimSun" w:hAnsi="SimSun" w:eastAsia="SimSun" w:cs="SimSun"/>
          <w:sz w:val="30"/>
          <w:szCs w:val="30"/>
          <w:spacing w:val="-3"/>
        </w:rPr>
        <w:t>地共发放网约车驾驶员证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501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万本，显著提升了行业合</w:t>
      </w:r>
      <w:r>
        <w:rPr>
          <w:rFonts w:ascii="SimSun" w:hAnsi="SimSun" w:eastAsia="SimSun" w:cs="SimSun"/>
          <w:sz w:val="30"/>
          <w:szCs w:val="30"/>
          <w:spacing w:val="-4"/>
        </w:rPr>
        <w:t>规程度。</w:t>
      </w:r>
    </w:p>
    <w:p>
      <w:pPr>
        <w:ind w:left="29" w:right="116" w:firstLine="594"/>
        <w:spacing w:before="269" w:line="277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．政策对终端企业产生直接负面影响，但推动国内离网短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讯通信企业发展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31" w:firstLine="599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终端厂商在终端之间临时建立网络传输信息时，承担的责任</w:t>
      </w:r>
      <w:r>
        <w:rPr>
          <w:rFonts w:ascii="SimSun" w:hAnsi="SimSun" w:eastAsia="SimSun" w:cs="SimSun"/>
          <w:sz w:val="30"/>
          <w:szCs w:val="30"/>
          <w:spacing w:val="-17"/>
        </w:rPr>
        <w:t>向运营商“靠齐”。苹果、华为等手机终端通过自有互传功能，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在</w:t>
      </w:r>
      <w:r>
        <w:rPr>
          <w:rFonts w:ascii="SimSun" w:hAnsi="SimSun" w:eastAsia="SimSun" w:cs="SimSun"/>
          <w:sz w:val="30"/>
          <w:szCs w:val="30"/>
        </w:rPr>
        <w:t>离网情况下，为其操作系统内部之间提供服务，最先受</w:t>
      </w:r>
      <w:r>
        <w:rPr>
          <w:rFonts w:ascii="SimSun" w:hAnsi="SimSun" w:eastAsia="SimSun" w:cs="SimSun"/>
          <w:sz w:val="30"/>
          <w:szCs w:val="30"/>
          <w:spacing w:val="-1"/>
        </w:rPr>
        <w:t>到波及。</w:t>
      </w:r>
    </w:p>
    <w:p>
      <w:pPr>
        <w:spacing w:line="334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23" w:firstLine="30"/>
        <w:spacing w:before="17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国外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Bridgefy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Firechat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Zello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iNtercom </w:t>
      </w:r>
      <w:r>
        <w:rPr>
          <w:rFonts w:ascii="SimSun" w:hAnsi="SimSun" w:eastAsia="SimSun" w:cs="SimSun"/>
          <w:sz w:val="30"/>
          <w:szCs w:val="30"/>
          <w:spacing w:val="-5"/>
        </w:rPr>
        <w:t>等依赖蓝牙实现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0 </w:t>
      </w:r>
      <w:r>
        <w:rPr>
          <w:rFonts w:ascii="SimSun" w:hAnsi="SimSun" w:eastAsia="SimSun" w:cs="SimSun"/>
          <w:sz w:val="30"/>
          <w:szCs w:val="30"/>
          <w:spacing w:val="-6"/>
        </w:rPr>
        <w:t>米</w:t>
      </w:r>
      <w:r>
        <w:rPr>
          <w:rFonts w:ascii="SimSun" w:hAnsi="SimSun" w:eastAsia="SimSun" w:cs="SimSun"/>
          <w:sz w:val="30"/>
          <w:szCs w:val="30"/>
          <w:spacing w:val="-2"/>
        </w:rPr>
        <w:t>内离网通信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发展迅猛。国内因信息安全、监管尚未完善等</w:t>
      </w:r>
      <w:r>
        <w:rPr>
          <w:rFonts w:ascii="SimSun" w:hAnsi="SimSun" w:eastAsia="SimSun" w:cs="SimSun"/>
          <w:sz w:val="30"/>
          <w:szCs w:val="30"/>
          <w:spacing w:val="-7"/>
        </w:rPr>
        <w:t>原因，暂无类似应用，但离网短讯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APP </w:t>
      </w:r>
      <w:r>
        <w:rPr>
          <w:rFonts w:ascii="SimSun" w:hAnsi="SimSun" w:eastAsia="SimSun" w:cs="SimSun"/>
          <w:sz w:val="30"/>
          <w:szCs w:val="30"/>
          <w:spacing w:val="-7"/>
        </w:rPr>
        <w:t>作为解决断网、应急救援</w:t>
      </w:r>
      <w:r>
        <w:rPr>
          <w:rFonts w:ascii="SimSun" w:hAnsi="SimSun" w:eastAsia="SimSun" w:cs="SimSun"/>
          <w:sz w:val="30"/>
          <w:szCs w:val="30"/>
          <w:spacing w:val="-4"/>
        </w:rPr>
        <w:t>等场景的重要通信手段，是国内发展的潜在市场。以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Bridgefy </w:t>
      </w:r>
      <w:r>
        <w:rPr>
          <w:rFonts w:ascii="SimSun" w:hAnsi="SimSun" w:eastAsia="SimSun" w:cs="SimSun"/>
          <w:sz w:val="30"/>
          <w:szCs w:val="30"/>
          <w:spacing w:val="-4"/>
        </w:rPr>
        <w:t>为</w:t>
      </w:r>
      <w:r>
        <w:rPr>
          <w:rFonts w:ascii="SimSun" w:hAnsi="SimSun" w:eastAsia="SimSun" w:cs="SimSun"/>
          <w:sz w:val="30"/>
          <w:szCs w:val="30"/>
          <w:spacing w:val="-3"/>
        </w:rPr>
        <w:t>代表的离网短讯</w:t>
      </w:r>
      <w:r>
        <w:rPr>
          <w:rFonts w:ascii="SimSun" w:hAnsi="SimSun" w:eastAsia="SimSun" w:cs="SimSun"/>
          <w:sz w:val="30"/>
          <w:szCs w:val="30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APP </w:t>
      </w:r>
      <w:r>
        <w:rPr>
          <w:rFonts w:ascii="SimSun" w:hAnsi="SimSun" w:eastAsia="SimSun" w:cs="SimSun"/>
          <w:sz w:val="30"/>
          <w:szCs w:val="30"/>
          <w:spacing w:val="-3"/>
        </w:rPr>
        <w:t>在俄乌战场短短三天下载量暴</w:t>
      </w:r>
      <w:r>
        <w:rPr>
          <w:rFonts w:ascii="SimSun" w:hAnsi="SimSun" w:eastAsia="SimSun" w:cs="SimSun"/>
          <w:sz w:val="30"/>
          <w:szCs w:val="30"/>
          <w:spacing w:val="-4"/>
        </w:rPr>
        <w:t>增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28550 </w:t>
      </w:r>
      <w:r>
        <w:rPr>
          <w:rFonts w:ascii="SimSun" w:hAnsi="SimSun" w:eastAsia="SimSun" w:cs="SimSun"/>
          <w:sz w:val="30"/>
          <w:szCs w:val="30"/>
          <w:spacing w:val="-4"/>
        </w:rPr>
        <w:t>次，</w:t>
      </w:r>
      <w:r>
        <w:rPr>
          <w:rFonts w:ascii="SimSun" w:hAnsi="SimSun" w:eastAsia="SimSun" w:cs="SimSun"/>
          <w:sz w:val="30"/>
          <w:szCs w:val="30"/>
          <w:spacing w:val="-2"/>
        </w:rPr>
        <w:t>增幅高达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4730.8%</w:t>
      </w:r>
      <w:r>
        <w:rPr>
          <w:rFonts w:ascii="SimSun" w:hAnsi="SimSun" w:eastAsia="SimSun" w:cs="SimSun"/>
          <w:sz w:val="30"/>
          <w:szCs w:val="30"/>
          <w:spacing w:val="-2"/>
        </w:rPr>
        <w:t>，可见离网短信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在应急突发事件</w:t>
      </w:r>
      <w:r>
        <w:rPr>
          <w:rFonts w:ascii="SimSun" w:hAnsi="SimSun" w:eastAsia="SimSun" w:cs="SimSun"/>
          <w:sz w:val="30"/>
          <w:szCs w:val="30"/>
          <w:spacing w:val="-3"/>
        </w:rPr>
        <w:t>中的重</w:t>
      </w:r>
      <w:r>
        <w:rPr>
          <w:rFonts w:ascii="SimSun" w:hAnsi="SimSun" w:eastAsia="SimSun" w:cs="SimSun"/>
          <w:sz w:val="30"/>
          <w:szCs w:val="30"/>
          <w:spacing w:val="-2"/>
        </w:rPr>
        <w:t>要作用。我们预计在监管政策发布后，国内离网短讯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将迎</w:t>
      </w:r>
      <w:r>
        <w:rPr>
          <w:rFonts w:ascii="SimSun" w:hAnsi="SimSun" w:eastAsia="SimSun" w:cs="SimSun"/>
          <w:sz w:val="30"/>
          <w:szCs w:val="30"/>
          <w:spacing w:val="-9"/>
        </w:rPr>
        <w:t>来发展期。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二、意见稿对中国电信影响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19" w:right="107" w:firstLine="634"/>
        <w:spacing w:before="98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中国电信针对近距离自组网场景已有翼相连产品。中</w:t>
      </w:r>
      <w:r>
        <w:rPr>
          <w:rFonts w:ascii="SimSun" w:hAnsi="SimSun" w:eastAsia="SimSun" w:cs="SimSun"/>
          <w:sz w:val="30"/>
          <w:szCs w:val="30"/>
          <w:spacing w:val="-6"/>
        </w:rPr>
        <w:t>国电信</w:t>
      </w:r>
      <w:r>
        <w:rPr>
          <w:rFonts w:ascii="SimSun" w:hAnsi="SimSun" w:eastAsia="SimSun" w:cs="SimSun"/>
          <w:sz w:val="30"/>
          <w:szCs w:val="30"/>
          <w:spacing w:val="8"/>
        </w:rPr>
        <w:t>针对近距离自组网场景已提出核心自主掌控技术近域网络（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P-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RAN</w:t>
      </w:r>
      <w:r>
        <w:rPr>
          <w:rFonts w:ascii="SimSun" w:hAnsi="SimSun" w:eastAsia="SimSun" w:cs="SimSun"/>
          <w:sz w:val="30"/>
          <w:szCs w:val="30"/>
          <w:spacing w:val="-79"/>
          <w:w w:val="99"/>
        </w:rPr>
        <w:t>），</w:t>
      </w:r>
      <w:r>
        <w:rPr>
          <w:rFonts w:ascii="SimSun" w:hAnsi="SimSun" w:eastAsia="SimSun" w:cs="SimSun"/>
          <w:sz w:val="30"/>
          <w:szCs w:val="30"/>
          <w:spacing w:val="1"/>
        </w:rPr>
        <w:t>弱覆盖地区用户可以通过中继连接蜂窝网络，实现蜂窝</w:t>
      </w:r>
      <w:r>
        <w:rPr>
          <w:rFonts w:ascii="SimSun" w:hAnsi="SimSun" w:eastAsia="SimSun" w:cs="SimSun"/>
          <w:sz w:val="30"/>
          <w:szCs w:val="30"/>
          <w:spacing w:val="-5"/>
        </w:rPr>
        <w:t>网络用户多跳分享网络。其产品翼相连已于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25  </w:t>
      </w:r>
      <w:r>
        <w:rPr>
          <w:rFonts w:ascii="SimSun" w:hAnsi="SimSun" w:eastAsia="SimSun" w:cs="SimSun"/>
          <w:sz w:val="30"/>
          <w:szCs w:val="30"/>
          <w:spacing w:val="-5"/>
        </w:rPr>
        <w:t>日</w:t>
      </w:r>
      <w:r>
        <w:rPr>
          <w:rFonts w:ascii="SimSun" w:hAnsi="SimSun" w:eastAsia="SimSun" w:cs="SimSun"/>
          <w:sz w:val="30"/>
          <w:szCs w:val="30"/>
          <w:spacing w:val="-3"/>
        </w:rPr>
        <w:t>推出“中国电信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10.0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版本。意见稿将对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P-RAN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与翼相连</w:t>
      </w:r>
      <w:r>
        <w:rPr>
          <w:rFonts w:ascii="SimSun" w:hAnsi="SimSun" w:eastAsia="SimSun" w:cs="SimSun"/>
          <w:sz w:val="30"/>
          <w:szCs w:val="30"/>
          <w:spacing w:val="-5"/>
        </w:rPr>
        <w:t>产生短期与长期影响。</w:t>
      </w:r>
    </w:p>
    <w:p>
      <w:pPr>
        <w:ind w:left="636"/>
        <w:spacing w:before="28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．短期看，政策将影响翼相连产品设计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6" w:firstLine="616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需新增多项功能，建立使用者安全管理制度、应急预案等。</w:t>
      </w:r>
      <w:r>
        <w:rPr>
          <w:rFonts w:ascii="SimSun" w:hAnsi="SimSun" w:eastAsia="SimSun" w:cs="SimSun"/>
          <w:sz w:val="30"/>
          <w:szCs w:val="30"/>
          <w:spacing w:val="-4"/>
        </w:rPr>
        <w:t>根据意见稿要求需要对目前产品设计做出优化调整应对，如增加</w:t>
      </w:r>
      <w:r>
        <w:rPr>
          <w:rFonts w:ascii="SimSun" w:hAnsi="SimSun" w:eastAsia="SimSun" w:cs="SimSun"/>
          <w:sz w:val="30"/>
          <w:szCs w:val="30"/>
          <w:spacing w:val="-4"/>
        </w:rPr>
        <w:t>用户确认操作，具体影响如下表格所示：①意见稿第七条、第八</w:t>
      </w:r>
      <w:r>
        <w:rPr>
          <w:rFonts w:ascii="SimSun" w:hAnsi="SimSun" w:eastAsia="SimSun" w:cs="SimSun"/>
          <w:sz w:val="30"/>
          <w:szCs w:val="30"/>
          <w:spacing w:val="-4"/>
        </w:rPr>
        <w:t>条要求增加用户确认的服务环节，确保用户感知并有足够的自主</w:t>
      </w:r>
      <w:r>
        <w:rPr>
          <w:rFonts w:ascii="SimSun" w:hAnsi="SimSun" w:eastAsia="SimSun" w:cs="SimSun"/>
          <w:sz w:val="30"/>
          <w:szCs w:val="30"/>
          <w:spacing w:val="-4"/>
        </w:rPr>
        <w:t>和决策权，影响翼相连产品设计。②第五条、第十三条要求建立</w:t>
      </w:r>
      <w:r>
        <w:rPr>
          <w:rFonts w:ascii="SimSun" w:hAnsi="SimSun" w:eastAsia="SimSun" w:cs="SimSun"/>
          <w:sz w:val="30"/>
          <w:szCs w:val="30"/>
          <w:spacing w:val="-9"/>
        </w:rPr>
        <w:t>安全管理制度，涉及应急预案、违法信息处置等具体措施。 ③第</w:t>
      </w:r>
      <w:r>
        <w:rPr>
          <w:rFonts w:ascii="SimSun" w:hAnsi="SimSun" w:eastAsia="SimSun" w:cs="SimSun"/>
          <w:sz w:val="30"/>
          <w:szCs w:val="30"/>
          <w:spacing w:val="-4"/>
        </w:rPr>
        <w:t>十四条，目前近距离通信暂无行业监管认证机构，相关标准相对</w:t>
      </w:r>
    </w:p>
    <w:p>
      <w:pPr>
        <w:spacing w:line="333" w:lineRule="auto"/>
        <w:sectPr>
          <w:pgSz w:w="11907" w:h="16839"/>
          <w:pgMar w:top="1431" w:right="168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缺失，对未来近距离通信相关产品上线的不确定性影响较大。</w:t>
      </w:r>
    </w:p>
    <w:p>
      <w:pPr>
        <w:spacing w:line="164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4577"/>
        <w:gridCol w:w="2449"/>
      </w:tblGrid>
      <w:tr>
        <w:trPr>
          <w:trHeight w:val="633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413" w:right="153" w:hanging="243"/>
              <w:spacing w:before="38" w:line="225" w:lineRule="auto"/>
              <w:rPr/>
            </w:pPr>
            <w:r>
              <w:rPr>
                <w:b/>
                <w:bCs/>
                <w:spacing w:val="-6"/>
              </w:rPr>
              <w:t>征求意见</w:t>
            </w:r>
            <w:r>
              <w:rPr>
                <w:b/>
                <w:bCs/>
                <w:spacing w:val="-8"/>
              </w:rPr>
              <w:t>原文</w:t>
            </w:r>
          </w:p>
        </w:tc>
        <w:tc>
          <w:tcPr>
            <w:tcW w:w="4577" w:type="dxa"/>
            <w:vAlign w:val="top"/>
          </w:tcPr>
          <w:p>
            <w:pPr>
              <w:pStyle w:val="TableText"/>
              <w:ind w:left="1820"/>
              <w:spacing w:before="194" w:line="218" w:lineRule="auto"/>
              <w:rPr/>
            </w:pPr>
            <w:r>
              <w:rPr>
                <w:b/>
                <w:bCs/>
                <w:spacing w:val="-6"/>
              </w:rPr>
              <w:t>政策要点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515"/>
              <w:spacing w:before="194" w:line="217" w:lineRule="auto"/>
              <w:rPr/>
            </w:pPr>
            <w:r>
              <w:rPr>
                <w:b/>
                <w:bCs/>
                <w:spacing w:val="-5"/>
              </w:rPr>
              <w:t>对翼相连影响</w:t>
            </w:r>
          </w:p>
        </w:tc>
      </w:tr>
      <w:tr>
        <w:trPr>
          <w:trHeight w:val="939" w:hRule="atLeast"/>
        </w:trPr>
        <w:tc>
          <w:tcPr>
            <w:tcW w:w="1276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8" w:line="218" w:lineRule="auto"/>
              <w:rPr/>
            </w:pPr>
            <w:r>
              <w:rPr>
                <w:spacing w:val="-6"/>
              </w:rPr>
              <w:t>第五条</w:t>
            </w:r>
          </w:p>
        </w:tc>
        <w:tc>
          <w:tcPr>
            <w:tcW w:w="4577" w:type="dxa"/>
            <w:vAlign w:val="top"/>
          </w:tcPr>
          <w:p>
            <w:pPr>
              <w:pStyle w:val="TableText"/>
              <w:ind w:left="119" w:right="148" w:firstLine="1"/>
              <w:spacing w:before="35" w:line="229" w:lineRule="auto"/>
              <w:jc w:val="both"/>
              <w:rPr/>
            </w:pPr>
            <w:r>
              <w:rPr>
                <w:spacing w:val="-1"/>
              </w:rPr>
              <w:t>采取必要的安全管理制度和技术措施，依</w:t>
            </w:r>
            <w:r>
              <w:rPr>
                <w:spacing w:val="-1"/>
              </w:rPr>
              <w:t>法处置违法信息，保存有关记录，并向网</w:t>
            </w:r>
            <w:r>
              <w:rPr>
                <w:spacing w:val="-4"/>
              </w:rPr>
              <w:t>信等有关主管部门报告。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124" w:right="177" w:firstLine="4"/>
              <w:spacing w:before="35" w:line="229" w:lineRule="auto"/>
              <w:jc w:val="both"/>
              <w:rPr/>
            </w:pPr>
            <w:r>
              <w:rPr>
                <w:spacing w:val="-3"/>
              </w:rPr>
              <w:t>翼相连相关的安全管</w:t>
            </w:r>
            <w:r>
              <w:rPr>
                <w:spacing w:val="-2"/>
              </w:rPr>
              <w:t>理制度还未建立，暂</w:t>
            </w:r>
            <w:r>
              <w:rPr>
                <w:spacing w:val="-6"/>
              </w:rPr>
              <w:t>不具备相关能力。</w:t>
            </w:r>
          </w:p>
        </w:tc>
      </w:tr>
      <w:tr>
        <w:trPr>
          <w:trHeight w:val="1252" w:hRule="atLeast"/>
        </w:trPr>
        <w:tc>
          <w:tcPr>
            <w:tcW w:w="1276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 w:right="241"/>
              <w:spacing w:before="78" w:line="241" w:lineRule="auto"/>
              <w:rPr/>
            </w:pPr>
            <w:r>
              <w:rPr>
                <w:spacing w:val="-17"/>
              </w:rPr>
              <w:t>第七条、</w:t>
            </w:r>
            <w:r>
              <w:rPr>
                <w:spacing w:val="-6"/>
              </w:rPr>
              <w:t>第八条</w:t>
            </w:r>
          </w:p>
        </w:tc>
        <w:tc>
          <w:tcPr>
            <w:tcW w:w="4577" w:type="dxa"/>
            <w:vAlign w:val="top"/>
          </w:tcPr>
          <w:p>
            <w:pPr>
              <w:pStyle w:val="TableText"/>
              <w:ind w:left="119" w:right="148"/>
              <w:spacing w:before="35" w:line="232" w:lineRule="auto"/>
              <w:jc w:val="both"/>
              <w:rPr/>
            </w:pPr>
            <w:r>
              <w:rPr>
                <w:spacing w:val="-1"/>
              </w:rPr>
              <w:t>应当提供接收者关闭接收、选择接收、黑</w:t>
            </w:r>
            <w:r>
              <w:rPr>
                <w:spacing w:val="-1"/>
              </w:rPr>
              <w:t>名单自动拒绝等接收功能，并默认设置为</w:t>
            </w:r>
            <w:r>
              <w:rPr>
                <w:spacing w:val="-1"/>
              </w:rPr>
              <w:t>关闭接收状态；合理设置接收时长，超过</w:t>
            </w:r>
            <w:r>
              <w:rPr>
                <w:spacing w:val="-3"/>
              </w:rPr>
              <w:t>接收时长后自动切换至关闭接收状态。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125" w:right="177" w:firstLine="3"/>
              <w:spacing w:before="191" w:line="241" w:lineRule="auto"/>
              <w:jc w:val="both"/>
              <w:rPr/>
            </w:pPr>
            <w:r>
              <w:rPr>
                <w:spacing w:val="-3"/>
              </w:rPr>
              <w:t>翼相连连接者地图上</w:t>
            </w:r>
            <w:r>
              <w:rPr>
                <w:spacing w:val="-3"/>
              </w:rPr>
              <w:t>呈现翼相连网络前，</w:t>
            </w:r>
            <w:r>
              <w:rPr>
                <w:spacing w:val="-6"/>
              </w:rPr>
              <w:t>需得到用户确认。</w:t>
            </w:r>
          </w:p>
        </w:tc>
      </w:tr>
      <w:tr>
        <w:trPr>
          <w:trHeight w:val="1254" w:hRule="atLeast"/>
        </w:trPr>
        <w:tc>
          <w:tcPr>
            <w:tcW w:w="1276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8" w:line="218" w:lineRule="auto"/>
              <w:rPr/>
            </w:pPr>
            <w:r>
              <w:rPr>
                <w:spacing w:val="-5"/>
              </w:rPr>
              <w:t>第十三条</w:t>
            </w:r>
          </w:p>
        </w:tc>
        <w:tc>
          <w:tcPr>
            <w:tcW w:w="457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 w:right="148" w:hanging="30"/>
              <w:spacing w:before="78" w:line="241" w:lineRule="auto"/>
              <w:rPr/>
            </w:pPr>
            <w:r>
              <w:rPr>
                <w:spacing w:val="-1"/>
              </w:rPr>
              <w:t>制定网络安全事件应急预案，并按照规定</w:t>
            </w:r>
            <w:r>
              <w:rPr>
                <w:spacing w:val="-7"/>
              </w:rPr>
              <w:t>向有关主管部门及时报告。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123" w:right="177" w:firstLine="5"/>
              <w:spacing w:before="37" w:line="232" w:lineRule="auto"/>
              <w:jc w:val="both"/>
              <w:rPr/>
            </w:pPr>
            <w:r>
              <w:rPr>
                <w:spacing w:val="-3"/>
              </w:rPr>
              <w:t>翼相连需增加“紧急</w:t>
            </w:r>
            <w:r>
              <w:rPr>
                <w:spacing w:val="-2"/>
              </w:rPr>
              <w:t>关停服务”的功能，</w:t>
            </w:r>
            <w:r>
              <w:rPr>
                <w:spacing w:val="-2"/>
              </w:rPr>
              <w:t>制定网络安全事件应</w:t>
            </w:r>
            <w:r>
              <w:rPr>
                <w:spacing w:val="-10"/>
              </w:rPr>
              <w:t>急预案。</w:t>
            </w:r>
          </w:p>
        </w:tc>
      </w:tr>
      <w:tr>
        <w:trPr>
          <w:trHeight w:val="944" w:hRule="atLeast"/>
        </w:trPr>
        <w:tc>
          <w:tcPr>
            <w:tcW w:w="1276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8" w:line="218" w:lineRule="auto"/>
              <w:rPr/>
            </w:pPr>
            <w:r>
              <w:rPr>
                <w:spacing w:val="-5"/>
              </w:rPr>
              <w:t>第十四条</w:t>
            </w:r>
          </w:p>
        </w:tc>
        <w:tc>
          <w:tcPr>
            <w:tcW w:w="4577" w:type="dxa"/>
            <w:vAlign w:val="top"/>
          </w:tcPr>
          <w:p>
            <w:pPr>
              <w:pStyle w:val="TableText"/>
              <w:ind w:left="124" w:right="148" w:hanging="3"/>
              <w:spacing w:before="37" w:line="230" w:lineRule="auto"/>
              <w:jc w:val="both"/>
              <w:rPr/>
            </w:pPr>
            <w:r>
              <w:rPr>
                <w:spacing w:val="-1"/>
              </w:rPr>
              <w:t>上线新技术、新应用、新功能，应当按照</w:t>
            </w:r>
            <w:r>
              <w:rPr>
                <w:spacing w:val="-2"/>
              </w:rPr>
              <w:t>国家有关规定开展安全评估。发现存在安</w:t>
            </w:r>
            <w:r>
              <w:rPr>
                <w:spacing w:val="-5"/>
              </w:rPr>
              <w:t>全隐患的，应当及时整改。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122" w:right="177"/>
              <w:spacing w:before="194" w:line="241" w:lineRule="auto"/>
              <w:rPr/>
            </w:pPr>
            <w:r>
              <w:rPr>
                <w:spacing w:val="-2"/>
              </w:rPr>
              <w:t>业界缺乏相关的行业</w:t>
            </w:r>
            <w:r>
              <w:rPr>
                <w:spacing w:val="-11"/>
              </w:rPr>
              <w:t>标准。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  <w:r/>
    </w:p>
    <w:p>
      <w:pPr>
        <w:ind w:left="49" w:right="11" w:firstLine="574"/>
        <w:spacing w:before="97" w:line="277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．远期看，政策将推动中国电信利用近距离自组网探索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6G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网络架构与商业模式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7" w:right="13" w:firstLine="599"/>
        <w:spacing w:before="98" w:line="34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架构方面，第四条“鼓励优先采用安全可信的</w:t>
      </w:r>
      <w:r>
        <w:rPr>
          <w:rFonts w:ascii="SimSun" w:hAnsi="SimSun" w:eastAsia="SimSun" w:cs="SimSun"/>
          <w:sz w:val="30"/>
          <w:szCs w:val="30"/>
          <w:spacing w:val="-5"/>
        </w:rPr>
        <w:t>近距离自组网</w:t>
      </w:r>
      <w:r>
        <w:rPr>
          <w:rFonts w:ascii="SimSun" w:hAnsi="SimSun" w:eastAsia="SimSun" w:cs="SimSun"/>
          <w:sz w:val="30"/>
          <w:szCs w:val="30"/>
          <w:spacing w:val="-4"/>
        </w:rPr>
        <w:t>技术”意见的提出为中国电信依托近距离自组网与蜂窝网络相结</w:t>
      </w:r>
      <w:r>
        <w:rPr>
          <w:rFonts w:ascii="SimSun" w:hAnsi="SimSun" w:eastAsia="SimSun" w:cs="SimSun"/>
          <w:sz w:val="30"/>
          <w:szCs w:val="30"/>
          <w:spacing w:val="-4"/>
        </w:rPr>
        <w:t>合，发展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6G </w:t>
      </w:r>
      <w:r>
        <w:rPr>
          <w:rFonts w:ascii="SimSun" w:hAnsi="SimSun" w:eastAsia="SimSun" w:cs="SimSun"/>
          <w:sz w:val="30"/>
          <w:szCs w:val="30"/>
          <w:spacing w:val="-4"/>
        </w:rPr>
        <w:t>组网新架构提供政策支持。</w:t>
      </w:r>
    </w:p>
    <w:p>
      <w:pPr>
        <w:ind w:left="25" w:right="12" w:firstLine="607"/>
        <w:spacing w:before="241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商业应用方面，翼相连作为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6G </w:t>
      </w:r>
      <w:r>
        <w:rPr>
          <w:rFonts w:ascii="SimSun" w:hAnsi="SimSun" w:eastAsia="SimSun" w:cs="SimSun"/>
          <w:sz w:val="30"/>
          <w:szCs w:val="30"/>
          <w:spacing w:val="-2"/>
        </w:rPr>
        <w:t>商业先行先试，拟将本地服</w:t>
      </w:r>
      <w:r>
        <w:rPr>
          <w:rFonts w:ascii="SimSun" w:hAnsi="SimSun" w:eastAsia="SimSun" w:cs="SimSun"/>
          <w:sz w:val="30"/>
          <w:szCs w:val="30"/>
          <w:spacing w:val="-4"/>
        </w:rPr>
        <w:t>务与近距离组网技术结合，满足线下门店商户的到场打卡、商场</w:t>
      </w:r>
      <w:r>
        <w:rPr>
          <w:rFonts w:ascii="SimSun" w:hAnsi="SimSun" w:eastAsia="SimSun" w:cs="SimSun"/>
          <w:sz w:val="30"/>
          <w:szCs w:val="30"/>
          <w:spacing w:val="-4"/>
        </w:rPr>
        <w:t>优惠活动推送等本地信息服务需求。根据头豹研究院的数据，本</w:t>
      </w:r>
      <w:r>
        <w:rPr>
          <w:rFonts w:ascii="SimSun" w:hAnsi="SimSun" w:eastAsia="SimSun" w:cs="SimSun"/>
          <w:sz w:val="30"/>
          <w:szCs w:val="30"/>
          <w:spacing w:val="-2"/>
        </w:rPr>
        <w:t>地生活市场规模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2025 </w:t>
      </w:r>
      <w:r>
        <w:rPr>
          <w:rFonts w:ascii="SimSun" w:hAnsi="SimSun" w:eastAsia="SimSun" w:cs="SimSun"/>
          <w:sz w:val="30"/>
          <w:szCs w:val="30"/>
          <w:spacing w:val="-2"/>
        </w:rPr>
        <w:t>年预计达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18128 </w:t>
      </w:r>
      <w:r>
        <w:rPr>
          <w:rFonts w:ascii="SimSun" w:hAnsi="SimSun" w:eastAsia="SimSun" w:cs="SimSun"/>
          <w:sz w:val="30"/>
          <w:szCs w:val="30"/>
          <w:spacing w:val="-2"/>
        </w:rPr>
        <w:t>亿元；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年本地生活服</w:t>
      </w:r>
      <w:r>
        <w:rPr>
          <w:rFonts w:ascii="SimSun" w:hAnsi="SimSun" w:eastAsia="SimSun" w:cs="SimSun"/>
          <w:sz w:val="30"/>
          <w:szCs w:val="30"/>
          <w:spacing w:val="-5"/>
        </w:rPr>
        <w:t>务商家月活在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400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万左右。庞大的市场规模印证了翼相连不仅局</w:t>
      </w:r>
      <w:r>
        <w:rPr>
          <w:rFonts w:ascii="SimSun" w:hAnsi="SimSun" w:eastAsia="SimSun" w:cs="SimSun"/>
          <w:sz w:val="30"/>
          <w:szCs w:val="30"/>
          <w:spacing w:val="7"/>
        </w:rPr>
        <w:t>限于提供基础网络连接，将更多立足于近距离自组网</w:t>
      </w:r>
      <w:r>
        <w:rPr>
          <w:rFonts w:ascii="SimSun" w:hAnsi="SimSun" w:eastAsia="SimSun" w:cs="SimSun"/>
          <w:sz w:val="30"/>
          <w:szCs w:val="30"/>
          <w:spacing w:val="6"/>
        </w:rPr>
        <w:t>服务探索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6G </w:t>
      </w:r>
      <w:r>
        <w:rPr>
          <w:rFonts w:ascii="SimSun" w:hAnsi="SimSun" w:eastAsia="SimSun" w:cs="SimSun"/>
          <w:sz w:val="30"/>
          <w:szCs w:val="30"/>
          <w:spacing w:val="-5"/>
        </w:rPr>
        <w:t>创新商业模式。</w:t>
      </w:r>
    </w:p>
    <w:p>
      <w:pPr>
        <w:spacing w:line="335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76"/>
        <w:spacing w:before="167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三、中国电信应对策略建议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．战略层面，密切关注政策动向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8" w:right="106" w:firstLine="596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及时调整近距离自组网业务模式，确保符合规定要求，</w:t>
      </w:r>
      <w:r>
        <w:rPr>
          <w:rFonts w:ascii="SimSun" w:hAnsi="SimSun" w:eastAsia="SimSun" w:cs="SimSun"/>
          <w:sz w:val="30"/>
          <w:szCs w:val="30"/>
          <w:spacing w:val="-5"/>
        </w:rPr>
        <w:t>并且</w:t>
      </w:r>
      <w:r>
        <w:rPr>
          <w:rFonts w:ascii="SimSun" w:hAnsi="SimSun" w:eastAsia="SimSun" w:cs="SimSun"/>
          <w:sz w:val="30"/>
          <w:szCs w:val="30"/>
          <w:spacing w:val="-4"/>
        </w:rPr>
        <w:t>与政府监管机构保持良好的合作关系。加强合规管理，制定严格</w:t>
      </w:r>
      <w:r>
        <w:rPr>
          <w:rFonts w:ascii="SimSun" w:hAnsi="SimSun" w:eastAsia="SimSun" w:cs="SimSun"/>
          <w:sz w:val="30"/>
          <w:szCs w:val="30"/>
          <w:spacing w:val="-4"/>
        </w:rPr>
        <w:t>的合规管理措施，确保在翼相连在信息传输和用户数据隐私保护</w:t>
      </w:r>
      <w:r>
        <w:rPr>
          <w:rFonts w:ascii="SimSun" w:hAnsi="SimSun" w:eastAsia="SimSun" w:cs="SimSun"/>
          <w:sz w:val="30"/>
          <w:szCs w:val="30"/>
          <w:spacing w:val="-4"/>
        </w:rPr>
        <w:t>等方面符合政策要求，避免违规行为。</w:t>
      </w:r>
    </w:p>
    <w:p>
      <w:pPr>
        <w:ind w:left="624"/>
        <w:spacing w:before="27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．技术布局，推进近距离组网技术标准化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7" w:right="105" w:firstLine="626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中国电信需积极参与标准制定组织，推动制定统一</w:t>
      </w:r>
      <w:r>
        <w:rPr>
          <w:rFonts w:ascii="SimSun" w:hAnsi="SimSun" w:eastAsia="SimSun" w:cs="SimSun"/>
          <w:sz w:val="30"/>
          <w:szCs w:val="30"/>
          <w:spacing w:val="-6"/>
        </w:rPr>
        <w:t>的近距离</w:t>
      </w:r>
      <w:r>
        <w:rPr>
          <w:rFonts w:ascii="SimSun" w:hAnsi="SimSun" w:eastAsia="SimSun" w:cs="SimSun"/>
          <w:sz w:val="30"/>
          <w:szCs w:val="30"/>
          <w:spacing w:val="-4"/>
        </w:rPr>
        <w:t>自组网标准，以提高不同设备之间的互操作性，并以此为跳板积</w:t>
      </w:r>
      <w:r>
        <w:rPr>
          <w:rFonts w:ascii="SimSun" w:hAnsi="SimSun" w:eastAsia="SimSun" w:cs="SimSun"/>
          <w:sz w:val="30"/>
          <w:szCs w:val="30"/>
          <w:spacing w:val="-9"/>
        </w:rPr>
        <w:t>极参与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6G </w:t>
      </w:r>
      <w:r>
        <w:rPr>
          <w:rFonts w:ascii="SimSun" w:hAnsi="SimSun" w:eastAsia="SimSun" w:cs="SimSun"/>
          <w:sz w:val="30"/>
          <w:szCs w:val="30"/>
          <w:spacing w:val="-9"/>
        </w:rPr>
        <w:t>相关标准推动。加强与终端厂商、设备商合作，</w:t>
      </w:r>
      <w:r>
        <w:rPr>
          <w:rFonts w:ascii="SimSun" w:hAnsi="SimSun" w:eastAsia="SimSun" w:cs="SimSun"/>
          <w:sz w:val="30"/>
          <w:szCs w:val="30"/>
          <w:spacing w:val="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探索</w:t>
      </w:r>
      <w:r>
        <w:rPr>
          <w:rFonts w:ascii="SimSun" w:hAnsi="SimSun" w:eastAsia="SimSun" w:cs="SimSun"/>
          <w:sz w:val="30"/>
          <w:szCs w:val="30"/>
          <w:spacing w:val="-4"/>
        </w:rPr>
        <w:t>合作共赢模式，建立近距离通信产业联盟，开拓更广阔的市场空</w:t>
      </w:r>
      <w:r>
        <w:rPr>
          <w:rFonts w:ascii="SimSun" w:hAnsi="SimSun" w:eastAsia="SimSun" w:cs="SimSun"/>
          <w:sz w:val="30"/>
          <w:szCs w:val="30"/>
          <w:spacing w:val="-1"/>
        </w:rPr>
        <w:t>间，提升中国电信在整个行业的竞争力。</w:t>
      </w:r>
    </w:p>
    <w:p>
      <w:pPr>
        <w:ind w:left="20" w:right="104" w:firstLine="601"/>
        <w:spacing w:before="279" w:line="277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3"/>
        </w:rPr>
        <w:t>．市场层面，发展支持中国电信近距离自组网的技术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P-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RAN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和产品翼相连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34" w:firstLine="620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中国电信需开展宣传活动，提高用户对于近距离自</w:t>
      </w:r>
      <w:r>
        <w:rPr>
          <w:rFonts w:ascii="SimSun" w:hAnsi="SimSun" w:eastAsia="SimSun" w:cs="SimSun"/>
          <w:sz w:val="30"/>
          <w:szCs w:val="30"/>
          <w:spacing w:val="-6"/>
        </w:rPr>
        <w:t>组网技术</w:t>
      </w:r>
      <w:r>
        <w:rPr>
          <w:rFonts w:ascii="SimSun" w:hAnsi="SimSun" w:eastAsia="SimSun" w:cs="SimSun"/>
          <w:sz w:val="30"/>
          <w:szCs w:val="30"/>
          <w:spacing w:val="-4"/>
        </w:rPr>
        <w:t>的认知和理解，帮助其正确使用和享受相关服务。其次，对</w:t>
      </w:r>
      <w:r>
        <w:rPr>
          <w:rFonts w:ascii="SimSun" w:hAnsi="SimSun" w:eastAsia="SimSun" w:cs="SimSun"/>
          <w:sz w:val="30"/>
          <w:szCs w:val="30"/>
          <w:spacing w:val="-5"/>
        </w:rPr>
        <w:t>于自</w:t>
      </w:r>
      <w:r>
        <w:rPr>
          <w:rFonts w:ascii="SimSun" w:hAnsi="SimSun" w:eastAsia="SimSun" w:cs="SimSun"/>
          <w:sz w:val="30"/>
          <w:szCs w:val="30"/>
        </w:rPr>
        <w:t>身产品翼相连，需借助技术手段，依据政策规定</w:t>
      </w:r>
      <w:r>
        <w:rPr>
          <w:rFonts w:ascii="SimSun" w:hAnsi="SimSun" w:eastAsia="SimSun" w:cs="SimSun"/>
          <w:sz w:val="30"/>
          <w:szCs w:val="30"/>
          <w:spacing w:val="-1"/>
        </w:rPr>
        <w:t>保证产品合规。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9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16" w:lineRule="auto"/>
        <w:sectPr>
          <w:pgSz w:w="11907" w:h="16839"/>
          <w:pgMar w:top="1431" w:right="1691" w:bottom="0" w:left="1785" w:header="0" w:footer="0" w:gutter="0"/>
        </w:sectPr>
        <w:rPr>
          <w:rFonts w:ascii="KaiTi" w:hAnsi="KaiTi" w:eastAsia="KaiTi" w:cs="KaiTi"/>
        </w:rPr>
      </w:pPr>
    </w:p>
    <w:p>
      <w:pPr>
        <w:ind w:left="1993"/>
        <w:spacing w:before="296" w:line="222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1211580</wp:posOffset>
            </wp:positionH>
            <wp:positionV relativeFrom="page">
              <wp:posOffset>937260</wp:posOffset>
            </wp:positionV>
            <wp:extent cx="908303" cy="113690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03" cy="1136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1"/>
        </w:rPr>
        <w:t>孟凡蓉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【19910568113】</w:t>
      </w:r>
    </w:p>
    <w:p>
      <w:pPr>
        <w:ind w:left="1998" w:right="186" w:firstLine="280"/>
        <w:spacing w:before="111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硕士，战略发展研究所移动与安全研究中心，从</w:t>
      </w:r>
      <w:r>
        <w:rPr>
          <w:rFonts w:ascii="KaiTi" w:hAnsi="KaiTi" w:eastAsia="KaiTi" w:cs="KaiTi"/>
          <w:sz w:val="28"/>
          <w:szCs w:val="28"/>
          <w:spacing w:val="-1"/>
        </w:rPr>
        <w:t>事通信行业研究，专注移动网络商业模式、价值战</w:t>
      </w:r>
      <w:r>
        <w:rPr>
          <w:rFonts w:ascii="KaiTi" w:hAnsi="KaiTi" w:eastAsia="KaiTi" w:cs="KaiTi"/>
          <w:sz w:val="28"/>
          <w:szCs w:val="28"/>
          <w:spacing w:val="-9"/>
        </w:rPr>
        <w:t>略研究。</w:t>
      </w:r>
    </w:p>
    <w:p>
      <w:pPr>
        <w:spacing w:line="45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86639</wp:posOffset>
            </wp:positionH>
            <wp:positionV relativeFrom="paragraph">
              <wp:posOffset>145386</wp:posOffset>
            </wp:positionV>
            <wp:extent cx="890016" cy="40126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016" cy="401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07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李为民</w:t>
      </w:r>
    </w:p>
    <w:p>
      <w:pPr>
        <w:ind w:left="2004" w:right="186" w:firstLine="275"/>
        <w:spacing w:before="112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硕士，副总监分析师，战略发展研究所移动与安</w:t>
      </w:r>
      <w:r>
        <w:rPr>
          <w:rFonts w:ascii="KaiTi" w:hAnsi="KaiTi" w:eastAsia="KaiTi" w:cs="KaiTi"/>
          <w:sz w:val="28"/>
          <w:szCs w:val="28"/>
          <w:spacing w:val="-1"/>
        </w:rPr>
        <w:t>全研究中心，从事通信行业战略研究，专注移动网</w:t>
      </w:r>
      <w:r>
        <w:rPr>
          <w:rFonts w:ascii="KaiTi" w:hAnsi="KaiTi" w:eastAsia="KaiTi" w:cs="KaiTi"/>
          <w:sz w:val="28"/>
          <w:szCs w:val="28"/>
          <w:spacing w:val="-10"/>
        </w:rPr>
        <w:t>络方向。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2005"/>
        <w:spacing w:before="91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刘桦</w:t>
      </w:r>
    </w:p>
    <w:p>
      <w:pPr>
        <w:ind w:left="2001" w:right="186" w:firstLine="278"/>
        <w:spacing w:before="124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硕士，高级工程师，长期从事行业空间研判及增</w:t>
      </w:r>
      <w:r>
        <w:rPr>
          <w:rFonts w:ascii="KaiTi" w:hAnsi="KaiTi" w:eastAsia="KaiTi" w:cs="KaiTi"/>
          <w:sz w:val="28"/>
          <w:szCs w:val="28"/>
          <w:spacing w:val="-1"/>
        </w:rPr>
        <w:t>长模式、6G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产业趋势、市场规划及预算管控模式</w:t>
      </w:r>
      <w:r>
        <w:rPr>
          <w:rFonts w:ascii="KaiTi" w:hAnsi="KaiTi" w:eastAsia="KaiTi" w:cs="KaiTi"/>
          <w:sz w:val="28"/>
          <w:szCs w:val="28"/>
          <w:spacing w:val="-9"/>
        </w:rPr>
        <w:t>等研究。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992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杨庆丰</w:t>
      </w:r>
    </w:p>
    <w:p>
      <w:pPr>
        <w:ind w:left="2003" w:right="227" w:firstLine="271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博士，高级工程师，长期从事通信经济和政策、</w:t>
      </w:r>
      <w:r>
        <w:rPr>
          <w:rFonts w:ascii="KaiTi" w:hAnsi="KaiTi" w:eastAsia="KaiTi" w:cs="KaiTi"/>
          <w:sz w:val="28"/>
          <w:szCs w:val="28"/>
          <w:spacing w:val="-3"/>
        </w:rPr>
        <w:t>财务管理、企业战略和商业模式等相关研究。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2023-09-20T11:26:51Z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2025-11-04T14:24:16</vt:filetime>
  </property>
</Properties>
</file>