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3BB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firstLine="0" w:firstLineChars="0"/>
        <w:jc w:val="center"/>
        <w:textAlignment w:val="auto"/>
        <w:rPr>
          <w:rFonts w:hint="eastAsia" w:ascii="Calibri" w:hAnsi="Calibri"/>
          <w:color w:val="auto"/>
          <w:sz w:val="28"/>
          <w:szCs w:val="28"/>
          <w:lang w:val="en-US" w:eastAsia="zh-CN"/>
        </w:rPr>
      </w:pPr>
      <w:r>
        <w:rPr>
          <w:rFonts w:hint="eastAsia" w:ascii="Calibri" w:hAnsi="Calibri"/>
          <w:color w:val="auto"/>
          <w:sz w:val="28"/>
          <w:szCs w:val="28"/>
          <w:lang w:val="en-US" w:eastAsia="zh-CN"/>
        </w:rPr>
        <w:t>微软在人工智能领域的投资策略分析</w:t>
      </w:r>
    </w:p>
    <w:p w14:paraId="4FD6F203">
      <w:pPr>
        <w:pStyle w:val="2"/>
        <w:numPr>
          <w:ilvl w:val="0"/>
          <w:numId w:val="1"/>
        </w:numPr>
        <w:spacing w:before="157" w:beforeLines="50" w:beforeAutospacing="0" w:after="157" w:afterLines="50" w:afterAutospacing="0" w:line="288" w:lineRule="auto"/>
        <w:ind w:firstLine="562" w:firstLineChars="200"/>
        <w:jc w:val="left"/>
        <w:rPr>
          <w:rFonts w:ascii="Calibri" w:hAnsi="Calibri"/>
          <w:color w:val="auto"/>
          <w:sz w:val="28"/>
          <w:szCs w:val="28"/>
        </w:rPr>
      </w:pPr>
      <w:r>
        <w:rPr>
          <w:rFonts w:hint="eastAsia" w:ascii="Calibri" w:hAnsi="Calibri"/>
          <w:color w:val="auto"/>
          <w:sz w:val="28"/>
          <w:szCs w:val="28"/>
          <w:lang w:val="en-US" w:eastAsia="zh-CN"/>
        </w:rPr>
        <w:t>模式总结</w:t>
      </w:r>
    </w:p>
    <w:p w14:paraId="4E8664F6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0" w:firstLineChars="200"/>
        <w:textAlignment w:val="auto"/>
        <w:rPr>
          <w:rFonts w:hint="default" w:eastAsia="宋体"/>
          <w:color w:val="auto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color w:val="auto"/>
          <w:sz w:val="28"/>
          <w:szCs w:val="28"/>
          <w:shd w:val="clear" w:color="auto" w:fill="auto"/>
          <w:lang w:val="en-US" w:eastAsia="zh-CN"/>
        </w:rPr>
        <w:t>2024年7月31日</w:t>
      </w:r>
      <w:r>
        <w:rPr>
          <w:rFonts w:hint="eastAsia"/>
          <w:color w:val="auto"/>
          <w:sz w:val="28"/>
          <w:szCs w:val="28"/>
          <w:shd w:val="clear" w:color="auto" w:fill="auto"/>
        </w:rPr>
        <w:t>微软财报，自2016年以来公司资本开支持续增长，2024财年公司资本开支达到557亿美元，同比增速达到74%</w:t>
      </w:r>
      <w:r>
        <w:rPr>
          <w:rFonts w:hint="eastAsia"/>
          <w:color w:val="auto"/>
          <w:sz w:val="28"/>
          <w:szCs w:val="28"/>
          <w:shd w:val="clear" w:color="auto" w:fill="auto"/>
          <w:lang w:eastAsia="zh-CN"/>
        </w:rPr>
        <w:t>；</w:t>
      </w:r>
      <w:r>
        <w:rPr>
          <w:rFonts w:hint="eastAsia"/>
          <w:color w:val="auto"/>
          <w:sz w:val="28"/>
          <w:szCs w:val="28"/>
          <w:shd w:val="clear" w:color="auto" w:fill="auto"/>
          <w:lang w:val="en-US" w:eastAsia="zh-CN"/>
        </w:rPr>
        <w:t>相较同期</w:t>
      </w:r>
      <w:r>
        <w:rPr>
          <w:rFonts w:hint="eastAsia"/>
          <w:color w:val="auto"/>
          <w:sz w:val="28"/>
          <w:szCs w:val="28"/>
          <w:shd w:val="clear" w:color="auto" w:fill="auto"/>
          <w:lang w:eastAsia="zh-CN"/>
        </w:rPr>
        <w:t>总营收2451亿美元，</w:t>
      </w:r>
      <w:r>
        <w:rPr>
          <w:rFonts w:hint="eastAsia"/>
          <w:color w:val="auto"/>
          <w:sz w:val="28"/>
          <w:szCs w:val="28"/>
          <w:shd w:val="clear" w:color="auto" w:fill="auto"/>
        </w:rPr>
        <w:t>资本开支</w:t>
      </w:r>
      <w:r>
        <w:rPr>
          <w:rFonts w:hint="eastAsia"/>
          <w:color w:val="auto"/>
          <w:sz w:val="28"/>
          <w:szCs w:val="28"/>
          <w:shd w:val="clear" w:color="auto" w:fill="auto"/>
          <w:lang w:val="en-US" w:eastAsia="zh-CN"/>
        </w:rPr>
        <w:t>占营收比重约为23%。</w:t>
      </w:r>
    </w:p>
    <w:p w14:paraId="56002AA3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7" w:beforeLines="50" w:beforeAutospacing="0" w:after="157" w:afterLines="50" w:afterAutospacing="0"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50130" cy="2416175"/>
            <wp:effectExtent l="0" t="0" r="762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47D9">
      <w:pPr>
        <w:pStyle w:val="9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firstLine="560" w:firstLineChars="200"/>
        <w:jc w:val="center"/>
        <w:textAlignment w:val="auto"/>
        <w:rPr>
          <w:rFonts w:hint="eastAsia"/>
          <w:color w:val="auto"/>
          <w:sz w:val="28"/>
          <w:szCs w:val="28"/>
          <w:shd w:val="clear" w:color="auto" w:fill="auto"/>
          <w:lang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 xml:space="preserve">图1  </w:t>
      </w:r>
      <w:r>
        <w:rPr>
          <w:rFonts w:hint="eastAsia"/>
          <w:color w:val="auto"/>
          <w:sz w:val="28"/>
          <w:szCs w:val="28"/>
        </w:rPr>
        <w:t>FY201</w:t>
      </w:r>
      <w:r>
        <w:rPr>
          <w:rFonts w:hint="eastAsia"/>
          <w:color w:val="auto"/>
          <w:sz w:val="28"/>
          <w:szCs w:val="28"/>
          <w:lang w:val="en-US" w:eastAsia="zh-CN"/>
        </w:rPr>
        <w:t>6</w:t>
      </w:r>
      <w:r>
        <w:rPr>
          <w:rFonts w:hint="eastAsia"/>
          <w:color w:val="auto"/>
          <w:sz w:val="28"/>
          <w:szCs w:val="28"/>
        </w:rPr>
        <w:t>-FY2024微软资本开支情况</w:t>
      </w:r>
      <w:r>
        <w:rPr>
          <w:rFonts w:hint="eastAsia"/>
          <w:color w:val="auto"/>
          <w:sz w:val="28"/>
          <w:szCs w:val="28"/>
          <w:lang w:eastAsia="zh-CN"/>
        </w:rPr>
        <w:t>（</w:t>
      </w:r>
      <w:r>
        <w:rPr>
          <w:rFonts w:hint="eastAsia"/>
          <w:color w:val="auto"/>
          <w:sz w:val="28"/>
          <w:szCs w:val="28"/>
        </w:rPr>
        <w:t>含资本租赁</w:t>
      </w:r>
      <w:r>
        <w:rPr>
          <w:rFonts w:hint="eastAsia"/>
          <w:color w:val="auto"/>
          <w:sz w:val="28"/>
          <w:szCs w:val="28"/>
          <w:lang w:eastAsia="zh-CN"/>
        </w:rPr>
        <w:t>）</w:t>
      </w:r>
    </w:p>
    <w:p w14:paraId="1CA53EDE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0" w:firstLineChars="200"/>
        <w:textAlignment w:val="auto"/>
        <w:rPr>
          <w:rFonts w:hint="eastAsia" w:ascii="Calibri" w:hAnsi="Calibri" w:eastAsia="宋体" w:cs="宋体"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z w:val="28"/>
          <w:szCs w:val="28"/>
          <w:shd w:val="clear" w:color="auto" w:fill="auto"/>
          <w:lang w:val="en-US" w:eastAsia="zh-CN"/>
        </w:rPr>
        <w:t>通过公司内部的企业发展部和M12投资公司两个投资主体，微软大力加强</w:t>
      </w:r>
      <w:r>
        <w:rPr>
          <w:rFonts w:hint="eastAsia"/>
          <w:color w:val="auto"/>
          <w:sz w:val="28"/>
          <w:szCs w:val="28"/>
          <w:shd w:val="clear" w:color="auto" w:fill="auto"/>
        </w:rPr>
        <w:t>在云计算</w:t>
      </w:r>
      <w:r>
        <w:rPr>
          <w:rFonts w:hint="eastAsia"/>
          <w:color w:val="auto"/>
          <w:sz w:val="28"/>
          <w:szCs w:val="28"/>
          <w:shd w:val="clear" w:color="auto" w:fill="auto"/>
          <w:lang w:val="en-US" w:eastAsia="zh-CN"/>
        </w:rPr>
        <w:t>和人工智能领域的</w:t>
      </w:r>
      <w:r>
        <w:rPr>
          <w:rFonts w:hint="eastAsia"/>
          <w:color w:val="auto"/>
          <w:sz w:val="28"/>
          <w:szCs w:val="28"/>
          <w:shd w:val="clear" w:color="auto" w:fill="auto"/>
        </w:rPr>
        <w:t>投资力度</w:t>
      </w:r>
      <w:r>
        <w:rPr>
          <w:rFonts w:hint="eastAsia"/>
          <w:color w:val="auto"/>
          <w:sz w:val="28"/>
          <w:szCs w:val="28"/>
          <w:shd w:val="clear" w:color="auto" w:fill="auto"/>
          <w:lang w:eastAsia="zh-CN"/>
        </w:rPr>
        <w:t>。</w:t>
      </w:r>
      <w:r>
        <w:rPr>
          <w:rFonts w:hint="eastAsia"/>
          <w:color w:val="auto"/>
          <w:sz w:val="28"/>
          <w:szCs w:val="28"/>
          <w:shd w:val="clear" w:color="auto" w:fill="auto"/>
          <w:lang w:val="en-US" w:eastAsia="zh-CN"/>
        </w:rPr>
        <w:t>其不仅在</w:t>
      </w:r>
      <w:r>
        <w:rPr>
          <w:rFonts w:hint="eastAsia"/>
          <w:color w:val="auto"/>
          <w:sz w:val="28"/>
          <w:szCs w:val="28"/>
          <w:shd w:val="clear" w:color="auto" w:fill="auto"/>
        </w:rPr>
        <w:t>全球范围内</w:t>
      </w:r>
      <w:r>
        <w:rPr>
          <w:rFonts w:hint="eastAsia"/>
          <w:color w:val="auto"/>
          <w:sz w:val="28"/>
          <w:szCs w:val="28"/>
          <w:shd w:val="clear" w:color="auto" w:fill="auto"/>
          <w:lang w:val="en-US" w:eastAsia="zh-CN"/>
        </w:rPr>
        <w:t>积极投入资源建设AI基础设施，还</w:t>
      </w:r>
      <w:r>
        <w:rPr>
          <w:rFonts w:hint="eastAsia" w:ascii="Calibri" w:hAnsi="Calibri" w:eastAsia="宋体" w:cs="宋体"/>
          <w:color w:val="auto"/>
          <w:sz w:val="28"/>
          <w:szCs w:val="28"/>
          <w:lang w:eastAsia="zh-CN"/>
        </w:rPr>
        <w:t>通过</w:t>
      </w:r>
      <w:r>
        <w:rPr>
          <w:rFonts w:hint="eastAsia" w:cs="宋体"/>
          <w:color w:val="auto"/>
          <w:sz w:val="28"/>
          <w:szCs w:val="28"/>
          <w:lang w:val="en-US" w:eastAsia="zh-CN"/>
        </w:rPr>
        <w:t>投资</w:t>
      </w:r>
      <w:r>
        <w:rPr>
          <w:rFonts w:hint="eastAsia" w:ascii="Calibri" w:hAnsi="Calibri" w:eastAsia="宋体" w:cs="宋体"/>
          <w:color w:val="auto"/>
          <w:sz w:val="28"/>
          <w:szCs w:val="28"/>
          <w:lang w:eastAsia="zh-CN"/>
        </w:rPr>
        <w:t>创新</w:t>
      </w:r>
      <w:r>
        <w:rPr>
          <w:rFonts w:hint="eastAsia" w:cs="宋体"/>
          <w:color w:val="auto"/>
          <w:sz w:val="28"/>
          <w:szCs w:val="28"/>
          <w:lang w:val="en-US" w:eastAsia="zh-CN"/>
        </w:rPr>
        <w:t>企业</w:t>
      </w:r>
      <w:r>
        <w:rPr>
          <w:rFonts w:hint="eastAsia" w:ascii="Calibri" w:hAnsi="Calibri" w:eastAsia="宋体" w:cs="宋体"/>
          <w:color w:val="auto"/>
          <w:sz w:val="28"/>
          <w:szCs w:val="28"/>
          <w:lang w:eastAsia="zh-CN"/>
        </w:rPr>
        <w:t>来盘活行业资源，重新定义</w:t>
      </w:r>
      <w:r>
        <w:rPr>
          <w:rFonts w:hint="eastAsia" w:cs="宋体"/>
          <w:color w:val="auto"/>
          <w:sz w:val="28"/>
          <w:szCs w:val="28"/>
          <w:lang w:val="en-US" w:eastAsia="zh-CN"/>
        </w:rPr>
        <w:t>这个</w:t>
      </w:r>
      <w:r>
        <w:rPr>
          <w:rFonts w:hint="eastAsia" w:ascii="Calibri" w:hAnsi="Calibri" w:eastAsia="宋体" w:cs="宋体"/>
          <w:color w:val="auto"/>
          <w:sz w:val="28"/>
          <w:szCs w:val="28"/>
          <w:lang w:eastAsia="zh-CN"/>
        </w:rPr>
        <w:t>行业</w:t>
      </w:r>
      <w:r>
        <w:rPr>
          <w:rFonts w:hint="eastAsia" w:cs="宋体"/>
          <w:color w:val="auto"/>
          <w:sz w:val="28"/>
          <w:szCs w:val="28"/>
          <w:lang w:val="en-US" w:eastAsia="zh-CN"/>
        </w:rPr>
        <w:t>的</w:t>
      </w:r>
      <w:r>
        <w:rPr>
          <w:rFonts w:hint="eastAsia" w:ascii="Calibri" w:hAnsi="Calibri" w:eastAsia="宋体" w:cs="宋体"/>
          <w:color w:val="auto"/>
          <w:sz w:val="28"/>
          <w:szCs w:val="28"/>
          <w:lang w:eastAsia="zh-CN"/>
        </w:rPr>
        <w:t>规则，直至成为行业领导者。</w:t>
      </w:r>
    </w:p>
    <w:p w14:paraId="40FB19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line="288" w:lineRule="auto"/>
        <w:ind w:firstLine="0" w:firstLineChars="0"/>
        <w:jc w:val="center"/>
        <w:textAlignment w:val="auto"/>
        <w:rPr>
          <w:color w:val="auto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430145"/>
            <wp:effectExtent l="0" t="0" r="635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9D3E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0" w:firstLineChars="200"/>
        <w:jc w:val="center"/>
        <w:textAlignment w:val="auto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</w:rPr>
        <w:t>图</w:t>
      </w:r>
      <w:r>
        <w:rPr>
          <w:rFonts w:hint="eastAsia"/>
          <w:color w:val="auto"/>
          <w:sz w:val="28"/>
          <w:szCs w:val="28"/>
          <w:lang w:val="en-US" w:eastAsia="zh-CN"/>
        </w:rPr>
        <w:t>2 微软</w:t>
      </w:r>
      <w:r>
        <w:rPr>
          <w:rFonts w:hint="eastAsia"/>
          <w:color w:val="auto"/>
          <w:sz w:val="28"/>
          <w:szCs w:val="28"/>
        </w:rPr>
        <w:t>的</w:t>
      </w:r>
      <w:r>
        <w:rPr>
          <w:rFonts w:hint="eastAsia"/>
          <w:color w:val="auto"/>
          <w:sz w:val="28"/>
          <w:szCs w:val="28"/>
          <w:lang w:val="en-US" w:eastAsia="zh-CN"/>
        </w:rPr>
        <w:t>投资发展版图</w:t>
      </w:r>
    </w:p>
    <w:p w14:paraId="6ACECFD6">
      <w:pPr>
        <w:pStyle w:val="2"/>
        <w:keepNext w:val="0"/>
        <w:keepLines w:val="0"/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firstLine="0" w:firstLineChars="0"/>
        <w:jc w:val="left"/>
        <w:textAlignment w:val="auto"/>
        <w:outlineLvl w:val="0"/>
        <w:rPr>
          <w:rFonts w:hint="eastAsia" w:ascii="Calibri" w:hAnsi="Calibri"/>
          <w:color w:val="auto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/>
          <w:color w:val="auto"/>
          <w:sz w:val="28"/>
          <w:szCs w:val="28"/>
          <w:lang w:val="en-US" w:eastAsia="zh-CN"/>
        </w:rPr>
        <w:t>二、投资组织</w:t>
      </w:r>
    </w:p>
    <w:p w14:paraId="2A97C08E">
      <w:pPr>
        <w:pStyle w:val="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7" w:beforeLines="50" w:beforeAutospacing="0" w:after="157" w:afterLines="50" w:afterAutospacing="0" w:line="288" w:lineRule="auto"/>
        <w:ind w:firstLine="560" w:firstLineChars="200"/>
        <w:rPr>
          <w:rStyle w:val="12"/>
          <w:rFonts w:hint="eastAsia"/>
          <w:b w:val="0"/>
          <w:bCs/>
          <w:color w:val="auto"/>
          <w:sz w:val="28"/>
          <w:szCs w:val="28"/>
        </w:rPr>
      </w:pPr>
      <w:r>
        <w:rPr>
          <w:rStyle w:val="12"/>
          <w:rFonts w:ascii="Calibri" w:hAnsi="Calibri" w:cs="Times New Roman"/>
          <w:b w:val="0"/>
          <w:bCs w:val="0"/>
          <w:color w:val="auto"/>
          <w:sz w:val="28"/>
          <w:szCs w:val="28"/>
          <w:u w:val="none"/>
        </w:rPr>
        <w:t>微软投资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t>主要</w:t>
      </w:r>
      <w:r>
        <w:rPr>
          <w:rStyle w:val="12"/>
          <w:rFonts w:hint="eastAsia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t>依托</w:t>
      </w:r>
      <w:r>
        <w:rPr>
          <w:rStyle w:val="12"/>
          <w:rFonts w:hint="eastAsia"/>
          <w:b/>
          <w:bCs/>
          <w:color w:val="auto"/>
          <w:sz w:val="28"/>
          <w:szCs w:val="28"/>
          <w:u w:val="none"/>
          <w:lang w:val="en-US" w:eastAsia="zh-CN"/>
        </w:rPr>
        <w:t>微软的</w:t>
      </w:r>
      <w:r>
        <w:rPr>
          <w:rStyle w:val="12"/>
          <w:rFonts w:hint="eastAsia"/>
          <w:b/>
          <w:bCs/>
          <w:color w:val="auto"/>
          <w:sz w:val="28"/>
          <w:szCs w:val="28"/>
          <w:u w:val="none"/>
        </w:rPr>
        <w:t>企业发展</w:t>
      </w:r>
      <w:r>
        <w:rPr>
          <w:rStyle w:val="12"/>
          <w:rFonts w:hint="eastAsia"/>
          <w:b/>
          <w:bCs/>
          <w:color w:val="auto"/>
          <w:sz w:val="28"/>
          <w:szCs w:val="28"/>
          <w:u w:val="none"/>
          <w:lang w:val="en-US" w:eastAsia="zh-CN"/>
        </w:rPr>
        <w:t>部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  <w:lang w:val="en-US" w:eastAsia="zh-CN"/>
        </w:rPr>
        <w:t>和</w:t>
      </w:r>
      <w:r>
        <w:rPr>
          <w:rStyle w:val="12"/>
          <w:rFonts w:hint="eastAsia" w:ascii="Calibri" w:hAnsi="Calibri" w:cs="Times New Roman"/>
          <w:b/>
          <w:bCs/>
          <w:color w:val="auto"/>
          <w:sz w:val="28"/>
          <w:szCs w:val="28"/>
        </w:rPr>
        <w:t>M12</w:t>
      </w:r>
      <w:r>
        <w:rPr>
          <w:rStyle w:val="12"/>
          <w:rFonts w:hint="eastAsia" w:ascii="Calibri" w:hAnsi="Calibri" w:cs="Times New Roman"/>
          <w:b/>
          <w:bCs/>
          <w:color w:val="auto"/>
          <w:sz w:val="28"/>
          <w:szCs w:val="28"/>
          <w:lang w:val="en-US" w:eastAsia="zh-CN"/>
        </w:rPr>
        <w:t>两</w:t>
      </w:r>
      <w:r>
        <w:rPr>
          <w:rStyle w:val="12"/>
          <w:rFonts w:hint="eastAsia" w:cs="Times New Roman"/>
          <w:b/>
          <w:bCs/>
          <w:color w:val="auto"/>
          <w:sz w:val="28"/>
          <w:szCs w:val="28"/>
          <w:lang w:val="en-US" w:eastAsia="zh-CN"/>
        </w:rPr>
        <w:t>个主体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lang w:val="en-US" w:eastAsia="zh-CN"/>
        </w:rPr>
        <w:t>。</w:t>
      </w:r>
      <w:r>
        <w:rPr>
          <w:rStyle w:val="12"/>
          <w:rFonts w:hint="eastAsia" w:cs="Times New Roman"/>
          <w:b w:val="0"/>
          <w:bCs w:val="0"/>
          <w:color w:val="auto"/>
          <w:sz w:val="28"/>
          <w:szCs w:val="28"/>
          <w:lang w:val="en-US" w:eastAsia="zh-CN"/>
        </w:rPr>
        <w:t>其中，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lang w:val="en-US" w:eastAsia="zh-CN"/>
        </w:rPr>
        <w:t>微软主要依靠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</w:rPr>
        <w:t>企业发展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  <w:lang w:val="en-US" w:eastAsia="zh-CN"/>
        </w:rPr>
        <w:t>部针对行业头部企业开展收购和战略投资等活动，旨在通过整合优质企业资源，实现战略布局的优化与拓展。而</w:t>
      </w:r>
      <w:r>
        <w:rPr>
          <w:rStyle w:val="11"/>
          <w:rFonts w:hint="eastAsia" w:ascii="Calibri" w:hAnsi="Calibri" w:cs="宋体"/>
          <w:b w:val="0"/>
          <w:bCs w:val="0"/>
          <w:color w:val="auto"/>
          <w:sz w:val="28"/>
          <w:szCs w:val="28"/>
        </w:rPr>
        <w:t>M12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则主要负责</w:t>
      </w:r>
      <w:r>
        <w:rPr>
          <w:rStyle w:val="12"/>
          <w:rFonts w:hint="eastAsia" w:ascii="Calibri" w:hAnsi="Calibri" w:cs="Times New Roman"/>
          <w:b w:val="0"/>
          <w:bCs/>
          <w:color w:val="auto"/>
          <w:sz w:val="28"/>
          <w:szCs w:val="28"/>
          <w:lang w:val="en-US" w:eastAsia="zh-CN"/>
        </w:rPr>
        <w:t>对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那些能有效</w:t>
      </w:r>
      <w:r>
        <w:rPr>
          <w:rStyle w:val="12"/>
          <w:rFonts w:hint="eastAsia"/>
          <w:b w:val="0"/>
          <w:bCs/>
          <w:color w:val="auto"/>
          <w:sz w:val="28"/>
          <w:szCs w:val="28"/>
        </w:rPr>
        <w:t>利用微软资源实现商业化的B端公司</w:t>
      </w:r>
      <w:r>
        <w:rPr>
          <w:rStyle w:val="12"/>
          <w:rFonts w:hint="eastAsia"/>
          <w:b w:val="0"/>
          <w:bCs/>
          <w:color w:val="auto"/>
          <w:sz w:val="28"/>
          <w:szCs w:val="28"/>
          <w:lang w:val="en-US" w:eastAsia="zh-CN"/>
        </w:rPr>
        <w:t>进行风险投资，以此挖掘潜在商机，促进相关领域的创新与发展，进而为微软的整体业务生态注入新的活力与竞争力</w:t>
      </w:r>
      <w:r>
        <w:rPr>
          <w:rStyle w:val="12"/>
          <w:rFonts w:hint="eastAsia"/>
          <w:b w:val="0"/>
          <w:bCs/>
          <w:color w:val="auto"/>
          <w:sz w:val="28"/>
          <w:szCs w:val="28"/>
        </w:rPr>
        <w:t>。</w:t>
      </w:r>
    </w:p>
    <w:p w14:paraId="0B37FD5B">
      <w:pPr>
        <w:pStyle w:val="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7" w:beforeLines="50" w:beforeAutospacing="0" w:after="157" w:afterLines="50" w:afterAutospacing="0" w:line="288" w:lineRule="auto"/>
        <w:ind w:firstLine="560" w:firstLineChars="200"/>
        <w:jc w:val="center"/>
        <w:rPr>
          <w:rStyle w:val="12"/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Style w:val="12"/>
          <w:rFonts w:hint="eastAsia"/>
          <w:b w:val="0"/>
          <w:bCs/>
          <w:color w:val="auto"/>
          <w:sz w:val="28"/>
          <w:szCs w:val="28"/>
          <w:lang w:val="en-US" w:eastAsia="zh-CN"/>
        </w:rPr>
        <w:t>表1 微软两大投资主体的投资次数</w:t>
      </w:r>
    </w:p>
    <w:tbl>
      <w:tblPr>
        <w:tblStyle w:val="10"/>
        <w:tblW w:w="49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740"/>
        <w:gridCol w:w="1493"/>
      </w:tblGrid>
      <w:tr w14:paraId="2EF08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4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C5D9F1"/>
            <w:vAlign w:val="bottom"/>
          </w:tcPr>
          <w:p w14:paraId="415E9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投资阶段</w:t>
            </w:r>
          </w:p>
        </w:tc>
        <w:tc>
          <w:tcPr>
            <w:tcW w:w="174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C5D9F1"/>
            <w:vAlign w:val="bottom"/>
          </w:tcPr>
          <w:p w14:paraId="21C9A3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企业发展部</w:t>
            </w:r>
          </w:p>
        </w:tc>
        <w:tc>
          <w:tcPr>
            <w:tcW w:w="149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C5D9F1"/>
            <w:noWrap/>
            <w:vAlign w:val="bottom"/>
          </w:tcPr>
          <w:p w14:paraId="4C5E8F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M12</w:t>
            </w:r>
          </w:p>
        </w:tc>
      </w:tr>
      <w:tr w14:paraId="63C3B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6721F8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并购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1D2458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525726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973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113921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战略投资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1D844E8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1F9C6F8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2DA4A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222E07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A轮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0FE37FA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2C637A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</w:tr>
      <w:tr w14:paraId="7AE21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536F9D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B轮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5CAF999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1BB8127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</w:tr>
      <w:tr w14:paraId="00F27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2DB1A5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C轮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0547F2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264B96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</w:tr>
      <w:tr w14:paraId="31DA3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34ED14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D轮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1A4D4E3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349C909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</w:tr>
      <w:tr w14:paraId="56E1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0E35CF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2209CB9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noWrap/>
            <w:vAlign w:val="bottom"/>
          </w:tcPr>
          <w:p w14:paraId="5FB2E54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C990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C5D9F1"/>
            <w:noWrap/>
            <w:vAlign w:val="bottom"/>
          </w:tcPr>
          <w:p w14:paraId="460691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总次数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C5D9F1"/>
            <w:noWrap/>
            <w:vAlign w:val="bottom"/>
          </w:tcPr>
          <w:p w14:paraId="7B77B78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C5D9F1"/>
            <w:noWrap/>
            <w:vAlign w:val="bottom"/>
          </w:tcPr>
          <w:p w14:paraId="1F3545F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</w:tr>
    </w:tbl>
    <w:p w14:paraId="02940598">
      <w:pPr>
        <w:pStyle w:val="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7" w:beforeLines="50" w:beforeAutospacing="0" w:after="157" w:afterLines="50" w:afterAutospacing="0" w:line="288" w:lineRule="auto"/>
        <w:ind w:firstLine="560" w:firstLineChars="200"/>
        <w:jc w:val="center"/>
        <w:rPr>
          <w:rStyle w:val="12"/>
          <w:rFonts w:hint="default"/>
          <w:b w:val="0"/>
          <w:bCs/>
          <w:color w:val="auto"/>
          <w:sz w:val="28"/>
          <w:szCs w:val="28"/>
          <w:lang w:val="en-US" w:eastAsia="zh-CN"/>
        </w:rPr>
      </w:pPr>
    </w:p>
    <w:p w14:paraId="470CBF80">
      <w:pPr>
        <w:pStyle w:val="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7" w:beforeLines="50" w:beforeAutospacing="0" w:after="157" w:afterLines="50" w:afterAutospacing="0" w:line="288" w:lineRule="auto"/>
        <w:ind w:firstLine="562" w:firstLineChars="200"/>
        <w:rPr>
          <w:rStyle w:val="12"/>
          <w:rFonts w:ascii="Calibri" w:hAnsi="Calibri" w:cs="Times New Roman"/>
          <w:b w:val="0"/>
          <w:bCs/>
          <w:sz w:val="28"/>
          <w:szCs w:val="28"/>
        </w:rPr>
      </w:pPr>
      <w:r>
        <w:rPr>
          <w:rStyle w:val="12"/>
          <w:rFonts w:ascii="Calibri" w:hAnsi="Calibri" w:cs="Times New Roman"/>
          <w:b/>
          <w:bCs w:val="0"/>
          <w:sz w:val="28"/>
          <w:szCs w:val="28"/>
        </w:rPr>
        <w:t>微软</w:t>
      </w:r>
      <w:r>
        <w:rPr>
          <w:rStyle w:val="12"/>
          <w:rFonts w:ascii="Calibri" w:hAnsi="Calibri" w:cs="Times New Roman"/>
          <w:b/>
          <w:bCs w:val="0"/>
          <w:color w:val="auto"/>
          <w:sz w:val="28"/>
          <w:szCs w:val="28"/>
        </w:rPr>
        <w:t>企业发展</w:t>
      </w: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  <w:lang w:val="en-US" w:eastAsia="zh-CN"/>
        </w:rPr>
        <w:t>部</w:t>
      </w: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</w:rPr>
        <w:t>（</w:t>
      </w:r>
      <w:r>
        <w:rPr>
          <w:rStyle w:val="12"/>
          <w:rFonts w:ascii="Calibri" w:hAnsi="Calibri" w:cs="Times New Roman"/>
          <w:b/>
          <w:bCs w:val="0"/>
          <w:color w:val="auto"/>
          <w:sz w:val="28"/>
          <w:szCs w:val="28"/>
        </w:rPr>
        <w:t>Business</w:t>
      </w:r>
      <w:r>
        <w:rPr>
          <w:rStyle w:val="12"/>
          <w:rFonts w:hint="eastAsia" w:cs="Times New Roman"/>
          <w:b/>
          <w:bCs w:val="0"/>
          <w:color w:val="auto"/>
          <w:sz w:val="28"/>
          <w:szCs w:val="28"/>
          <w:lang w:val="en-US" w:eastAsia="zh-CN"/>
        </w:rPr>
        <w:t xml:space="preserve"> </w:t>
      </w:r>
      <w:r>
        <w:rPr>
          <w:rStyle w:val="12"/>
          <w:rFonts w:ascii="Calibri" w:hAnsi="Calibri" w:cs="Times New Roman"/>
          <w:b/>
          <w:bCs w:val="0"/>
          <w:color w:val="auto"/>
          <w:sz w:val="28"/>
          <w:szCs w:val="28"/>
        </w:rPr>
        <w:t>Develo</w:t>
      </w:r>
      <w:r>
        <w:rPr>
          <w:rStyle w:val="12"/>
          <w:rFonts w:hint="eastAsia" w:cs="Times New Roman"/>
          <w:b/>
          <w:bCs w:val="0"/>
          <w:color w:val="auto"/>
          <w:sz w:val="28"/>
          <w:szCs w:val="28"/>
          <w:lang w:val="en-US" w:eastAsia="zh-CN"/>
        </w:rPr>
        <w:t>p</w:t>
      </w:r>
      <w:r>
        <w:rPr>
          <w:rStyle w:val="12"/>
          <w:rFonts w:ascii="Calibri" w:hAnsi="Calibri" w:cs="Times New Roman"/>
          <w:b/>
          <w:bCs w:val="0"/>
          <w:color w:val="auto"/>
          <w:sz w:val="28"/>
          <w:szCs w:val="28"/>
        </w:rPr>
        <w:t>ment Group</w:t>
      </w: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</w:rPr>
        <w:t>）</w:t>
      </w:r>
      <w:r>
        <w:rPr>
          <w:rStyle w:val="12"/>
          <w:rFonts w:hint="eastAsia" w:cs="Times New Roman"/>
          <w:b/>
          <w:bCs w:val="0"/>
          <w:color w:val="auto"/>
          <w:sz w:val="28"/>
          <w:szCs w:val="28"/>
          <w:lang w:val="en-US" w:eastAsia="zh-CN"/>
        </w:rPr>
        <w:t>于</w:t>
      </w:r>
      <w:r>
        <w:rPr>
          <w:rStyle w:val="12"/>
          <w:rFonts w:ascii="Calibri" w:hAnsi="Calibri" w:cs="Times New Roman"/>
          <w:b w:val="0"/>
          <w:bCs/>
          <w:sz w:val="28"/>
          <w:szCs w:val="28"/>
        </w:rPr>
        <w:t>2014年成立，</w:t>
      </w:r>
      <w:r>
        <w:rPr>
          <w:rStyle w:val="12"/>
          <w:rFonts w:hint="eastAsia" w:cs="Times New Roman"/>
          <w:b w:val="0"/>
          <w:bCs/>
          <w:sz w:val="28"/>
          <w:szCs w:val="28"/>
          <w:lang w:val="en-US" w:eastAsia="zh-CN"/>
        </w:rPr>
        <w:t>主要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通过制定企业战略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eastAsia="zh-CN"/>
        </w:rPr>
        <w:t>，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确定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并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执行具有影响力的战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略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合作伙伴关系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eastAsia="zh-CN"/>
        </w:rPr>
        <w:t>，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积极开展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企业风险投资和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实施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收购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等举措，全力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推动整个公司的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稳健</w:t>
      </w:r>
      <w:r>
        <w:rPr>
          <w:rStyle w:val="12"/>
          <w:rFonts w:ascii="Calibri" w:hAnsi="Calibri" w:cs="Times New Roman"/>
          <w:b w:val="0"/>
          <w:bCs/>
          <w:color w:val="auto"/>
          <w:sz w:val="28"/>
          <w:szCs w:val="28"/>
        </w:rPr>
        <w:t>增长</w:t>
      </w:r>
      <w:r>
        <w:rPr>
          <w:rStyle w:val="12"/>
          <w:rFonts w:ascii="Calibri" w:hAnsi="Calibri" w:cs="Times New Roman"/>
          <w:b w:val="0"/>
          <w:bCs/>
          <w:sz w:val="28"/>
          <w:szCs w:val="28"/>
        </w:rPr>
        <w:t>。</w:t>
      </w:r>
    </w:p>
    <w:p w14:paraId="6D5F0611">
      <w:pPr>
        <w:pStyle w:val="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7" w:beforeLines="50" w:beforeAutospacing="0" w:after="157" w:afterLines="50" w:afterAutospacing="0" w:line="288" w:lineRule="auto"/>
        <w:ind w:firstLine="562" w:firstLineChars="200"/>
        <w:rPr>
          <w:rStyle w:val="12"/>
          <w:rFonts w:hint="eastAsia" w:ascii="Calibri" w:hAnsi="Calibri" w:cs="Times New Roman"/>
          <w:bCs/>
          <w:color w:val="auto"/>
          <w:sz w:val="28"/>
          <w:szCs w:val="28"/>
        </w:rPr>
      </w:pP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</w:rPr>
        <w:t>M12（Microsoft's</w:t>
      </w: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  <w:lang w:val="en-US" w:eastAsia="zh-CN"/>
        </w:rPr>
        <w:t xml:space="preserve"> </w:t>
      </w: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</w:rPr>
        <w:t>Venture</w:t>
      </w: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  <w:lang w:val="en-US" w:eastAsia="zh-CN"/>
        </w:rPr>
        <w:t xml:space="preserve"> </w:t>
      </w:r>
      <w:r>
        <w:rPr>
          <w:rStyle w:val="12"/>
          <w:rFonts w:hint="eastAsia" w:ascii="Calibri" w:hAnsi="Calibri" w:cs="Times New Roman"/>
          <w:b/>
          <w:bCs w:val="0"/>
          <w:color w:val="auto"/>
          <w:sz w:val="28"/>
          <w:szCs w:val="28"/>
        </w:rPr>
        <w:t>Fund）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是由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</w:rPr>
        <w:t>微软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  <w:lang w:val="en-US" w:eastAsia="zh-CN"/>
        </w:rPr>
        <w:t>的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</w:rPr>
        <w:t>创投部门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  <w:lang w:val="en-US" w:eastAsia="zh-CN"/>
        </w:rPr>
        <w:t>于</w:t>
      </w:r>
      <w:r>
        <w:rPr>
          <w:rStyle w:val="12"/>
          <w:rFonts w:hint="eastAsia" w:ascii="Calibri" w:hAnsi="Calibri" w:cs="Times New Roman"/>
          <w:b w:val="0"/>
          <w:bCs/>
          <w:color w:val="auto"/>
          <w:sz w:val="28"/>
          <w:szCs w:val="28"/>
        </w:rPr>
        <w:t>2016年更名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val="en-US" w:eastAsia="zh-CN"/>
        </w:rPr>
        <w:t>而来。其在投资领域有着明确的优先侧重点，</w:t>
      </w:r>
      <w:r>
        <w:rPr>
          <w:rStyle w:val="12"/>
          <w:rFonts w:hint="eastAsia"/>
          <w:b w:val="0"/>
          <w:bCs w:val="0"/>
          <w:color w:val="auto"/>
          <w:sz w:val="28"/>
          <w:szCs w:val="28"/>
        </w:rPr>
        <w:t>涵盖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lang w:val="en-US" w:eastAsia="zh-CN"/>
        </w:rPr>
        <w:t>了</w:t>
      </w:r>
      <w:r>
        <w:rPr>
          <w:rStyle w:val="12"/>
          <w:rFonts w:hint="eastAsia"/>
          <w:b w:val="0"/>
          <w:bCs w:val="0"/>
          <w:color w:val="auto"/>
          <w:sz w:val="28"/>
          <w:szCs w:val="28"/>
        </w:rPr>
        <w:t>商业应用、云基础设施、网络安全、数据和人工智能以及医疗健康等</w:t>
      </w:r>
      <w:r>
        <w:rPr>
          <w:rStyle w:val="12"/>
          <w:rFonts w:hint="eastAsia"/>
          <w:b w:val="0"/>
          <w:bCs w:val="0"/>
          <w:color w:val="auto"/>
          <w:sz w:val="28"/>
          <w:szCs w:val="28"/>
          <w:lang w:val="en-US" w:eastAsia="zh-CN"/>
        </w:rPr>
        <w:t>多个关键领域</w:t>
      </w:r>
      <w:r>
        <w:rPr>
          <w:rStyle w:val="12"/>
          <w:rFonts w:hint="eastAsia"/>
          <w:b w:val="0"/>
          <w:bCs/>
          <w:color w:val="auto"/>
          <w:sz w:val="28"/>
          <w:szCs w:val="28"/>
        </w:rPr>
        <w:t>。</w:t>
      </w:r>
    </w:p>
    <w:p w14:paraId="73C7F8CE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2" w:firstLineChars="200"/>
        <w:textAlignment w:val="auto"/>
        <w:rPr>
          <w:rStyle w:val="12"/>
          <w:rFonts w:hint="eastAsia" w:eastAsia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Style w:val="12"/>
          <w:rFonts w:hint="eastAsia" w:cs="Times New Roman"/>
          <w:bCs/>
          <w:color w:val="auto"/>
          <w:sz w:val="28"/>
          <w:szCs w:val="28"/>
          <w:lang w:val="en-US" w:eastAsia="zh-CN"/>
        </w:rPr>
        <w:t>此外，微软还积极拓展外部合作，成立了多个</w:t>
      </w:r>
      <w:r>
        <w:rPr>
          <w:rStyle w:val="12"/>
          <w:rFonts w:hint="eastAsia" w:ascii="Calibri" w:hAnsi="Calibri" w:cs="Times New Roman"/>
          <w:bCs/>
          <w:color w:val="auto"/>
          <w:sz w:val="28"/>
          <w:szCs w:val="28"/>
        </w:rPr>
        <w:t>投资基金</w:t>
      </w:r>
      <w:r>
        <w:rPr>
          <w:rStyle w:val="12"/>
          <w:rFonts w:hint="eastAsia" w:ascii="Calibri" w:hAnsi="Calibri" w:cs="Times New Roman"/>
          <w:bCs/>
          <w:color w:val="auto"/>
          <w:sz w:val="28"/>
          <w:szCs w:val="28"/>
          <w:lang w:eastAsia="zh-CN"/>
        </w:rPr>
        <w:t>：①</w:t>
      </w:r>
      <w:r>
        <w:rPr>
          <w:rStyle w:val="12"/>
          <w:rFonts w:hint="eastAsia" w:ascii="Calibri" w:hAnsi="Calibri" w:cs="Times New Roman"/>
          <w:b/>
          <w:bCs/>
          <w:color w:val="auto"/>
          <w:sz w:val="28"/>
          <w:szCs w:val="28"/>
          <w:lang w:eastAsia="zh-CN"/>
        </w:rPr>
        <w:t>AI安全基金：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lang w:val="en-US" w:eastAsia="zh-CN"/>
        </w:rPr>
        <w:t>2023年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lang w:eastAsia="zh-CN"/>
        </w:rPr>
        <w:t>微软、OpenAI、谷歌和Anthropic共同设立</w:t>
      </w:r>
      <w:r>
        <w:rPr>
          <w:rStyle w:val="12"/>
          <w:rFonts w:hint="eastAsia" w:cs="Times New Roman"/>
          <w:b w:val="0"/>
          <w:bCs w:val="0"/>
          <w:color w:val="auto"/>
          <w:sz w:val="28"/>
          <w:szCs w:val="28"/>
          <w:lang w:val="en-US" w:eastAsia="zh-CN"/>
        </w:rPr>
        <w:t>，规模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lang w:eastAsia="zh-CN"/>
        </w:rPr>
        <w:t>1000万美元</w:t>
      </w:r>
      <w:r>
        <w:rPr>
          <w:rStyle w:val="12"/>
          <w:rFonts w:hint="eastAsia" w:cs="Times New Roman"/>
          <w:b w:val="0"/>
          <w:bCs w:val="0"/>
          <w:color w:val="auto"/>
          <w:sz w:val="28"/>
          <w:szCs w:val="28"/>
          <w:lang w:eastAsia="zh-CN"/>
        </w:rPr>
        <w:t>。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lang w:eastAsia="zh-CN"/>
        </w:rPr>
        <w:t>推动AI评估研究，帮助社会有效测试和评估“最有能力的AI模型”；</w:t>
      </w:r>
      <w:r>
        <w:rPr>
          <w:rStyle w:val="12"/>
          <w:rFonts w:hint="eastAsia" w:ascii="Calibri" w:hAnsi="Calibri" w:cs="Times New Roman"/>
          <w:b/>
          <w:bCs/>
          <w:color w:val="auto"/>
          <w:sz w:val="28"/>
          <w:szCs w:val="28"/>
          <w:lang w:eastAsia="zh-CN"/>
        </w:rPr>
        <w:t>②全球人工智能基础设施投资伙伴关系（GAIIP）的基金，</w:t>
      </w:r>
      <w:r>
        <w:rPr>
          <w:rFonts w:hint="eastAsia" w:ascii="Calibri" w:hAnsi="Calibri" w:cs="宋体"/>
          <w:bCs/>
          <w:color w:val="auto"/>
          <w:sz w:val="28"/>
          <w:szCs w:val="28"/>
          <w:lang w:val="en-US" w:eastAsia="zh-CN"/>
        </w:rPr>
        <w:t>2024年</w:t>
      </w:r>
      <w:r>
        <w:rPr>
          <w:rFonts w:hint="eastAsia" w:ascii="Calibri" w:hAnsi="Calibri" w:eastAsia="宋体" w:cs="宋体"/>
          <w:bCs/>
          <w:color w:val="auto"/>
          <w:sz w:val="28"/>
          <w:szCs w:val="28"/>
          <w:lang w:eastAsia="zh-CN"/>
        </w:rPr>
        <w:t>9月微软和贝莱德等公司宣布达成AI投资</w:t>
      </w:r>
      <w:r>
        <w:rPr>
          <w:rFonts w:hint="eastAsia" w:ascii="Calibri" w:hAnsi="Calibri" w:cs="宋体"/>
          <w:bCs/>
          <w:color w:val="auto"/>
          <w:sz w:val="28"/>
          <w:szCs w:val="28"/>
          <w:lang w:val="en-US" w:eastAsia="zh-CN"/>
        </w:rPr>
        <w:t>的</w:t>
      </w:r>
      <w:r>
        <w:rPr>
          <w:rFonts w:hint="eastAsia" w:ascii="Calibri" w:hAnsi="Calibri" w:eastAsia="宋体" w:cs="宋体"/>
          <w:bCs/>
          <w:color w:val="auto"/>
          <w:sz w:val="28"/>
          <w:szCs w:val="28"/>
          <w:lang w:eastAsia="zh-CN"/>
        </w:rPr>
        <w:t>合作伙伴关系，将联手投资数据中心和AI基础设施</w:t>
      </w:r>
      <w:r>
        <w:rPr>
          <w:rFonts w:hint="eastAsia" w:ascii="Calibri" w:hAnsi="Calibri" w:cs="宋体"/>
          <w:bCs/>
          <w:color w:val="auto"/>
          <w:sz w:val="28"/>
          <w:szCs w:val="28"/>
          <w:lang w:eastAsia="zh-CN"/>
        </w:rPr>
        <w:t>，</w:t>
      </w:r>
      <w:r>
        <w:rPr>
          <w:rFonts w:hint="eastAsia" w:ascii="Calibri" w:hAnsi="Calibri" w:cs="宋体"/>
          <w:bCs/>
          <w:color w:val="auto"/>
          <w:sz w:val="28"/>
          <w:szCs w:val="28"/>
          <w:lang w:val="en-US" w:eastAsia="zh-CN"/>
        </w:rPr>
        <w:t>未来</w:t>
      </w:r>
      <w:r>
        <w:rPr>
          <w:rFonts w:hint="eastAsia" w:cs="宋体"/>
          <w:bCs/>
          <w:color w:val="auto"/>
          <w:sz w:val="28"/>
          <w:szCs w:val="28"/>
          <w:lang w:val="en-US" w:eastAsia="zh-CN"/>
        </w:rPr>
        <w:t>基金规模</w:t>
      </w:r>
      <w:r>
        <w:rPr>
          <w:rFonts w:hint="eastAsia" w:ascii="Calibri" w:hAnsi="Calibri" w:cs="宋体"/>
          <w:bCs/>
          <w:color w:val="auto"/>
          <w:sz w:val="28"/>
          <w:szCs w:val="28"/>
          <w:lang w:val="en-US" w:eastAsia="zh-CN"/>
        </w:rPr>
        <w:t>有望拓展到1000亿</w:t>
      </w:r>
      <w:r>
        <w:rPr>
          <w:rFonts w:hint="eastAsia" w:ascii="Calibri" w:hAnsi="Calibri" w:eastAsia="宋体" w:cs="宋体"/>
          <w:bCs/>
          <w:color w:val="auto"/>
          <w:sz w:val="28"/>
          <w:szCs w:val="28"/>
          <w:lang w:eastAsia="zh-CN"/>
        </w:rPr>
        <w:t>。</w:t>
      </w:r>
      <w:r>
        <w:rPr>
          <w:rStyle w:val="12"/>
          <w:rFonts w:hint="eastAsia" w:ascii="Calibri" w:hAnsi="Calibri" w:cs="Times New Roman"/>
          <w:b/>
          <w:bCs/>
          <w:color w:val="auto"/>
          <w:sz w:val="28"/>
          <w:szCs w:val="28"/>
        </w:rPr>
        <w:t>③</w:t>
      </w:r>
      <w:r>
        <w:rPr>
          <w:rStyle w:val="12"/>
          <w:rFonts w:hint="default" w:ascii="Calibri" w:hAnsi="Calibri" w:cs="Times New Roman"/>
          <w:b/>
          <w:bCs w:val="0"/>
          <w:color w:val="auto"/>
          <w:sz w:val="28"/>
          <w:szCs w:val="28"/>
          <w:lang w:eastAsia="zh-CN"/>
        </w:rPr>
        <w:t>微软气候基金</w:t>
      </w:r>
      <w:r>
        <w:rPr>
          <w:rStyle w:val="12"/>
          <w:rFonts w:hint="eastAsia" w:cs="Times New Roman"/>
          <w:b w:val="0"/>
          <w:bCs/>
          <w:color w:val="auto"/>
          <w:sz w:val="28"/>
          <w:szCs w:val="28"/>
          <w:lang w:eastAsia="zh-CN"/>
        </w:rPr>
        <w:t>：</w:t>
      </w:r>
      <w:r>
        <w:rPr>
          <w:rStyle w:val="12"/>
          <w:rFonts w:hint="eastAsia" w:ascii="Calibri" w:hAnsi="Calibri" w:cs="Times New Roman"/>
          <w:b w:val="0"/>
          <w:bCs/>
          <w:color w:val="auto"/>
          <w:sz w:val="28"/>
          <w:szCs w:val="28"/>
          <w:lang w:val="en-US" w:eastAsia="zh-CN"/>
        </w:rPr>
        <w:t>2022年</w:t>
      </w:r>
      <w:r>
        <w:rPr>
          <w:rStyle w:val="12"/>
          <w:rFonts w:hint="default" w:ascii="Calibri" w:hAnsi="Calibri" w:cs="Times New Roman"/>
          <w:b w:val="0"/>
          <w:bCs w:val="0"/>
          <w:color w:val="auto"/>
          <w:sz w:val="28"/>
          <w:szCs w:val="28"/>
        </w:rPr>
        <w:t>微软设立</w:t>
      </w:r>
      <w:r>
        <w:rPr>
          <w:rStyle w:val="12"/>
          <w:rFonts w:hint="eastAsia" w:cs="Times New Roman"/>
          <w:b w:val="0"/>
          <w:bCs w:val="0"/>
          <w:color w:val="auto"/>
          <w:sz w:val="28"/>
          <w:szCs w:val="28"/>
          <w:lang w:val="en-US" w:eastAsia="zh-CN"/>
        </w:rPr>
        <w:t>规模</w:t>
      </w:r>
      <w:r>
        <w:rPr>
          <w:rStyle w:val="12"/>
          <w:rFonts w:hint="default" w:ascii="Calibri" w:hAnsi="Calibri" w:cs="Times New Roman"/>
          <w:b w:val="0"/>
          <w:bCs w:val="0"/>
          <w:color w:val="auto"/>
          <w:sz w:val="28"/>
          <w:szCs w:val="28"/>
        </w:rPr>
        <w:t>10亿美元的气候创新基金，四年内拨款4.71亿美元，用于加速全球碳减排、碳捕捉和碳清除技术的开发</w:t>
      </w:r>
      <w:r>
        <w:rPr>
          <w:rStyle w:val="12"/>
          <w:rFonts w:hint="eastAsia" w:ascii="Calibri" w:hAnsi="Calibri" w:cs="Times New Roman"/>
          <w:b w:val="0"/>
          <w:bCs w:val="0"/>
          <w:color w:val="auto"/>
          <w:sz w:val="28"/>
          <w:szCs w:val="28"/>
          <w:lang w:eastAsia="zh-CN"/>
        </w:rPr>
        <w:t>。</w:t>
      </w:r>
    </w:p>
    <w:p w14:paraId="7C0329E5">
      <w:pPr>
        <w:pStyle w:val="2"/>
        <w:keepNext w:val="0"/>
        <w:keepLines w:val="0"/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firstLine="0" w:firstLineChars="0"/>
        <w:jc w:val="left"/>
        <w:textAlignment w:val="auto"/>
        <w:outlineLvl w:val="0"/>
        <w:rPr>
          <w:rFonts w:hint="eastAsia" w:ascii="Calibri" w:hAnsi="Calibri"/>
          <w:color w:val="auto"/>
          <w:sz w:val="28"/>
          <w:szCs w:val="28"/>
          <w:lang w:val="en-US" w:eastAsia="zh-CN"/>
        </w:rPr>
      </w:pPr>
      <w:r>
        <w:rPr>
          <w:rFonts w:hint="eastAsia" w:ascii="Calibri" w:hAnsi="Calibri"/>
          <w:color w:val="auto"/>
          <w:sz w:val="28"/>
          <w:szCs w:val="28"/>
          <w:lang w:val="en-US" w:eastAsia="zh-CN"/>
        </w:rPr>
        <w:t>三、投资方式</w:t>
      </w:r>
    </w:p>
    <w:p w14:paraId="075848C2">
      <w:pPr>
        <w:pStyle w:val="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7" w:beforeLines="50" w:beforeAutospacing="0" w:after="157" w:afterLines="50" w:afterAutospacing="0" w:line="288" w:lineRule="auto"/>
        <w:ind w:firstLine="560" w:firstLineChars="200"/>
        <w:rPr>
          <w:rStyle w:val="12"/>
          <w:rFonts w:hint="eastAsia"/>
          <w:b w:val="0"/>
          <w:bCs/>
          <w:color w:val="auto"/>
          <w:sz w:val="28"/>
          <w:szCs w:val="28"/>
        </w:rPr>
      </w:pPr>
      <w:r>
        <w:rPr>
          <w:rStyle w:val="12"/>
          <w:rFonts w:hint="eastAsia"/>
          <w:b w:val="0"/>
          <w:bCs w:val="0"/>
          <w:color w:val="auto"/>
          <w:sz w:val="28"/>
          <w:szCs w:val="28"/>
          <w:u w:val="none"/>
          <w:lang w:val="en-US" w:eastAsia="zh-CN"/>
        </w:rPr>
        <w:t>据不完全统计，微软共收购87家企业，投资总额高达1.2万亿元，金额占比为82%。微软参与的股权投资次数为217次，投资总额为2662亿元，占比为为18%，考虑到股权投资参与机构较多，不能严格区分微软在其中的投资金额</w:t>
      </w:r>
      <w:r>
        <w:rPr>
          <w:rStyle w:val="12"/>
          <w:rFonts w:hint="eastAsia"/>
          <w:b w:val="0"/>
          <w:bCs/>
          <w:color w:val="auto"/>
          <w:sz w:val="28"/>
          <w:szCs w:val="28"/>
        </w:rPr>
        <w:t>。</w:t>
      </w:r>
    </w:p>
    <w:p w14:paraId="5822B836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26000" cy="2743200"/>
            <wp:effectExtent l="0" t="0" r="0" b="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AE62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2" w:firstLineChars="20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图3 微软不同投资方式次数和金额占比</w:t>
      </w:r>
    </w:p>
    <w:p w14:paraId="2B9B4CBB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2" w:firstLineChars="200"/>
        <w:textAlignment w:val="auto"/>
        <w:rPr>
          <w:rFonts w:hint="eastAsia"/>
          <w:color w:val="auto"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收</w:t>
      </w:r>
      <w:r>
        <w:rPr>
          <w:rFonts w:hint="eastAsia"/>
          <w:b/>
          <w:bCs/>
          <w:sz w:val="28"/>
          <w:szCs w:val="28"/>
        </w:rPr>
        <w:t>购</w:t>
      </w:r>
      <w:r>
        <w:rPr>
          <w:rFonts w:hint="eastAsia"/>
          <w:color w:val="auto"/>
          <w:sz w:val="28"/>
          <w:szCs w:val="28"/>
        </w:rPr>
        <w:t>：微软在云计算、AI、游戏、网络安全和社交网络等多个领域进行收购</w:t>
      </w:r>
      <w:r>
        <w:rPr>
          <w:rFonts w:hint="eastAsia"/>
          <w:color w:val="auto"/>
          <w:sz w:val="28"/>
          <w:szCs w:val="28"/>
          <w:lang w:eastAsia="zh-CN"/>
        </w:rPr>
        <w:t>，丰富产品和服务线，</w:t>
      </w:r>
      <w:r>
        <w:rPr>
          <w:rFonts w:hint="eastAsia"/>
          <w:color w:val="auto"/>
          <w:sz w:val="28"/>
          <w:szCs w:val="28"/>
          <w:lang w:val="en-US" w:eastAsia="zh-CN"/>
        </w:rPr>
        <w:t>构建多元化的业务体系，巩固行业领导者地位。</w:t>
      </w:r>
    </w:p>
    <w:p w14:paraId="18AC44FA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2" w:firstLineChars="20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股权投资：2016年以来微软平均每年投资26次，平均每年投资金额约为166亿元。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微软多数以领投方式进行，通常与英伟达NVIDIA、Salesforce、软银SoftBank、Lightspeed Venture Partners等公司合作，对全球内萌芽期和成长期的科技初创企业投资，加强其在新兴技术的主导地位，成功投出多家独角兽公司。微软股权投资退出机制灵活，包括IPO、并购、回购和清算、转让等多种方式，如针对Rubrik和Databricks等公司是通过IPO退出获利。</w:t>
      </w:r>
    </w:p>
    <w:p w14:paraId="7D507EF7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0" w:firstLineChars="200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此外，微软还</w:t>
      </w:r>
      <w:r>
        <w:rPr>
          <w:rFonts w:hint="eastAsia"/>
          <w:b w:val="0"/>
          <w:bCs w:val="0"/>
          <w:sz w:val="28"/>
          <w:szCs w:val="28"/>
        </w:rPr>
        <w:t>通过建立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合资公司方式</w:t>
      </w:r>
      <w:r>
        <w:rPr>
          <w:rFonts w:hint="eastAsia"/>
          <w:b w:val="0"/>
          <w:bCs w:val="0"/>
          <w:sz w:val="28"/>
          <w:szCs w:val="28"/>
        </w:rPr>
        <w:t>来实现直接投资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cs="Calibri"/>
          <w:b w:val="0"/>
          <w:bCs w:val="0"/>
          <w:sz w:val="28"/>
          <w:szCs w:val="28"/>
          <w:lang w:val="en-US" w:eastAsia="zh-CN"/>
        </w:rPr>
        <w:t>如</w:t>
      </w:r>
      <w:r>
        <w:rPr>
          <w:rFonts w:hint="eastAsia"/>
          <w:b w:val="0"/>
          <w:bCs w:val="0"/>
          <w:sz w:val="28"/>
          <w:szCs w:val="28"/>
          <w:lang w:eastAsia="zh-CN"/>
        </w:rPr>
        <w:t>埃森哲与微软合资成立埃维诺（</w:t>
      </w:r>
      <w:r>
        <w:rPr>
          <w:rStyle w:val="12"/>
          <w:rFonts w:hint="eastAsia" w:cs="Times New Roman"/>
          <w:b/>
          <w:bCs/>
          <w:color w:val="auto"/>
          <w:sz w:val="28"/>
          <w:szCs w:val="28"/>
          <w:lang w:eastAsia="zh-CN"/>
        </w:rPr>
        <w:t>Avanade</w:t>
      </w:r>
      <w:r>
        <w:rPr>
          <w:rFonts w:hint="eastAsia"/>
          <w:b w:val="0"/>
          <w:bCs w:val="0"/>
          <w:sz w:val="28"/>
          <w:szCs w:val="28"/>
          <w:lang w:eastAsia="zh-CN"/>
        </w:rPr>
        <w:t>）公司，</w:t>
      </w:r>
      <w:r>
        <w:rPr>
          <w:rFonts w:hint="eastAsia"/>
          <w:b w:val="0"/>
          <w:bCs w:val="0"/>
          <w:sz w:val="28"/>
          <w:szCs w:val="28"/>
        </w:rPr>
        <w:t>东方明珠与微软合资7900万美元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设立</w:t>
      </w:r>
      <w:r>
        <w:rPr>
          <w:rFonts w:hint="eastAsia"/>
          <w:b w:val="0"/>
          <w:bCs w:val="0"/>
          <w:sz w:val="28"/>
          <w:szCs w:val="28"/>
        </w:rPr>
        <w:t>百家合</w:t>
      </w:r>
      <w:r>
        <w:rPr>
          <w:rFonts w:hint="eastAsia"/>
          <w:b w:val="0"/>
          <w:bCs w:val="0"/>
          <w:sz w:val="28"/>
          <w:szCs w:val="28"/>
          <w:lang w:eastAsia="zh-CN"/>
        </w:rPr>
        <w:t>（</w:t>
      </w:r>
      <w:r>
        <w:rPr>
          <w:rStyle w:val="12"/>
          <w:rFonts w:hint="eastAsia" w:ascii="Times New Roman" w:hAnsi="Times New Roman" w:cs="Times New Roman"/>
          <w:b/>
          <w:bCs/>
          <w:color w:val="auto"/>
          <w:sz w:val="28"/>
          <w:szCs w:val="28"/>
        </w:rPr>
        <w:t>E-Home</w:t>
      </w:r>
      <w:r>
        <w:rPr>
          <w:rFonts w:hint="eastAsia"/>
          <w:b w:val="0"/>
          <w:bCs w:val="0"/>
          <w:sz w:val="28"/>
          <w:szCs w:val="28"/>
          <w:lang w:eastAsia="zh-CN"/>
        </w:rPr>
        <w:t>）。</w:t>
      </w:r>
    </w:p>
    <w:p w14:paraId="58ACC790">
      <w:pPr>
        <w:pStyle w:val="2"/>
        <w:keepNext w:val="0"/>
        <w:keepLines w:val="0"/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firstLine="0" w:firstLineChars="0"/>
        <w:jc w:val="left"/>
        <w:textAlignment w:val="auto"/>
        <w:outlineLvl w:val="0"/>
        <w:rPr>
          <w:rFonts w:hint="default" w:ascii="Calibri" w:hAnsi="Calibri"/>
          <w:color w:val="auto"/>
          <w:sz w:val="28"/>
          <w:szCs w:val="28"/>
          <w:lang w:val="en-US" w:eastAsia="zh-CN"/>
        </w:rPr>
      </w:pPr>
      <w:r>
        <w:rPr>
          <w:rFonts w:hint="eastAsia" w:ascii="Calibri" w:hAnsi="Calibri"/>
          <w:color w:val="auto"/>
          <w:sz w:val="28"/>
          <w:szCs w:val="28"/>
          <w:lang w:val="en-US" w:eastAsia="zh-CN"/>
        </w:rPr>
        <w:t>四、投资版图</w:t>
      </w:r>
    </w:p>
    <w:p w14:paraId="742D9108">
      <w:pPr>
        <w:pStyle w:val="9"/>
        <w:widowControl/>
        <w:spacing w:before="157" w:beforeLines="50" w:beforeAutospacing="0" w:after="157" w:afterLines="50" w:afterAutospacing="0" w:line="288" w:lineRule="auto"/>
        <w:ind w:firstLine="562" w:firstLineChars="200"/>
        <w:rPr>
          <w:sz w:val="28"/>
          <w:szCs w:val="28"/>
          <w:highlight w:val="none"/>
          <w:shd w:val="clear"/>
        </w:rPr>
      </w:pPr>
      <w:r>
        <w:rPr>
          <w:rFonts w:hint="eastAsia"/>
          <w:b/>
          <w:bCs/>
          <w:sz w:val="28"/>
          <w:szCs w:val="28"/>
        </w:rPr>
        <w:t>微软</w:t>
      </w:r>
      <w:r>
        <w:rPr>
          <w:rFonts w:hint="eastAsia"/>
          <w:b/>
          <w:bCs/>
          <w:sz w:val="28"/>
          <w:szCs w:val="28"/>
          <w:lang w:val="en-US" w:eastAsia="zh-CN"/>
        </w:rPr>
        <w:t>在</w:t>
      </w:r>
      <w:r>
        <w:rPr>
          <w:rFonts w:hint="eastAsia"/>
          <w:b/>
          <w:bCs/>
          <w:sz w:val="28"/>
          <w:szCs w:val="28"/>
        </w:rPr>
        <w:t>全球</w:t>
      </w:r>
      <w:r>
        <w:rPr>
          <w:rFonts w:hint="eastAsia"/>
          <w:b/>
          <w:bCs/>
          <w:sz w:val="28"/>
          <w:szCs w:val="28"/>
          <w:lang w:val="en-US" w:eastAsia="zh-CN"/>
        </w:rPr>
        <w:t>范围内</w:t>
      </w:r>
      <w:r>
        <w:rPr>
          <w:rFonts w:hint="eastAsia"/>
          <w:b/>
          <w:bCs/>
          <w:sz w:val="28"/>
          <w:szCs w:val="28"/>
        </w:rPr>
        <w:t>持续</w:t>
      </w:r>
      <w:r>
        <w:rPr>
          <w:rFonts w:hint="eastAsia"/>
          <w:b/>
          <w:bCs/>
          <w:sz w:val="28"/>
          <w:szCs w:val="28"/>
          <w:lang w:val="en-US" w:eastAsia="zh-CN"/>
        </w:rPr>
        <w:t>加大对AI</w:t>
      </w:r>
      <w:r>
        <w:rPr>
          <w:rFonts w:hint="eastAsia"/>
          <w:b/>
          <w:bCs/>
          <w:sz w:val="28"/>
          <w:szCs w:val="28"/>
        </w:rPr>
        <w:t>基础设施</w:t>
      </w:r>
      <w:r>
        <w:rPr>
          <w:rFonts w:hint="eastAsia"/>
          <w:b/>
          <w:bCs/>
          <w:sz w:val="28"/>
          <w:szCs w:val="28"/>
          <w:lang w:val="en-US" w:eastAsia="zh-CN"/>
        </w:rPr>
        <w:t>的</w:t>
      </w:r>
      <w:r>
        <w:rPr>
          <w:rFonts w:hint="eastAsia"/>
          <w:b/>
          <w:bCs/>
          <w:sz w:val="28"/>
          <w:szCs w:val="28"/>
        </w:rPr>
        <w:t>投资布局，以美国为核心</w:t>
      </w:r>
      <w:r>
        <w:rPr>
          <w:rFonts w:hint="eastAsia"/>
          <w:b/>
          <w:bCs/>
          <w:sz w:val="28"/>
          <w:szCs w:val="28"/>
          <w:lang w:eastAsia="zh-CN"/>
        </w:rPr>
        <w:t>，</w:t>
      </w:r>
      <w:r>
        <w:rPr>
          <w:rFonts w:hint="eastAsia"/>
          <w:b/>
          <w:bCs/>
          <w:sz w:val="28"/>
          <w:szCs w:val="28"/>
        </w:rPr>
        <w:t>覆盖全球主要国家和地区。</w:t>
      </w:r>
      <w:r>
        <w:rPr>
          <w:rFonts w:hint="eastAsia"/>
          <w:b/>
          <w:bCs/>
          <w:sz w:val="28"/>
          <w:szCs w:val="28"/>
          <w:lang w:val="en-US" w:eastAsia="zh-CN"/>
        </w:rPr>
        <w:t>一是</w:t>
      </w:r>
      <w:r>
        <w:rPr>
          <w:rFonts w:hint="eastAsia"/>
          <w:b/>
          <w:bCs/>
          <w:sz w:val="28"/>
          <w:szCs w:val="28"/>
        </w:rPr>
        <w:t>在美国本土持续加码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2024年5月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微软宣布未来两年在美国威斯康辛州投资33亿美元，通过</w:t>
      </w:r>
      <w:r>
        <w:rPr>
          <w:rFonts w:hint="eastAsia"/>
          <w:sz w:val="28"/>
          <w:szCs w:val="28"/>
          <w:lang w:val="en-US" w:eastAsia="zh-CN"/>
        </w:rPr>
        <w:t>在该州</w:t>
      </w:r>
      <w:r>
        <w:rPr>
          <w:rFonts w:hint="eastAsia"/>
          <w:sz w:val="28"/>
          <w:szCs w:val="28"/>
        </w:rPr>
        <w:t>芒特普莱森特开发数据中心园区，扩大其云计算和人工智能基础设施能力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sz w:val="28"/>
          <w:szCs w:val="28"/>
          <w:highlight w:val="none"/>
        </w:rPr>
        <w:t>2024</w:t>
      </w:r>
      <w:r>
        <w:rPr>
          <w:rFonts w:hint="eastAsia"/>
          <w:sz w:val="28"/>
          <w:szCs w:val="28"/>
          <w:highlight w:val="none"/>
        </w:rPr>
        <w:t>年</w:t>
      </w:r>
      <w:r>
        <w:rPr>
          <w:sz w:val="28"/>
          <w:szCs w:val="28"/>
          <w:highlight w:val="none"/>
        </w:rPr>
        <w:t>3</w:t>
      </w:r>
      <w:r>
        <w:rPr>
          <w:rFonts w:hint="eastAsia"/>
          <w:sz w:val="28"/>
          <w:szCs w:val="28"/>
          <w:highlight w:val="none"/>
        </w:rPr>
        <w:t>月，微软和</w:t>
      </w:r>
      <w:r>
        <w:rPr>
          <w:sz w:val="28"/>
          <w:szCs w:val="28"/>
          <w:highlight w:val="none"/>
        </w:rPr>
        <w:t>OpenAI</w:t>
      </w:r>
      <w:r>
        <w:rPr>
          <w:rFonts w:hint="eastAsia"/>
          <w:sz w:val="28"/>
          <w:szCs w:val="28"/>
          <w:highlight w:val="none"/>
        </w:rPr>
        <w:t>计划</w:t>
      </w:r>
      <w:r>
        <w:rPr>
          <w:rFonts w:hint="eastAsia"/>
          <w:sz w:val="28"/>
          <w:szCs w:val="28"/>
          <w:highlight w:val="none"/>
          <w:lang w:val="en-US" w:eastAsia="zh-CN"/>
        </w:rPr>
        <w:t>开展</w:t>
      </w:r>
      <w:r>
        <w:rPr>
          <w:rFonts w:hint="eastAsia"/>
          <w:sz w:val="28"/>
          <w:szCs w:val="28"/>
          <w:highlight w:val="none"/>
        </w:rPr>
        <w:t>超</w:t>
      </w:r>
      <w:r>
        <w:rPr>
          <w:rFonts w:hint="eastAsia"/>
          <w:sz w:val="28"/>
          <w:szCs w:val="28"/>
          <w:highlight w:val="none"/>
          <w:lang w:val="en-US" w:eastAsia="zh-CN"/>
        </w:rPr>
        <w:t>千</w:t>
      </w:r>
      <w:r>
        <w:rPr>
          <w:rFonts w:hint="eastAsia"/>
          <w:sz w:val="28"/>
          <w:szCs w:val="28"/>
          <w:highlight w:val="none"/>
        </w:rPr>
        <w:t>亿美元的数据中心项目，其中包含一台名为“星际之门”</w:t>
      </w:r>
      <w:r>
        <w:rPr>
          <w:rFonts w:hint="eastAsia"/>
          <w:b w:val="0"/>
          <w:bCs w:val="0"/>
          <w:sz w:val="28"/>
          <w:szCs w:val="28"/>
          <w:highlight w:val="none"/>
        </w:rPr>
        <w:t>（</w:t>
      </w:r>
      <w:r>
        <w:rPr>
          <w:rStyle w:val="12"/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</w:rPr>
        <w:t>Stargate</w:t>
      </w:r>
      <w:r>
        <w:rPr>
          <w:rFonts w:hint="eastAsia"/>
          <w:b w:val="0"/>
          <w:bCs w:val="0"/>
          <w:sz w:val="28"/>
          <w:szCs w:val="28"/>
          <w:highlight w:val="none"/>
        </w:rPr>
        <w:t>）</w:t>
      </w:r>
      <w:r>
        <w:rPr>
          <w:rFonts w:hint="eastAsia"/>
          <w:sz w:val="28"/>
          <w:szCs w:val="28"/>
          <w:highlight w:val="none"/>
        </w:rPr>
        <w:t>的人工智能超级计算机，配备数百万个专用服务器芯片，</w:t>
      </w:r>
      <w:r>
        <w:rPr>
          <w:rFonts w:hint="eastAsia"/>
          <w:sz w:val="28"/>
          <w:szCs w:val="28"/>
          <w:highlight w:val="none"/>
          <w:lang w:val="en-US" w:eastAsia="zh-CN"/>
        </w:rPr>
        <w:t>可能</w:t>
      </w:r>
      <w:r>
        <w:rPr>
          <w:rFonts w:hint="eastAsia"/>
          <w:sz w:val="28"/>
          <w:szCs w:val="28"/>
          <w:highlight w:val="none"/>
        </w:rPr>
        <w:t>为</w:t>
      </w:r>
      <w:r>
        <w:rPr>
          <w:sz w:val="28"/>
          <w:szCs w:val="28"/>
          <w:highlight w:val="none"/>
        </w:rPr>
        <w:t>OpenAI</w:t>
      </w:r>
      <w:r>
        <w:rPr>
          <w:rFonts w:hint="eastAsia"/>
          <w:sz w:val="28"/>
          <w:szCs w:val="28"/>
          <w:highlight w:val="none"/>
        </w:rPr>
        <w:t>实现</w:t>
      </w:r>
      <w:r>
        <w:rPr>
          <w:sz w:val="28"/>
          <w:szCs w:val="28"/>
          <w:highlight w:val="none"/>
        </w:rPr>
        <w:t>AGI</w:t>
      </w:r>
      <w:r>
        <w:rPr>
          <w:rFonts w:hint="eastAsia"/>
          <w:sz w:val="28"/>
          <w:szCs w:val="28"/>
          <w:highlight w:val="none"/>
        </w:rPr>
        <w:t>（通用人工智能）提供强大的动力</w:t>
      </w:r>
      <w:r>
        <w:rPr>
          <w:rFonts w:hint="eastAsia"/>
          <w:sz w:val="28"/>
          <w:szCs w:val="28"/>
          <w:highlight w:val="none"/>
          <w:lang w:eastAsia="zh-CN"/>
        </w:rPr>
        <w:t>，</w:t>
      </w:r>
      <w:r>
        <w:rPr>
          <w:rFonts w:hint="eastAsia"/>
          <w:sz w:val="28"/>
          <w:szCs w:val="28"/>
          <w:highlight w:val="none"/>
          <w:lang w:val="en-US" w:eastAsia="zh-CN"/>
        </w:rPr>
        <w:t>不过</w:t>
      </w:r>
      <w:r>
        <w:rPr>
          <w:rFonts w:hint="eastAsia"/>
          <w:sz w:val="28"/>
          <w:szCs w:val="28"/>
          <w:highlight w:val="none"/>
        </w:rPr>
        <w:t>此计划</w:t>
      </w:r>
      <w:r>
        <w:rPr>
          <w:rFonts w:hint="eastAsia"/>
          <w:sz w:val="28"/>
          <w:szCs w:val="28"/>
          <w:highlight w:val="none"/>
          <w:lang w:val="en-US" w:eastAsia="zh-CN"/>
        </w:rPr>
        <w:t>尚未被官方证实</w:t>
      </w:r>
      <w:r>
        <w:rPr>
          <w:rFonts w:hint="eastAsia"/>
          <w:sz w:val="28"/>
          <w:szCs w:val="28"/>
          <w:highlight w:val="none"/>
        </w:rPr>
        <w:t>。</w:t>
      </w:r>
      <w:r>
        <w:rPr>
          <w:rFonts w:hint="eastAsia"/>
          <w:sz w:val="28"/>
          <w:szCs w:val="28"/>
          <w:lang w:val="en-US" w:eastAsia="zh-CN"/>
        </w:rPr>
        <w:t>二是</w:t>
      </w:r>
      <w:r>
        <w:rPr>
          <w:rFonts w:hint="eastAsia"/>
          <w:b/>
          <w:bCs/>
          <w:sz w:val="28"/>
          <w:szCs w:val="28"/>
        </w:rPr>
        <w:t>在欧洲投资。</w:t>
      </w:r>
      <w:r>
        <w:rPr>
          <w:rFonts w:hint="eastAsia"/>
          <w:sz w:val="28"/>
          <w:szCs w:val="28"/>
        </w:rPr>
        <w:t>在法国、德国、西班牙、墨西哥分别投资40亿欧元、35亿美元、21亿、3亿美元，用于人工智能数据中心发展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b/>
          <w:bCs/>
          <w:sz w:val="28"/>
          <w:szCs w:val="28"/>
          <w:lang w:val="en-US" w:eastAsia="zh-CN"/>
        </w:rPr>
        <w:t>三是</w:t>
      </w:r>
      <w:r>
        <w:rPr>
          <w:rFonts w:hint="eastAsia"/>
          <w:b/>
          <w:bCs/>
          <w:sz w:val="28"/>
          <w:szCs w:val="28"/>
        </w:rPr>
        <w:t>在</w:t>
      </w:r>
      <w:r>
        <w:rPr>
          <w:rFonts w:hint="eastAsia"/>
          <w:b/>
          <w:bCs/>
          <w:sz w:val="28"/>
          <w:szCs w:val="28"/>
          <w:lang w:val="en-US" w:eastAsia="zh-CN"/>
        </w:rPr>
        <w:t>东南亚</w:t>
      </w:r>
      <w:r>
        <w:rPr>
          <w:rFonts w:hint="eastAsia"/>
          <w:b/>
          <w:bCs/>
          <w:sz w:val="28"/>
          <w:szCs w:val="28"/>
        </w:rPr>
        <w:t>地区投资</w:t>
      </w:r>
      <w:r>
        <w:rPr>
          <w:rFonts w:hint="eastAsia"/>
          <w:b/>
          <w:bCs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微软计划在印度尼西亚、马来西亚、泰国，日本等地区布局AI基础设施，日本投资29亿美元，推动人工智能实验室发展。</w:t>
      </w:r>
      <w:r>
        <w:rPr>
          <w:rStyle w:val="12"/>
          <w:rFonts w:hint="eastAsia" w:cs="Times New Roman"/>
          <w:bCs/>
          <w:sz w:val="28"/>
          <w:szCs w:val="28"/>
          <w:highlight w:val="none"/>
          <w:shd w:val="clear"/>
          <w:lang w:val="en-US" w:eastAsia="zh-CN"/>
        </w:rPr>
        <w:t>四是在中东地区投资。</w:t>
      </w:r>
      <w:r>
        <w:rPr>
          <w:sz w:val="28"/>
          <w:szCs w:val="28"/>
          <w:highlight w:val="none"/>
          <w:shd w:val="clear"/>
        </w:rPr>
        <w:t>2024</w:t>
      </w:r>
      <w:r>
        <w:rPr>
          <w:rFonts w:hint="eastAsia"/>
          <w:sz w:val="28"/>
          <w:szCs w:val="28"/>
          <w:highlight w:val="none"/>
          <w:shd w:val="clear"/>
        </w:rPr>
        <w:t>年</w:t>
      </w:r>
      <w:r>
        <w:rPr>
          <w:sz w:val="28"/>
          <w:szCs w:val="28"/>
          <w:highlight w:val="none"/>
          <w:shd w:val="clear"/>
        </w:rPr>
        <w:t>10</w:t>
      </w:r>
      <w:r>
        <w:rPr>
          <w:rFonts w:hint="eastAsia"/>
          <w:sz w:val="28"/>
          <w:szCs w:val="28"/>
          <w:highlight w:val="none"/>
          <w:shd w:val="clear"/>
        </w:rPr>
        <w:t>月，微软与合作伙伴宣布将向阿联酋注资</w:t>
      </w:r>
      <w:r>
        <w:rPr>
          <w:sz w:val="28"/>
          <w:szCs w:val="28"/>
          <w:highlight w:val="none"/>
          <w:shd w:val="clear"/>
        </w:rPr>
        <w:t>744</w:t>
      </w:r>
      <w:r>
        <w:rPr>
          <w:rFonts w:hint="eastAsia"/>
          <w:sz w:val="28"/>
          <w:szCs w:val="28"/>
          <w:highlight w:val="none"/>
          <w:shd w:val="clear"/>
        </w:rPr>
        <w:t>亿美元，将其全球工程开发中心的业务扩展至阿布扎比地区。</w:t>
      </w:r>
    </w:p>
    <w:p w14:paraId="55EDC4A0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2" w:firstLineChars="200"/>
        <w:textAlignment w:val="auto"/>
        <w:outlineLvl w:val="9"/>
        <w:rPr>
          <w:rFonts w:hint="default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微软加大</w:t>
      </w:r>
      <w:r>
        <w:rPr>
          <w:rFonts w:hint="eastAsia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对</w:t>
      </w: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AI基础大模型初创公司</w:t>
      </w:r>
      <w:r>
        <w:rPr>
          <w:rFonts w:hint="eastAsia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的</w:t>
      </w: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投资，</w:t>
      </w:r>
      <w:r>
        <w:rPr>
          <w:rFonts w:hint="eastAsia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以</w:t>
      </w: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巩固Azure</w:t>
      </w:r>
      <w:r>
        <w:rPr>
          <w:rFonts w:hint="eastAsia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的</w:t>
      </w: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领先地位。一是投资</w:t>
      </w:r>
      <w:r>
        <w:rPr>
          <w:rFonts w:hint="default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OpenAI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，预计每年从Azure云或OpenAI模型开发者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处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获得100亿美元收入。微软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先后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3次向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O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penAl战略投资，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通过一系列投资举措，微软的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云计算、办公软件、娱乐交互等各产品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得以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借助OpenAI实现智能升级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。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并且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根据投资协议，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微软将有权获得OpenAI 75%的利润，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在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收回130亿美元本金后，利润分配比例将降至49%，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而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累计利润达到920亿美元时，微软需把所有股权无偿转让给OpenAI。</w:t>
      </w: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二是投资</w:t>
      </w:r>
      <w:r>
        <w:rPr>
          <w:rFonts w:hint="default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Mistral AI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，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可为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Azure云服务收入贡献6个百分点的增长。2024年2月，</w:t>
      </w:r>
      <w:r>
        <w:rPr>
          <w:rFonts w:hint="default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微软向Mistral AI投资约21亿美元，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并</w:t>
      </w:r>
      <w:r>
        <w:rPr>
          <w:rFonts w:hint="default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为Mistral AI提供Azure云计算平台的访问权限，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使得</w:t>
      </w:r>
      <w:r>
        <w:rPr>
          <w:rFonts w:hint="default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Mistral AI模型</w:t>
      </w:r>
      <w:r>
        <w:rPr>
          <w:rFonts w:hint="eastAsia" w:cs="宋体"/>
          <w:b w:val="0"/>
          <w:kern w:val="0"/>
          <w:sz w:val="28"/>
          <w:szCs w:val="28"/>
          <w:highlight w:val="none"/>
          <w:lang w:val="en-US" w:eastAsia="zh-CN" w:bidi="ar-SA"/>
        </w:rPr>
        <w:t>能够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上架到</w:t>
      </w:r>
      <w:r>
        <w:rPr>
          <w:rFonts w:hint="default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Azure平台</w:t>
      </w:r>
      <w:r>
        <w:rPr>
          <w:rFonts w:hint="eastAsia" w:ascii="Calibri" w:hAnsi="Calibri" w:eastAsia="宋体" w:cs="宋体"/>
          <w:b w:val="0"/>
          <w:kern w:val="0"/>
          <w:sz w:val="28"/>
          <w:szCs w:val="28"/>
          <w:highlight w:val="none"/>
          <w:lang w:val="en-US" w:eastAsia="zh-CN" w:bidi="ar-SA"/>
        </w:rPr>
        <w:t>中。</w:t>
      </w:r>
    </w:p>
    <w:p w14:paraId="59339546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2" w:firstLineChars="200"/>
        <w:textAlignment w:val="auto"/>
        <w:rPr>
          <w:rFonts w:hint="eastAsia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微软持续投资游戏、社交、企业服务、网络安全等产业领域，丰富Azure应用生态。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一是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通过系列重大收购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完善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游戏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业务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生态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并布局元宇宙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。</w:t>
      </w:r>
      <w:r>
        <w:rPr>
          <w:rFonts w:hint="eastAsia" w:ascii="Calibri" w:hAnsi="Calibri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2021年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，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微软以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75亿美元收购Bethesda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 xml:space="preserve"> 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Softworks母公司ZeniMax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 xml:space="preserve"> 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Media。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2023年，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以687亿美元收购动视暴雪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（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Activision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 xml:space="preserve"> 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Blizzard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）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，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成为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游戏史上最大的一笔收购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案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。收购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完成后，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微软成为全球第三大游戏公司，获得《魔兽世界》、《使命召唤》、《守望先锋》等众多知名游戏IP。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二是开展企业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社交产品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收购。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2012年，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微软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以12亿美元收购了企业社交网络平台Yammer，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后将其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更名为Viva Engage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并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深度集成到Microsoft Teams。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2016年，微软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eastAsia="zh-CN"/>
        </w:rPr>
        <w:t>以262亿美元收购职业社交网络LinkedIn，加强其企业级服务产品线。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三是布局IT企业服务领域。</w:t>
      </w:r>
      <w:r>
        <w:rPr>
          <w:rFonts w:hint="eastAsia"/>
          <w:b w:val="0"/>
          <w:bCs w:val="0"/>
          <w:color w:val="auto"/>
          <w:sz w:val="28"/>
          <w:szCs w:val="28"/>
        </w:rPr>
        <w:t>2018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年，</w:t>
      </w:r>
      <w:r>
        <w:rPr>
          <w:rFonts w:hint="eastAsia"/>
          <w:b w:val="0"/>
          <w:bCs w:val="0"/>
          <w:color w:val="auto"/>
          <w:sz w:val="28"/>
          <w:szCs w:val="28"/>
        </w:rPr>
        <w:t>微软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以</w:t>
      </w:r>
      <w:r>
        <w:rPr>
          <w:rFonts w:hint="eastAsia"/>
          <w:b w:val="0"/>
          <w:bCs w:val="0"/>
          <w:color w:val="auto"/>
          <w:sz w:val="28"/>
          <w:szCs w:val="28"/>
        </w:rPr>
        <w:t>5 亿美元收购GitHub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并</w:t>
      </w:r>
      <w:r>
        <w:rPr>
          <w:rFonts w:hint="eastAsia"/>
          <w:b w:val="0"/>
          <w:bCs w:val="0"/>
          <w:color w:val="auto"/>
          <w:sz w:val="28"/>
          <w:szCs w:val="28"/>
        </w:rPr>
        <w:t>促成Azure和GitHub在云端的结合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。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2024年，微软M12领投边缘计算初创公司Armada 4000万美元，并将其所有产品上架到Azure市场，客户可使用预承诺Azure支出购买Armada产品。</w:t>
      </w: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四是专注网络安全领域。</w:t>
      </w:r>
      <w:bookmarkStart w:id="0" w:name="_GoBack"/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微软通过</w:t>
      </w:r>
      <w:r>
        <w:rPr>
          <w:rFonts w:hint="eastAsia"/>
          <w:b w:val="0"/>
          <w:bCs w:val="0"/>
          <w:color w:val="auto"/>
          <w:sz w:val="28"/>
          <w:szCs w:val="28"/>
        </w:rPr>
        <w:t>收购ReFirm实验室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、</w:t>
      </w:r>
      <w:r>
        <w:rPr>
          <w:rFonts w:hint="eastAsia"/>
          <w:b w:val="0"/>
          <w:bCs w:val="0"/>
          <w:color w:val="auto"/>
          <w:sz w:val="28"/>
          <w:szCs w:val="28"/>
        </w:rPr>
        <w:t>RiskIQ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、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CyberX</w:t>
      </w:r>
      <w:r>
        <w:rPr>
          <w:rFonts w:hint="eastAsia"/>
          <w:b w:val="0"/>
          <w:bCs w:val="0"/>
          <w:color w:val="auto"/>
          <w:sz w:val="28"/>
          <w:szCs w:val="28"/>
        </w:rPr>
        <w:t>等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安全</w:t>
      </w:r>
      <w:r>
        <w:rPr>
          <w:rFonts w:hint="eastAsia"/>
          <w:b w:val="0"/>
          <w:bCs w:val="0"/>
          <w:color w:val="auto"/>
          <w:sz w:val="28"/>
          <w:szCs w:val="28"/>
        </w:rPr>
        <w:t>公司，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不仅补充了微软现</w:t>
      </w:r>
      <w:bookmarkEnd w:id="0"/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有的Azure IoT安全功能，还将安全保护范围扩展到工业控制系统平台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、</w:t>
      </w:r>
      <w:r>
        <w:rPr>
          <w:rFonts w:hint="eastAsia"/>
          <w:b w:val="0"/>
          <w:bCs w:val="0"/>
          <w:color w:val="auto"/>
          <w:sz w:val="28"/>
          <w:szCs w:val="28"/>
        </w:rPr>
        <w:t>物联网设备和智能边缘设备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等</w:t>
      </w:r>
      <w:r>
        <w:rPr>
          <w:rFonts w:hint="eastAsia"/>
          <w:b w:val="0"/>
          <w:bCs w:val="0"/>
          <w:color w:val="auto"/>
          <w:sz w:val="28"/>
          <w:szCs w:val="28"/>
        </w:rPr>
        <w:t>方面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。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此外，微软还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收购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了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专注于医疗语音业务的AI及语音技术公司Nuance（美国超过55%的医生和75%的放射科医生都在使用其产品），利用Nuance的解决方案增强Microsoft Cloud for Healthcare战略，丰富</w:t>
      </w:r>
      <w:r>
        <w:rPr>
          <w:rFonts w:hint="eastAsia" w:ascii="Calibri" w:hAnsi="Calibri" w:eastAsia="宋体" w:cs="宋体"/>
          <w:b/>
          <w:bCs/>
          <w:kern w:val="0"/>
          <w:sz w:val="28"/>
          <w:szCs w:val="28"/>
          <w:highlight w:val="none"/>
          <w:lang w:val="en-US" w:eastAsia="zh-CN" w:bidi="ar-SA"/>
        </w:rPr>
        <w:t>Azure</w:t>
      </w:r>
      <w:r>
        <w:rPr>
          <w:rFonts w:hint="eastAsia"/>
          <w:b w:val="0"/>
          <w:bCs w:val="0"/>
          <w:color w:val="auto"/>
          <w:sz w:val="28"/>
          <w:szCs w:val="28"/>
          <w:lang w:eastAsia="zh-CN"/>
        </w:rPr>
        <w:t>产品线。</w:t>
      </w:r>
    </w:p>
    <w:p w14:paraId="5DE0C561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0" w:firstLineChars="2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902585" cy="2521585"/>
            <wp:effectExtent l="0" t="0" r="0" b="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rcRect l="23427" r="21487" b="4497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A7FA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88" w:lineRule="auto"/>
        <w:ind w:left="0" w:right="0" w:firstLine="560" w:firstLineChars="200"/>
        <w:jc w:val="center"/>
        <w:textAlignment w:val="auto"/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 w:eastAsia="zh-CN"/>
        </w:rPr>
        <w:t>图4 微软在不同行业投资金额占比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lmOWQzYWIzZjg0MDA5YTQ3NWM2NjNhOTg4OTUyNTQifQ=="/>
  </w:docVars>
  <w:rsids>
    <w:rsidRoot w:val="00000000"/>
    <w:rsid w:val="00E55C19"/>
    <w:rsid w:val="01A06552"/>
    <w:rsid w:val="02755C49"/>
    <w:rsid w:val="03035935"/>
    <w:rsid w:val="03D03E03"/>
    <w:rsid w:val="03D45ABC"/>
    <w:rsid w:val="04850DE9"/>
    <w:rsid w:val="0494445C"/>
    <w:rsid w:val="04B769D7"/>
    <w:rsid w:val="04FA5BC5"/>
    <w:rsid w:val="054A633B"/>
    <w:rsid w:val="0593307A"/>
    <w:rsid w:val="076E378B"/>
    <w:rsid w:val="07B92732"/>
    <w:rsid w:val="081F16A3"/>
    <w:rsid w:val="08D8516E"/>
    <w:rsid w:val="09E7392E"/>
    <w:rsid w:val="0B8F6382"/>
    <w:rsid w:val="0BDF4EDC"/>
    <w:rsid w:val="0C0A0FF4"/>
    <w:rsid w:val="0C105E82"/>
    <w:rsid w:val="0CF14F47"/>
    <w:rsid w:val="0FDB3D5F"/>
    <w:rsid w:val="101F2C1B"/>
    <w:rsid w:val="116A6D7C"/>
    <w:rsid w:val="12047DBC"/>
    <w:rsid w:val="122D5B6F"/>
    <w:rsid w:val="13084385"/>
    <w:rsid w:val="147705FA"/>
    <w:rsid w:val="14A4685F"/>
    <w:rsid w:val="158C3A67"/>
    <w:rsid w:val="15AA6950"/>
    <w:rsid w:val="15DC3D8A"/>
    <w:rsid w:val="160E6673"/>
    <w:rsid w:val="165A3578"/>
    <w:rsid w:val="16915C08"/>
    <w:rsid w:val="1704634E"/>
    <w:rsid w:val="174F71D5"/>
    <w:rsid w:val="18E831AB"/>
    <w:rsid w:val="195A5A66"/>
    <w:rsid w:val="1A7E3DE6"/>
    <w:rsid w:val="1B587794"/>
    <w:rsid w:val="1B684130"/>
    <w:rsid w:val="1E44152B"/>
    <w:rsid w:val="1E547BEB"/>
    <w:rsid w:val="20282508"/>
    <w:rsid w:val="20743577"/>
    <w:rsid w:val="214178FD"/>
    <w:rsid w:val="216B3F0E"/>
    <w:rsid w:val="22404034"/>
    <w:rsid w:val="23897339"/>
    <w:rsid w:val="25745350"/>
    <w:rsid w:val="26437C73"/>
    <w:rsid w:val="26C7455C"/>
    <w:rsid w:val="271433BD"/>
    <w:rsid w:val="2909784C"/>
    <w:rsid w:val="290B259E"/>
    <w:rsid w:val="29171044"/>
    <w:rsid w:val="2927275D"/>
    <w:rsid w:val="2A44220C"/>
    <w:rsid w:val="2B3C1135"/>
    <w:rsid w:val="2B8E1990"/>
    <w:rsid w:val="2C834431"/>
    <w:rsid w:val="2CE34F95"/>
    <w:rsid w:val="2D460049"/>
    <w:rsid w:val="2D8F0A3F"/>
    <w:rsid w:val="2E62450C"/>
    <w:rsid w:val="2F8D1391"/>
    <w:rsid w:val="2FDC2EDB"/>
    <w:rsid w:val="3159659D"/>
    <w:rsid w:val="31F067FF"/>
    <w:rsid w:val="348953EB"/>
    <w:rsid w:val="34A07D9E"/>
    <w:rsid w:val="35B93AAE"/>
    <w:rsid w:val="35FB40C6"/>
    <w:rsid w:val="379C5435"/>
    <w:rsid w:val="37DE5A4E"/>
    <w:rsid w:val="39551D3F"/>
    <w:rsid w:val="39AB7BB1"/>
    <w:rsid w:val="3ADD0722"/>
    <w:rsid w:val="3B462E40"/>
    <w:rsid w:val="3C03239E"/>
    <w:rsid w:val="3D624A2B"/>
    <w:rsid w:val="3FB232EB"/>
    <w:rsid w:val="3FF22AE8"/>
    <w:rsid w:val="413A3F79"/>
    <w:rsid w:val="42093AB5"/>
    <w:rsid w:val="42E8663F"/>
    <w:rsid w:val="430420E0"/>
    <w:rsid w:val="44445D6E"/>
    <w:rsid w:val="44670B79"/>
    <w:rsid w:val="44C11F93"/>
    <w:rsid w:val="44C531E1"/>
    <w:rsid w:val="474F3AFA"/>
    <w:rsid w:val="4882160E"/>
    <w:rsid w:val="48AB372A"/>
    <w:rsid w:val="49345F0C"/>
    <w:rsid w:val="497F0713"/>
    <w:rsid w:val="49EC224C"/>
    <w:rsid w:val="4A6B5DDF"/>
    <w:rsid w:val="4C261319"/>
    <w:rsid w:val="4C6A46DE"/>
    <w:rsid w:val="4D565C2E"/>
    <w:rsid w:val="4D6E0469"/>
    <w:rsid w:val="4F0D7939"/>
    <w:rsid w:val="4F1D067A"/>
    <w:rsid w:val="4F2D26E6"/>
    <w:rsid w:val="52344790"/>
    <w:rsid w:val="534B283A"/>
    <w:rsid w:val="542E520F"/>
    <w:rsid w:val="54E63D3C"/>
    <w:rsid w:val="550A7A2A"/>
    <w:rsid w:val="55472022"/>
    <w:rsid w:val="560B1CAC"/>
    <w:rsid w:val="566909F1"/>
    <w:rsid w:val="57C3473D"/>
    <w:rsid w:val="57FB18AC"/>
    <w:rsid w:val="581721C8"/>
    <w:rsid w:val="582856CC"/>
    <w:rsid w:val="58B61C68"/>
    <w:rsid w:val="58F163FD"/>
    <w:rsid w:val="59513E7A"/>
    <w:rsid w:val="59C60601"/>
    <w:rsid w:val="59E465AB"/>
    <w:rsid w:val="5A151138"/>
    <w:rsid w:val="5A3B0D06"/>
    <w:rsid w:val="5A4B3BC7"/>
    <w:rsid w:val="5A62458B"/>
    <w:rsid w:val="5BA95B6E"/>
    <w:rsid w:val="5BDA4853"/>
    <w:rsid w:val="5DAE1498"/>
    <w:rsid w:val="5EFE0339"/>
    <w:rsid w:val="5F860D1E"/>
    <w:rsid w:val="6017749F"/>
    <w:rsid w:val="60185456"/>
    <w:rsid w:val="603B4F3C"/>
    <w:rsid w:val="61682256"/>
    <w:rsid w:val="61AD37E8"/>
    <w:rsid w:val="62245399"/>
    <w:rsid w:val="62BB61F0"/>
    <w:rsid w:val="62C94D21"/>
    <w:rsid w:val="63E37DC4"/>
    <w:rsid w:val="65F922FF"/>
    <w:rsid w:val="66163B91"/>
    <w:rsid w:val="675B2367"/>
    <w:rsid w:val="676A2674"/>
    <w:rsid w:val="680C5410"/>
    <w:rsid w:val="681163F1"/>
    <w:rsid w:val="68520E28"/>
    <w:rsid w:val="68740EAF"/>
    <w:rsid w:val="68FF2ED3"/>
    <w:rsid w:val="6995052D"/>
    <w:rsid w:val="69A05F97"/>
    <w:rsid w:val="6A333A6F"/>
    <w:rsid w:val="6B36450F"/>
    <w:rsid w:val="6BE83DE2"/>
    <w:rsid w:val="6C7E2D0C"/>
    <w:rsid w:val="6D372F2F"/>
    <w:rsid w:val="6DD36C46"/>
    <w:rsid w:val="6E7B1444"/>
    <w:rsid w:val="6F0B131F"/>
    <w:rsid w:val="6F6126B0"/>
    <w:rsid w:val="6FFD66DC"/>
    <w:rsid w:val="7073427E"/>
    <w:rsid w:val="71632544"/>
    <w:rsid w:val="717C7162"/>
    <w:rsid w:val="71EC4871"/>
    <w:rsid w:val="72352386"/>
    <w:rsid w:val="723F6838"/>
    <w:rsid w:val="72436D2C"/>
    <w:rsid w:val="72EB0A43"/>
    <w:rsid w:val="733E6DC5"/>
    <w:rsid w:val="73614861"/>
    <w:rsid w:val="7431692A"/>
    <w:rsid w:val="74EB70E0"/>
    <w:rsid w:val="75326E15"/>
    <w:rsid w:val="766A1420"/>
    <w:rsid w:val="76BE62F2"/>
    <w:rsid w:val="780B7492"/>
    <w:rsid w:val="7860333A"/>
    <w:rsid w:val="786F7A21"/>
    <w:rsid w:val="78B6564F"/>
    <w:rsid w:val="79BC3BD3"/>
    <w:rsid w:val="7AA7465F"/>
    <w:rsid w:val="7B0C6CB3"/>
    <w:rsid w:val="7B3D7FFD"/>
    <w:rsid w:val="7C38284C"/>
    <w:rsid w:val="7C5C6C38"/>
    <w:rsid w:val="7CEE34EF"/>
    <w:rsid w:val="7E07528D"/>
    <w:rsid w:val="7ED06D3F"/>
    <w:rsid w:val="7F3037FE"/>
    <w:rsid w:val="7F5A086A"/>
    <w:rsid w:val="7F5B6A4B"/>
    <w:rsid w:val="7FAA230D"/>
    <w:rsid w:val="7FCC56C0"/>
    <w:rsid w:val="7FE5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2468</Words>
  <Characters>3039</Characters>
  <Paragraphs>53</Paragraphs>
  <TotalTime>47</TotalTime>
  <ScaleCrop>false</ScaleCrop>
  <LinksUpToDate>false</LinksUpToDate>
  <CharactersWithSpaces>3067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2024-06-18T08:17:00Z</dcterms:created>
  <dc:creator>Ditto</dc:creator>
  <cp:lastModifiedBy>田盼</cp:lastModifiedBy>
  <dcterms:modified xsi:type="dcterms:W3CDTF">2024-10-25T06:12:23Z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B2996C9C766D43F4B4A06E0621D9C151_13</vt:lpwstr>
  </property>
</Properties>
</file>