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883" w:firstLineChars="200"/>
        <w:jc w:val="center"/>
        <w:rPr>
          <w:rFonts w:hint="default" w:ascii="方正小标宋简体" w:hAnsi="方正小标宋简体" w:eastAsia="方正小标宋简体" w:cs="方正小标宋简体"/>
          <w:b/>
          <w:bCs/>
          <w:sz w:val="44"/>
          <w:szCs w:val="44"/>
          <w:lang w:val="en-US" w:eastAsia="zh-CN"/>
        </w:rPr>
      </w:pPr>
      <w:r>
        <w:rPr>
          <w:rFonts w:hint="eastAsia" w:ascii="方正小标宋简体" w:hAnsi="方正小标宋简体" w:eastAsia="方正小标宋简体" w:cs="方正小标宋简体"/>
          <w:b/>
          <w:bCs/>
          <w:sz w:val="44"/>
          <w:szCs w:val="44"/>
          <w:lang w:val="en-US" w:eastAsia="zh-CN"/>
        </w:rPr>
        <w:t>《AI法案》正式生效对我出海企业的影响及建议</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7月12日，欧盟</w:t>
      </w:r>
      <w:r>
        <w:rPr>
          <w:rFonts w:hint="eastAsia" w:ascii="仿宋_GB2312" w:hAnsi="仿宋_GB2312" w:eastAsia="仿宋_GB2312" w:cs="仿宋_GB2312"/>
          <w:sz w:val="32"/>
          <w:szCs w:val="32"/>
          <w:lang w:val="en-US" w:eastAsia="zh-CN"/>
        </w:rPr>
        <w:t>公布了</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AI</w:t>
      </w:r>
      <w:r>
        <w:rPr>
          <w:rFonts w:hint="eastAsia" w:ascii="仿宋_GB2312" w:hAnsi="仿宋_GB2312" w:eastAsia="仿宋_GB2312" w:cs="仿宋_GB2312"/>
          <w:sz w:val="32"/>
          <w:szCs w:val="32"/>
        </w:rPr>
        <w:t>法案》</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以下简称“法案”</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最终版</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并宣布将于</w:t>
      </w:r>
      <w:r>
        <w:rPr>
          <w:rFonts w:hint="eastAsia" w:ascii="仿宋_GB2312" w:hAnsi="仿宋_GB2312" w:eastAsia="仿宋_GB2312" w:cs="仿宋_GB2312"/>
          <w:sz w:val="32"/>
          <w:szCs w:val="32"/>
        </w:rPr>
        <w:t>8月1日</w:t>
      </w:r>
      <w:r>
        <w:rPr>
          <w:rFonts w:hint="eastAsia" w:ascii="仿宋_GB2312" w:hAnsi="仿宋_GB2312" w:eastAsia="仿宋_GB2312" w:cs="仿宋_GB2312"/>
          <w:sz w:val="32"/>
          <w:szCs w:val="32"/>
          <w:lang w:val="en-US" w:eastAsia="zh-CN"/>
        </w:rPr>
        <w:t>正式</w:t>
      </w:r>
      <w:r>
        <w:rPr>
          <w:rFonts w:hint="eastAsia" w:ascii="仿宋_GB2312" w:hAnsi="仿宋_GB2312" w:eastAsia="仿宋_GB2312" w:cs="仿宋_GB2312"/>
          <w:sz w:val="32"/>
          <w:szCs w:val="32"/>
        </w:rPr>
        <w:t>生效。鉴于我国企业在AI、新能源汽车、跨境电商、生物医药</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通信</w:t>
      </w:r>
      <w:r>
        <w:rPr>
          <w:rFonts w:hint="eastAsia" w:ascii="仿宋_GB2312" w:hAnsi="仿宋_GB2312" w:eastAsia="仿宋_GB2312" w:cs="仿宋_GB2312"/>
          <w:sz w:val="32"/>
          <w:szCs w:val="32"/>
        </w:rPr>
        <w:t>等多领域积极进军欧洲市场，法案生效将对我企业的海外战略布局产生深远影响</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本文选</w:t>
      </w:r>
      <w:r>
        <w:rPr>
          <w:rFonts w:hint="eastAsia" w:ascii="仿宋_GB2312" w:hAnsi="仿宋_GB2312" w:eastAsia="仿宋_GB2312" w:cs="仿宋_GB2312"/>
          <w:sz w:val="32"/>
          <w:szCs w:val="32"/>
          <w:lang w:val="en-US" w:eastAsia="zh-CN"/>
        </w:rPr>
        <w:t>取</w:t>
      </w:r>
      <w:r>
        <w:rPr>
          <w:rFonts w:hint="eastAsia" w:ascii="仿宋_GB2312" w:hAnsi="仿宋_GB2312" w:eastAsia="仿宋_GB2312" w:cs="仿宋_GB2312"/>
          <w:sz w:val="32"/>
          <w:szCs w:val="32"/>
        </w:rPr>
        <w:t>了三类代表企业：</w:t>
      </w:r>
      <w:r>
        <w:rPr>
          <w:rFonts w:hint="eastAsia" w:ascii="仿宋_GB2312" w:hAnsi="仿宋_GB2312" w:eastAsia="仿宋_GB2312" w:cs="仿宋_GB2312"/>
          <w:sz w:val="32"/>
          <w:szCs w:val="32"/>
          <w:lang w:val="en-US" w:eastAsia="zh-CN"/>
        </w:rPr>
        <w:t>受法案直接影响的AI企业</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最</w:t>
      </w:r>
      <w:r>
        <w:rPr>
          <w:rFonts w:hint="eastAsia" w:ascii="仿宋_GB2312" w:hAnsi="仿宋_GB2312" w:eastAsia="仿宋_GB2312" w:cs="仿宋_GB2312"/>
          <w:sz w:val="32"/>
          <w:szCs w:val="32"/>
          <w:lang w:val="en-US" w:eastAsia="zh-CN"/>
        </w:rPr>
        <w:t>快实施</w:t>
      </w:r>
      <w:r>
        <w:rPr>
          <w:rFonts w:hint="eastAsia" w:ascii="仿宋_GB2312" w:hAnsi="仿宋_GB2312" w:eastAsia="仿宋_GB2312" w:cs="仿宋_GB2312"/>
          <w:sz w:val="32"/>
          <w:szCs w:val="32"/>
        </w:rPr>
        <w:t>法案的通信企业，及具有代表性的新能源汽车企业。</w:t>
      </w:r>
      <w:r>
        <w:rPr>
          <w:rFonts w:hint="eastAsia" w:ascii="仿宋_GB2312" w:hAnsi="仿宋_GB2312" w:eastAsia="仿宋_GB2312" w:cs="仿宋_GB2312"/>
          <w:sz w:val="32"/>
          <w:szCs w:val="32"/>
          <w:lang w:val="en-US" w:eastAsia="zh-CN"/>
        </w:rPr>
        <w:t>结合法案具体条款</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评估其对</w:t>
      </w:r>
      <w:r>
        <w:rPr>
          <w:rFonts w:hint="eastAsia" w:ascii="仿宋_GB2312" w:hAnsi="仿宋_GB2312" w:eastAsia="仿宋_GB2312" w:cs="仿宋_GB2312"/>
          <w:sz w:val="32"/>
          <w:szCs w:val="32"/>
          <w:lang w:val="en-US" w:eastAsia="zh-CN"/>
        </w:rPr>
        <w:t>我</w:t>
      </w:r>
      <w:r>
        <w:rPr>
          <w:rFonts w:hint="eastAsia" w:ascii="仿宋_GB2312" w:hAnsi="仿宋_GB2312" w:eastAsia="仿宋_GB2312" w:cs="仿宋_GB2312"/>
          <w:sz w:val="32"/>
          <w:szCs w:val="32"/>
        </w:rPr>
        <w:t>出海企业的影响，提出相应的海外战略布局建议，以帮助企业适应新的法规环境。</w:t>
      </w:r>
    </w:p>
    <w:p>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jc w:val="both"/>
        <w:textAlignment w:val="auto"/>
        <w:outlineLvl w:val="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《AI法案》内容分析</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《AI法案》是一项内容覆盖广泛的创新性立法，其篇幅长达400余页，涵盖113项条款及13个附件。该法案具有域外效力，体现了所谓的“长臂管辖”原则，能够超越欧盟边界，对全球范围内的AI活动产生影响。</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在立法框架上</w:t>
      </w:r>
      <w:r>
        <w:rPr>
          <w:rFonts w:hint="eastAsia" w:ascii="仿宋_GB2312" w:hAnsi="仿宋_GB2312" w:eastAsia="仿宋_GB2312" w:cs="仿宋_GB2312"/>
          <w:sz w:val="32"/>
          <w:szCs w:val="32"/>
          <w:lang w:val="en-US" w:eastAsia="zh-CN"/>
        </w:rPr>
        <w:t>，它并未取代现有的欧盟法律体系，而是作为对数据保护、消费者权益、劳动法以及产品安全等现有法律的补充。值得注意的是，法案对特定用途的系统（如军事、国防及研究领域）提供了豁免规定，并增加了部分排除条款降低合规难度。</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b/>
          <w:bCs/>
          <w:sz w:val="32"/>
          <w:szCs w:val="32"/>
          <w:lang w:val="en-US" w:eastAsia="zh-CN"/>
        </w:rPr>
        <w:t>在立法内容上</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通过建立分级分类监管体系，实现了公民权益</w:t>
      </w:r>
      <w:r>
        <w:rPr>
          <w:rFonts w:hint="eastAsia" w:ascii="仿宋_GB2312" w:hAnsi="仿宋_GB2312" w:eastAsia="仿宋_GB2312" w:cs="仿宋_GB2312"/>
          <w:sz w:val="32"/>
          <w:szCs w:val="32"/>
          <w:lang w:val="en-US" w:eastAsia="zh-CN"/>
        </w:rPr>
        <w:t>保障</w:t>
      </w:r>
      <w:r>
        <w:rPr>
          <w:rFonts w:hint="default" w:ascii="仿宋_GB2312" w:hAnsi="仿宋_GB2312" w:eastAsia="仿宋_GB2312" w:cs="仿宋_GB2312"/>
          <w:sz w:val="32"/>
          <w:szCs w:val="32"/>
          <w:lang w:val="en-US" w:eastAsia="zh-CN"/>
        </w:rPr>
        <w:t>与行业发展的平衡。法案强调监管机构与市场主体合作制定具有法律效力的“行为守则”，</w:t>
      </w:r>
      <w:r>
        <w:rPr>
          <w:rFonts w:hint="eastAsia" w:ascii="仿宋_GB2312" w:hAnsi="仿宋_GB2312" w:eastAsia="仿宋_GB2312" w:cs="仿宋_GB2312"/>
          <w:sz w:val="32"/>
          <w:szCs w:val="32"/>
          <w:lang w:val="en-US" w:eastAsia="zh-CN"/>
        </w:rPr>
        <w:t>尽可能</w:t>
      </w:r>
      <w:r>
        <w:rPr>
          <w:rFonts w:hint="default" w:ascii="仿宋_GB2312" w:hAnsi="仿宋_GB2312" w:eastAsia="仿宋_GB2312" w:cs="仿宋_GB2312"/>
          <w:sz w:val="32"/>
          <w:szCs w:val="32"/>
          <w:lang w:val="en-US" w:eastAsia="zh-CN"/>
        </w:rPr>
        <w:t>覆盖各类风险。同时，法案</w:t>
      </w:r>
      <w:r>
        <w:rPr>
          <w:rFonts w:hint="eastAsia" w:ascii="仿宋_GB2312" w:hAnsi="仿宋_GB2312" w:eastAsia="仿宋_GB2312" w:cs="仿宋_GB2312"/>
          <w:sz w:val="32"/>
          <w:szCs w:val="32"/>
          <w:lang w:val="en-US" w:eastAsia="zh-CN"/>
        </w:rPr>
        <w:t>设置</w:t>
      </w:r>
      <w:r>
        <w:rPr>
          <w:rFonts w:hint="default" w:ascii="仿宋_GB2312" w:hAnsi="仿宋_GB2312" w:eastAsia="仿宋_GB2312" w:cs="仿宋_GB2312"/>
          <w:sz w:val="32"/>
          <w:szCs w:val="32"/>
          <w:lang w:val="en-US" w:eastAsia="zh-CN"/>
        </w:rPr>
        <w:t>监管沙盒等机制，激励创新，为</w:t>
      </w:r>
      <w:r>
        <w:rPr>
          <w:rFonts w:hint="eastAsia" w:ascii="仿宋_GB2312" w:hAnsi="仿宋_GB2312" w:eastAsia="仿宋_GB2312" w:cs="仿宋_GB2312"/>
          <w:sz w:val="32"/>
          <w:szCs w:val="32"/>
          <w:lang w:val="en-US" w:eastAsia="zh-CN"/>
        </w:rPr>
        <w:t>AI</w:t>
      </w:r>
      <w:r>
        <w:rPr>
          <w:rFonts w:hint="default" w:ascii="仿宋_GB2312" w:hAnsi="仿宋_GB2312" w:eastAsia="仿宋_GB2312" w:cs="仿宋_GB2312"/>
          <w:sz w:val="32"/>
          <w:szCs w:val="32"/>
          <w:lang w:val="en-US" w:eastAsia="zh-CN"/>
        </w:rPr>
        <w:t>领域的研发和应用提供支持。</w:t>
      </w:r>
    </w:p>
    <w:p>
      <w:pPr>
        <w:pStyle w:val="3"/>
        <w:jc w:val="center"/>
        <w:rPr>
          <w:rFonts w:hint="eastAsia" w:ascii="Times New Roman" w:hAnsi="Times New Roman" w:eastAsia="黑体"/>
          <w:lang w:eastAsia="zh-CN"/>
        </w:rPr>
      </w:pPr>
      <w:r>
        <w:rPr>
          <w:rFonts w:hint="eastAsia" w:ascii="Times New Roman" w:hAnsi="Times New Roman" w:eastAsia="黑体"/>
          <w:lang w:eastAsia="zh-CN"/>
        </w:rPr>
        <w:drawing>
          <wp:inline distT="0" distB="0" distL="114300" distR="114300">
            <wp:extent cx="4539615" cy="1580515"/>
            <wp:effectExtent l="0" t="0" r="0" b="0"/>
            <wp:docPr id="1" name="图片 1"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
                    <pic:cNvPicPr>
                      <a:picLocks noChangeAspect="1"/>
                    </pic:cNvPicPr>
                  </pic:nvPicPr>
                  <pic:blipFill>
                    <a:blip r:embed="rId5"/>
                    <a:srcRect l="3617" r="20301" b="8967"/>
                    <a:stretch>
                      <a:fillRect/>
                    </a:stretch>
                  </pic:blipFill>
                  <pic:spPr>
                    <a:xfrm>
                      <a:off x="0" y="0"/>
                      <a:ext cx="4539615" cy="1580515"/>
                    </a:xfrm>
                    <a:prstGeom prst="rect">
                      <a:avLst/>
                    </a:prstGeom>
                  </pic:spPr>
                </pic:pic>
              </a:graphicData>
            </a:graphic>
          </wp:inline>
        </w:drawing>
      </w:r>
    </w:p>
    <w:p>
      <w:pPr>
        <w:pStyle w:val="3"/>
        <w:jc w:val="center"/>
        <w:rPr>
          <w:rFonts w:hint="eastAsia" w:ascii="Times New Roman" w:hAnsi="Times New Roman" w:eastAsia="黑体"/>
          <w:lang w:eastAsia="zh-CN"/>
        </w:rPr>
      </w:pPr>
      <w:r>
        <w:rPr>
          <w:rFonts w:hint="eastAsia" w:ascii="Times New Roman" w:hAnsi="Times New Roman" w:eastAsia="黑体"/>
          <w:lang w:eastAsia="zh-CN"/>
        </w:rPr>
        <w:t xml:space="preserve">图 </w:t>
      </w:r>
      <w:r>
        <w:rPr>
          <w:rFonts w:hint="eastAsia" w:ascii="Times New Roman" w:hAnsi="Times New Roman" w:eastAsia="黑体"/>
          <w:lang w:eastAsia="zh-CN"/>
        </w:rPr>
        <w:fldChar w:fldCharType="begin"/>
      </w:r>
      <w:r>
        <w:rPr>
          <w:rFonts w:hint="eastAsia" w:ascii="Times New Roman" w:hAnsi="Times New Roman" w:eastAsia="黑体"/>
          <w:lang w:eastAsia="zh-CN"/>
        </w:rPr>
        <w:instrText xml:space="preserve"> SEQ 图 \* ARABIC </w:instrText>
      </w:r>
      <w:r>
        <w:rPr>
          <w:rFonts w:hint="eastAsia" w:ascii="Times New Roman" w:hAnsi="Times New Roman" w:eastAsia="黑体"/>
          <w:lang w:eastAsia="zh-CN"/>
        </w:rPr>
        <w:fldChar w:fldCharType="separate"/>
      </w:r>
      <w:r>
        <w:rPr>
          <w:rFonts w:hint="eastAsia" w:ascii="Times New Roman" w:hAnsi="Times New Roman" w:eastAsia="黑体"/>
          <w:lang w:eastAsia="zh-CN"/>
        </w:rPr>
        <w:t>1</w:t>
      </w:r>
      <w:r>
        <w:rPr>
          <w:rFonts w:hint="eastAsia" w:ascii="Times New Roman" w:hAnsi="Times New Roman" w:eastAsia="黑体"/>
          <w:lang w:eastAsia="zh-CN"/>
        </w:rPr>
        <w:fldChar w:fldCharType="end"/>
      </w:r>
      <w:r>
        <w:rPr>
          <w:rFonts w:hint="eastAsia" w:ascii="Times New Roman" w:hAnsi="Times New Roman" w:eastAsia="黑体"/>
          <w:lang w:eastAsia="zh-CN"/>
        </w:rPr>
        <w:t xml:space="preserve"> 《AI法案》主要内容</w:t>
      </w:r>
    </w:p>
    <w:p>
      <w:pPr>
        <w:pStyle w:val="3"/>
        <w:jc w:val="center"/>
        <w:rPr>
          <w:rFonts w:hint="eastAsia" w:ascii="Times New Roman" w:hAnsi="Times New Roman" w:eastAsia="黑体"/>
          <w:lang w:eastAsia="zh-CN"/>
        </w:rPr>
      </w:pPr>
      <w:r>
        <w:rPr>
          <w:rFonts w:hint="eastAsia" w:ascii="Times New Roman" w:hAnsi="Times New Roman" w:eastAsia="黑体"/>
          <w:lang w:eastAsia="zh-CN"/>
        </w:rPr>
        <w:drawing>
          <wp:inline distT="0" distB="0" distL="114300" distR="114300">
            <wp:extent cx="4483735" cy="2773045"/>
            <wp:effectExtent l="0" t="0" r="12065" b="8255"/>
            <wp:docPr id="4" name="图片 4"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2"/>
                    <pic:cNvPicPr>
                      <a:picLocks noChangeAspect="1"/>
                    </pic:cNvPicPr>
                  </pic:nvPicPr>
                  <pic:blipFill>
                    <a:blip r:embed="rId6"/>
                    <a:srcRect l="1386" r="38395" b="19421"/>
                    <a:stretch>
                      <a:fillRect/>
                    </a:stretch>
                  </pic:blipFill>
                  <pic:spPr>
                    <a:xfrm>
                      <a:off x="0" y="0"/>
                      <a:ext cx="4483735" cy="2773045"/>
                    </a:xfrm>
                    <a:prstGeom prst="rect">
                      <a:avLst/>
                    </a:prstGeom>
                  </pic:spPr>
                </pic:pic>
              </a:graphicData>
            </a:graphic>
          </wp:inline>
        </w:drawing>
      </w:r>
    </w:p>
    <w:p>
      <w:pPr>
        <w:pStyle w:val="3"/>
        <w:jc w:val="center"/>
        <w:rPr>
          <w:rFonts w:hint="eastAsia" w:ascii="Times New Roman" w:hAnsi="Times New Roman" w:eastAsia="黑体"/>
          <w:lang w:eastAsia="zh-CN"/>
        </w:rPr>
      </w:pPr>
      <w:r>
        <w:rPr>
          <w:rFonts w:ascii="Times New Roman" w:hAnsi="Times New Roman" w:eastAsia="黑体"/>
        </w:rPr>
        <w:t xml:space="preserve">图 </w:t>
      </w:r>
      <w:r>
        <w:rPr>
          <w:rFonts w:ascii="Times New Roman" w:hAnsi="Times New Roman" w:eastAsia="黑体"/>
        </w:rPr>
        <w:fldChar w:fldCharType="begin"/>
      </w:r>
      <w:r>
        <w:rPr>
          <w:rFonts w:ascii="Times New Roman" w:hAnsi="Times New Roman" w:eastAsia="黑体"/>
        </w:rPr>
        <w:instrText xml:space="preserve"> SEQ 图 \* ARABIC </w:instrText>
      </w:r>
      <w:r>
        <w:rPr>
          <w:rFonts w:ascii="Times New Roman" w:hAnsi="Times New Roman" w:eastAsia="黑体"/>
        </w:rPr>
        <w:fldChar w:fldCharType="separate"/>
      </w:r>
      <w:r>
        <w:rPr>
          <w:rFonts w:ascii="Times New Roman" w:hAnsi="Times New Roman" w:eastAsia="黑体"/>
        </w:rPr>
        <w:t>2</w:t>
      </w:r>
      <w:r>
        <w:rPr>
          <w:rFonts w:ascii="Times New Roman" w:hAnsi="Times New Roman" w:eastAsia="黑体"/>
        </w:rPr>
        <w:fldChar w:fldCharType="end"/>
      </w:r>
      <w:r>
        <w:rPr>
          <w:rFonts w:hint="eastAsia" w:ascii="Times New Roman" w:hAnsi="Times New Roman" w:eastAsia="黑体"/>
          <w:lang w:eastAsia="zh-CN"/>
        </w:rPr>
        <w:t xml:space="preserve"> 《AI法案》风险分级分类</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在适用范围上，</w:t>
      </w:r>
      <w:r>
        <w:rPr>
          <w:rFonts w:hint="eastAsia" w:ascii="仿宋_GB2312" w:hAnsi="仿宋_GB2312" w:eastAsia="仿宋_GB2312" w:cs="仿宋_GB2312"/>
          <w:sz w:val="32"/>
          <w:szCs w:val="32"/>
          <w:lang w:val="en-US" w:eastAsia="zh-CN"/>
        </w:rPr>
        <w:t>法案对AI应用的全链条参与者施加了法律约束，包括提供商、部署者、进口商、分销商及产品制造商。这表明，所有涉及AI系统开发、使用、引进、分配或制造的主体均可能面临相应的法律责任，进而确保了对企业进行全面、一致的监管。</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drawing>
          <wp:inline distT="0" distB="0" distL="114300" distR="114300">
            <wp:extent cx="4818380" cy="1703705"/>
            <wp:effectExtent l="0" t="0" r="0" b="0"/>
            <wp:docPr id="2" name="图片 2"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3"/>
                    <pic:cNvPicPr>
                      <a:picLocks noChangeAspect="1"/>
                    </pic:cNvPicPr>
                  </pic:nvPicPr>
                  <pic:blipFill>
                    <a:blip r:embed="rId7"/>
                    <a:srcRect r="19660" b="8818"/>
                    <a:stretch>
                      <a:fillRect/>
                    </a:stretch>
                  </pic:blipFill>
                  <pic:spPr>
                    <a:xfrm>
                      <a:off x="0" y="0"/>
                      <a:ext cx="4818380" cy="1703705"/>
                    </a:xfrm>
                    <a:prstGeom prst="rect">
                      <a:avLst/>
                    </a:prstGeom>
                  </pic:spPr>
                </pic:pic>
              </a:graphicData>
            </a:graphic>
          </wp:inline>
        </w:drawing>
      </w:r>
    </w:p>
    <w:p>
      <w:pPr>
        <w:pStyle w:val="3"/>
        <w:jc w:val="center"/>
        <w:rPr>
          <w:rFonts w:hint="eastAsia" w:ascii="Times New Roman" w:hAnsi="Times New Roman" w:eastAsia="黑体"/>
          <w:lang w:val="en-US" w:eastAsia="zh-CN"/>
        </w:rPr>
      </w:pPr>
      <w:r>
        <w:rPr>
          <w:rFonts w:ascii="Times New Roman" w:hAnsi="Times New Roman" w:eastAsia="黑体"/>
        </w:rPr>
        <w:t xml:space="preserve">图 </w:t>
      </w:r>
      <w:r>
        <w:rPr>
          <w:rFonts w:ascii="Times New Roman" w:hAnsi="Times New Roman" w:eastAsia="黑体"/>
        </w:rPr>
        <w:fldChar w:fldCharType="begin"/>
      </w:r>
      <w:r>
        <w:rPr>
          <w:rFonts w:ascii="Times New Roman" w:hAnsi="Times New Roman" w:eastAsia="黑体"/>
        </w:rPr>
        <w:instrText xml:space="preserve"> SEQ 图 \* ARABIC </w:instrText>
      </w:r>
      <w:r>
        <w:rPr>
          <w:rFonts w:ascii="Times New Roman" w:hAnsi="Times New Roman" w:eastAsia="黑体"/>
        </w:rPr>
        <w:fldChar w:fldCharType="separate"/>
      </w:r>
      <w:r>
        <w:rPr>
          <w:rFonts w:ascii="Times New Roman" w:hAnsi="Times New Roman" w:eastAsia="黑体"/>
        </w:rPr>
        <w:t>3</w:t>
      </w:r>
      <w:r>
        <w:rPr>
          <w:rFonts w:ascii="Times New Roman" w:hAnsi="Times New Roman" w:eastAsia="黑体"/>
        </w:rPr>
        <w:fldChar w:fldCharType="end"/>
      </w:r>
      <w:r>
        <w:rPr>
          <w:rFonts w:hint="eastAsia" w:ascii="Times New Roman" w:hAnsi="Times New Roman" w:eastAsia="黑体"/>
          <w:lang w:eastAsia="zh-CN"/>
        </w:rPr>
        <w:t xml:space="preserve"> 《AI法案》适用范围</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在实施计划上</w:t>
      </w:r>
      <w:r>
        <w:rPr>
          <w:rFonts w:hint="eastAsia" w:ascii="仿宋_GB2312" w:hAnsi="仿宋_GB2312" w:eastAsia="仿宋_GB2312" w:cs="仿宋_GB2312"/>
          <w:sz w:val="32"/>
          <w:szCs w:val="32"/>
          <w:lang w:val="en-US" w:eastAsia="zh-CN"/>
        </w:rPr>
        <w:t>，法案将在8月1日生效，并在生效后24个月内全面适用，除了禁止的应用（生效后6个月内生效）；实践准则（生效后9个月）；通用AI要求含治理（生效后12个月）；以及高风险系统的义务（生效后36个月）。</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highlight w:val="yellow"/>
          <w:lang w:val="en-US" w:eastAsia="zh-CN"/>
        </w:rPr>
      </w:pPr>
      <w:r>
        <w:rPr>
          <w:rFonts w:hint="eastAsia" w:ascii="仿宋_GB2312" w:hAnsi="仿宋_GB2312" w:eastAsia="仿宋_GB2312" w:cs="仿宋_GB2312"/>
          <w:b/>
          <w:bCs/>
          <w:sz w:val="32"/>
          <w:szCs w:val="32"/>
          <w:lang w:val="en-US" w:eastAsia="zh-CN"/>
        </w:rPr>
        <w:t>在处罚条款上</w:t>
      </w:r>
      <w:r>
        <w:rPr>
          <w:rFonts w:hint="eastAsia" w:ascii="仿宋_GB2312" w:hAnsi="仿宋_GB2312" w:eastAsia="仿宋_GB2312" w:cs="仿宋_GB2312"/>
          <w:sz w:val="32"/>
          <w:szCs w:val="32"/>
          <w:lang w:val="en-US" w:eastAsia="zh-CN"/>
        </w:rPr>
        <w:t>，当不符合法案要求的AI系统进入市场或被使用，欧盟各成员国必须制定有效、适当和劝阻性的处罚措施，包括对侵权行为采取行政罚款，并向欧盟委员会通报。法案针对违反监管要求的情况，规定了有梯度的罚则。</w:t>
      </w:r>
    </w:p>
    <w:p>
      <w:pPr>
        <w:pStyle w:val="3"/>
        <w:jc w:val="center"/>
        <w:rPr>
          <w:rFonts w:hint="eastAsia" w:ascii="Times New Roman" w:hAnsi="Times New Roman" w:eastAsia="黑体"/>
          <w:lang w:eastAsia="zh-CN"/>
        </w:rPr>
      </w:pPr>
      <w:r>
        <w:rPr>
          <w:rFonts w:hint="eastAsia" w:ascii="Times New Roman" w:hAnsi="Times New Roman" w:eastAsia="黑体"/>
          <w:lang w:eastAsia="zh-CN"/>
        </w:rPr>
        <w:drawing>
          <wp:inline distT="0" distB="0" distL="114300" distR="114300">
            <wp:extent cx="4798695" cy="1507490"/>
            <wp:effectExtent l="0" t="0" r="0" b="0"/>
            <wp:docPr id="3" name="图片 3"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4"/>
                    <pic:cNvPicPr>
                      <a:picLocks noChangeAspect="1"/>
                    </pic:cNvPicPr>
                  </pic:nvPicPr>
                  <pic:blipFill>
                    <a:blip r:embed="rId8"/>
                    <a:srcRect r="19908" b="9650"/>
                    <a:stretch>
                      <a:fillRect/>
                    </a:stretch>
                  </pic:blipFill>
                  <pic:spPr>
                    <a:xfrm>
                      <a:off x="0" y="0"/>
                      <a:ext cx="4798695" cy="1507490"/>
                    </a:xfrm>
                    <a:prstGeom prst="rect">
                      <a:avLst/>
                    </a:prstGeom>
                  </pic:spPr>
                </pic:pic>
              </a:graphicData>
            </a:graphic>
          </wp:inline>
        </w:drawing>
      </w:r>
    </w:p>
    <w:p>
      <w:pPr>
        <w:pStyle w:val="3"/>
        <w:jc w:val="center"/>
        <w:rPr>
          <w:rFonts w:hint="eastAsia" w:ascii="Times New Roman" w:hAnsi="Times New Roman" w:eastAsia="黑体"/>
          <w:lang w:eastAsia="zh-CN"/>
        </w:rPr>
      </w:pPr>
      <w:r>
        <w:rPr>
          <w:rFonts w:ascii="Times New Roman" w:hAnsi="Times New Roman" w:eastAsia="黑体"/>
        </w:rPr>
        <w:t xml:space="preserve">图 </w:t>
      </w:r>
      <w:r>
        <w:rPr>
          <w:rFonts w:ascii="Times New Roman" w:hAnsi="Times New Roman" w:eastAsia="黑体"/>
        </w:rPr>
        <w:fldChar w:fldCharType="begin"/>
      </w:r>
      <w:r>
        <w:rPr>
          <w:rFonts w:ascii="Times New Roman" w:hAnsi="Times New Roman" w:eastAsia="黑体"/>
        </w:rPr>
        <w:instrText xml:space="preserve"> SEQ 图 \* ARABIC </w:instrText>
      </w:r>
      <w:r>
        <w:rPr>
          <w:rFonts w:ascii="Times New Roman" w:hAnsi="Times New Roman" w:eastAsia="黑体"/>
        </w:rPr>
        <w:fldChar w:fldCharType="separate"/>
      </w:r>
      <w:r>
        <w:rPr>
          <w:rFonts w:ascii="Times New Roman" w:hAnsi="Times New Roman" w:eastAsia="黑体"/>
        </w:rPr>
        <w:t>4</w:t>
      </w:r>
      <w:r>
        <w:rPr>
          <w:rFonts w:ascii="Times New Roman" w:hAnsi="Times New Roman" w:eastAsia="黑体"/>
        </w:rPr>
        <w:fldChar w:fldCharType="end"/>
      </w:r>
      <w:r>
        <w:rPr>
          <w:rFonts w:hint="eastAsia" w:ascii="Times New Roman" w:hAnsi="Times New Roman" w:eastAsia="黑体"/>
          <w:lang w:eastAsia="zh-CN"/>
        </w:rPr>
        <w:t xml:space="preserve"> 《AI法案》的罚则</w:t>
      </w:r>
    </w:p>
    <w:p>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jc w:val="both"/>
        <w:textAlignment w:val="auto"/>
        <w:outlineLvl w:val="0"/>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《AI法案》对我出海企业的影响</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因</w:t>
      </w:r>
      <w:r>
        <w:rPr>
          <w:rFonts w:hint="default"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t>AI</w:t>
      </w:r>
      <w:r>
        <w:rPr>
          <w:rFonts w:hint="default" w:ascii="仿宋_GB2312" w:hAnsi="仿宋_GB2312" w:eastAsia="仿宋_GB2312" w:cs="仿宋_GB2312"/>
          <w:sz w:val="32"/>
          <w:szCs w:val="32"/>
          <w:lang w:val="en-US" w:eastAsia="zh-CN"/>
        </w:rPr>
        <w:t>法案》</w:t>
      </w:r>
      <w:r>
        <w:rPr>
          <w:rFonts w:hint="eastAsia" w:ascii="仿宋_GB2312" w:hAnsi="仿宋_GB2312" w:eastAsia="仿宋_GB2312" w:cs="仿宋_GB2312"/>
          <w:sz w:val="32"/>
          <w:szCs w:val="32"/>
          <w:lang w:val="en-US" w:eastAsia="zh-CN"/>
        </w:rPr>
        <w:t>的</w:t>
      </w:r>
      <w:r>
        <w:rPr>
          <w:rFonts w:hint="default" w:ascii="仿宋_GB2312" w:hAnsi="仿宋_GB2312" w:eastAsia="仿宋_GB2312" w:cs="仿宋_GB2312"/>
          <w:sz w:val="32"/>
          <w:szCs w:val="32"/>
          <w:lang w:val="en-US" w:eastAsia="zh-CN"/>
        </w:rPr>
        <w:t>广泛适用性及域外效力，</w:t>
      </w:r>
      <w:r>
        <w:rPr>
          <w:rFonts w:hint="eastAsia" w:ascii="仿宋_GB2312" w:hAnsi="仿宋_GB2312" w:eastAsia="仿宋_GB2312" w:cs="仿宋_GB2312"/>
          <w:sz w:val="32"/>
          <w:szCs w:val="32"/>
          <w:lang w:val="en-US" w:eastAsia="zh-CN"/>
        </w:rPr>
        <w:t>我出海企业</w:t>
      </w:r>
      <w:r>
        <w:rPr>
          <w:rFonts w:hint="eastAsia" w:ascii="仿宋_GB2312" w:hAnsi="仿宋_GB2312" w:eastAsia="仿宋_GB2312" w:cs="仿宋_GB2312"/>
          <w:sz w:val="32"/>
          <w:szCs w:val="32"/>
          <w:highlight w:val="none"/>
          <w:lang w:val="en-US" w:eastAsia="zh-CN"/>
        </w:rPr>
        <w:t>必须</w:t>
      </w:r>
      <w:r>
        <w:rPr>
          <w:rFonts w:hint="default" w:ascii="仿宋_GB2312" w:hAnsi="仿宋_GB2312" w:eastAsia="仿宋_GB2312" w:cs="仿宋_GB2312"/>
          <w:sz w:val="32"/>
          <w:szCs w:val="32"/>
          <w:highlight w:val="none"/>
          <w:lang w:val="en-US" w:eastAsia="zh-CN"/>
        </w:rPr>
        <w:t>高度关注</w:t>
      </w:r>
      <w:r>
        <w:rPr>
          <w:rFonts w:hint="eastAsia" w:ascii="仿宋_GB2312" w:hAnsi="仿宋_GB2312" w:eastAsia="仿宋_GB2312" w:cs="仿宋_GB2312"/>
          <w:sz w:val="32"/>
          <w:szCs w:val="32"/>
          <w:highlight w:val="none"/>
          <w:lang w:val="en-US" w:eastAsia="zh-CN"/>
        </w:rPr>
        <w:t>法案内容和适用范围，并深度</w:t>
      </w:r>
      <w:r>
        <w:rPr>
          <w:rFonts w:hint="default" w:ascii="仿宋_GB2312" w:hAnsi="仿宋_GB2312" w:eastAsia="仿宋_GB2312" w:cs="仿宋_GB2312"/>
          <w:sz w:val="32"/>
          <w:szCs w:val="32"/>
          <w:highlight w:val="none"/>
          <w:lang w:val="en-US" w:eastAsia="zh-CN"/>
        </w:rPr>
        <w:t>分析</w:t>
      </w:r>
      <w:r>
        <w:rPr>
          <w:rFonts w:hint="eastAsia" w:ascii="仿宋_GB2312" w:hAnsi="仿宋_GB2312" w:eastAsia="仿宋_GB2312" w:cs="仿宋_GB2312"/>
          <w:sz w:val="32"/>
          <w:szCs w:val="32"/>
          <w:highlight w:val="none"/>
          <w:lang w:val="en-US" w:eastAsia="zh-CN"/>
        </w:rPr>
        <w:t>其合规要求及</w:t>
      </w:r>
      <w:r>
        <w:rPr>
          <w:rFonts w:hint="default" w:ascii="仿宋_GB2312" w:hAnsi="仿宋_GB2312" w:eastAsia="仿宋_GB2312" w:cs="仿宋_GB2312"/>
          <w:sz w:val="32"/>
          <w:szCs w:val="32"/>
          <w:highlight w:val="none"/>
          <w:lang w:val="en-US" w:eastAsia="zh-CN"/>
        </w:rPr>
        <w:t>、对企业运营产生的影响</w:t>
      </w:r>
      <w:r>
        <w:rPr>
          <w:rFonts w:hint="eastAsia" w:ascii="仿宋_GB2312" w:hAnsi="仿宋_GB2312" w:eastAsia="仿宋_GB2312" w:cs="仿宋_GB2312"/>
          <w:sz w:val="32"/>
          <w:szCs w:val="32"/>
          <w:highlight w:val="none"/>
          <w:lang w:val="en-US" w:eastAsia="zh-CN"/>
        </w:rPr>
        <w:t>与挑战</w:t>
      </w:r>
      <w:r>
        <w:rPr>
          <w:rFonts w:hint="default" w:ascii="仿宋_GB2312" w:hAnsi="仿宋_GB2312" w:eastAsia="仿宋_GB2312" w:cs="仿宋_GB2312"/>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AI企业面临着角色界定多维、风险评估复杂、多头监管和合规成本跃升的挑战</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b/>
          <w:bCs/>
          <w:sz w:val="32"/>
          <w:szCs w:val="32"/>
          <w:lang w:val="en-US" w:eastAsia="zh-CN"/>
        </w:rPr>
        <w:t>一是</w:t>
      </w:r>
      <w:r>
        <w:rPr>
          <w:rFonts w:hint="eastAsia" w:ascii="仿宋_GB2312" w:hAnsi="仿宋_GB2312" w:eastAsia="仿宋_GB2312" w:cs="仿宋_GB2312"/>
          <w:sz w:val="32"/>
          <w:szCs w:val="32"/>
          <w:lang w:val="en-US" w:eastAsia="zh-CN"/>
        </w:rPr>
        <w:t>在法案监管框架下，AI企业需依据不同场景、不同业务类型，不断进行自身的再定位，并根据不同角色调整需要履行的责任与义务。例如</w:t>
      </w:r>
      <w:r>
        <w:rPr>
          <w:rFonts w:hint="eastAsia" w:ascii="仿宋_GB2312" w:hAnsi="仿宋_GB2312" w:eastAsia="仿宋_GB2312" w:cs="仿宋_GB2312"/>
          <w:sz w:val="32"/>
          <w:szCs w:val="32"/>
          <w:highlight w:val="none"/>
          <w:lang w:val="en-US" w:eastAsia="zh-CN"/>
        </w:rPr>
        <w:t>法案序言第83条中的示例提到</w:t>
      </w:r>
      <w:r>
        <w:rPr>
          <w:rFonts w:hint="eastAsia" w:ascii="仿宋_GB2312" w:hAnsi="仿宋_GB2312" w:eastAsia="仿宋_GB2312" w:cs="仿宋_GB2312"/>
          <w:sz w:val="32"/>
          <w:szCs w:val="32"/>
          <w:lang w:val="en-US" w:eastAsia="zh-CN"/>
        </w:rPr>
        <w:t>，AI企业很可能同时担任分销商和进口商，在此情况下，AI企业应累计履行与这些角色相关的所有义务。</w:t>
      </w:r>
      <w:r>
        <w:rPr>
          <w:rFonts w:hint="eastAsia" w:ascii="仿宋_GB2312" w:hAnsi="仿宋_GB2312" w:eastAsia="仿宋_GB2312" w:cs="仿宋_GB2312"/>
          <w:b/>
          <w:bCs/>
          <w:sz w:val="32"/>
          <w:szCs w:val="32"/>
          <w:lang w:val="en-US" w:eastAsia="zh-CN"/>
        </w:rPr>
        <w:t>二是</w:t>
      </w:r>
      <w:r>
        <w:rPr>
          <w:rFonts w:hint="eastAsia" w:ascii="仿宋_GB2312" w:hAnsi="仿宋_GB2312" w:eastAsia="仿宋_GB2312" w:cs="仿宋_GB2312"/>
          <w:sz w:val="32"/>
          <w:szCs w:val="32"/>
          <w:lang w:val="en-US" w:eastAsia="zh-CN"/>
        </w:rPr>
        <w:t>AI企业所提供的服务在不同应用场景中，其风险评估结果也可能不一致。</w:t>
      </w:r>
      <w:r>
        <w:rPr>
          <w:rFonts w:hint="eastAsia" w:ascii="仿宋_GB2312" w:hAnsi="仿宋_GB2312" w:eastAsia="仿宋_GB2312" w:cs="仿宋_GB2312"/>
          <w:sz w:val="32"/>
          <w:szCs w:val="32"/>
          <w:highlight w:val="none"/>
          <w:lang w:val="en-US" w:eastAsia="zh-CN"/>
        </w:rPr>
        <w:t>例如序言第29、44条</w:t>
      </w:r>
      <w:r>
        <w:rPr>
          <w:rFonts w:hint="eastAsia" w:ascii="仿宋_GB2312" w:hAnsi="仿宋_GB2312" w:eastAsia="仿宋_GB2312" w:cs="仿宋_GB2312"/>
          <w:sz w:val="32"/>
          <w:szCs w:val="32"/>
          <w:lang w:val="en-US" w:eastAsia="zh-CN"/>
        </w:rPr>
        <w:t>，基于情绪识别的AI系统，应用于心理健康问题的干预则属于有限风险，而应用于教室检测学生是否分心或困惑则属于不可接受风险。</w:t>
      </w:r>
      <w:r>
        <w:rPr>
          <w:rFonts w:hint="eastAsia" w:ascii="仿宋_GB2312" w:hAnsi="仿宋_GB2312" w:eastAsia="仿宋_GB2312" w:cs="仿宋_GB2312"/>
          <w:b/>
          <w:bCs/>
          <w:sz w:val="32"/>
          <w:szCs w:val="32"/>
          <w:lang w:val="en-US" w:eastAsia="zh-CN"/>
        </w:rPr>
        <w:t>三是</w:t>
      </w:r>
      <w:r>
        <w:rPr>
          <w:rFonts w:hint="eastAsia" w:ascii="仿宋_GB2312" w:hAnsi="仿宋_GB2312" w:eastAsia="仿宋_GB2312" w:cs="仿宋_GB2312"/>
          <w:sz w:val="32"/>
          <w:szCs w:val="32"/>
          <w:lang w:val="en-US" w:eastAsia="zh-CN"/>
        </w:rPr>
        <w:t>应用于行业中AI系统，不仅需要符合《AI法案》的监管要求，也需要时刻接受行业监管机构、各成员国相关监督机关的监管。例如法案序言第158条明确了对金融行业的监管部门，其中包含AI办公室、负责监督和执行金融服务立法的主管机关、欧洲议会和欧盟理事会指定主管机构、成员国的市场监督管理机关等多部门。</w:t>
      </w:r>
      <w:r>
        <w:rPr>
          <w:rFonts w:hint="eastAsia" w:ascii="仿宋_GB2312" w:hAnsi="仿宋_GB2312" w:eastAsia="仿宋_GB2312" w:cs="仿宋_GB2312"/>
          <w:b/>
          <w:bCs/>
          <w:sz w:val="32"/>
          <w:szCs w:val="32"/>
          <w:lang w:val="en-US" w:eastAsia="zh-CN"/>
        </w:rPr>
        <w:t>四是</w:t>
      </w:r>
      <w:r>
        <w:rPr>
          <w:rFonts w:hint="eastAsia" w:ascii="仿宋_GB2312" w:hAnsi="仿宋_GB2312" w:eastAsia="仿宋_GB2312" w:cs="仿宋_GB2312"/>
          <w:sz w:val="32"/>
          <w:szCs w:val="32"/>
          <w:lang w:val="en-US" w:eastAsia="zh-CN"/>
        </w:rPr>
        <w:t>法案对AI企业提出了全面且复杂的监管要求，意味着在AI系统部署中所涉及的合规成本提升。全球智库Center for Data Innovation在2021年便预计，该法案将使欧洲经济损失310 亿欧元，并使AI投资减少近20%。智库列举了一家部署高风险人工智能系统的欧洲中小企业，将产生高达40万欧元的合规成本，导致利润下降40%。</w:t>
      </w:r>
      <w:r>
        <w:rPr>
          <w:rStyle w:val="12"/>
          <w:rFonts w:hint="eastAsia" w:ascii="仿宋_GB2312" w:hAnsi="仿宋_GB2312" w:eastAsia="仿宋_GB2312" w:cs="仿宋_GB2312"/>
          <w:sz w:val="32"/>
          <w:szCs w:val="32"/>
          <w:lang w:val="en-US" w:eastAsia="zh-CN"/>
        </w:rPr>
        <w:footnoteReference w:id="0"/>
      </w:r>
      <w:r>
        <w:rPr>
          <w:rFonts w:ascii="宋体" w:hAnsi="宋体" w:eastAsia="宋体" w:cs="宋体"/>
          <w:sz w:val="24"/>
          <w:szCs w:val="24"/>
        </w:rPr>
        <w:t xml:space="preserve"> </w:t>
      </w:r>
    </w:p>
    <w:p>
      <w:pPr>
        <w:keepNext w:val="0"/>
        <w:keepLines w:val="0"/>
        <w:pageBreakBefore w:val="0"/>
        <w:widowControl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通信企业面临着合规时间窗口期短、创新与监管间的博弈升级和责任归属模糊的挑战。</w:t>
      </w:r>
      <w:r>
        <w:rPr>
          <w:rFonts w:hint="eastAsia" w:ascii="仿宋_GB2312" w:hAnsi="仿宋_GB2312" w:eastAsia="仿宋_GB2312" w:cs="仿宋_GB2312"/>
          <w:sz w:val="32"/>
          <w:szCs w:val="32"/>
          <w:lang w:val="en-US" w:eastAsia="zh-CN"/>
        </w:rPr>
        <w:t>一是通信行业即将成为《AI法案》的首个实施领域，企业开展自身合规审查时间有限。2024年7月，专注欧盟新闻政策的Euractiv网站披露，欧盟已初步完成《无线电设备指令（RED）与AI法案的冲突化解（INTERPLAY BETWEEN THE RADIO EQUIPMENT DIRECTIVE AND THE ARTIFICIAL INTELLIGENCE ACT）》文件。</w:t>
      </w:r>
      <w:r>
        <w:rPr>
          <w:rStyle w:val="12"/>
          <w:rFonts w:hint="eastAsia" w:ascii="仿宋_GB2312" w:hAnsi="仿宋_GB2312" w:eastAsia="仿宋_GB2312" w:cs="仿宋_GB2312"/>
          <w:sz w:val="32"/>
          <w:szCs w:val="32"/>
          <w:lang w:val="en-US" w:eastAsia="zh-CN"/>
        </w:rPr>
        <w:footnoteReference w:id="1"/>
      </w:r>
      <w:r>
        <w:rPr>
          <w:rFonts w:hint="eastAsia" w:ascii="仿宋_GB2312" w:hAnsi="仿宋_GB2312" w:eastAsia="仿宋_GB2312" w:cs="仿宋_GB2312"/>
          <w:sz w:val="32"/>
          <w:szCs w:val="32"/>
          <w:lang w:val="en-US" w:eastAsia="zh-CN"/>
        </w:rPr>
        <w:t>通信行业将率先实现法规与专业领域融合，成为监管口径细化的“急先锋”。通信企业将面临法案“开箱即用”的情况，合规审查的窗口期极短。二是法案将通信行业锚定在高风险，或将加重合规成本并忽视创新。成本方面，爱立信在《AI商业潜力》报告中指出，AI可降低IT和网络运营成本，运营商使用后投资回报率在5%到10%之间。</w:t>
      </w:r>
      <w:r>
        <w:rPr>
          <w:rStyle w:val="12"/>
          <w:rFonts w:hint="eastAsia" w:ascii="仿宋_GB2312" w:hAnsi="仿宋_GB2312" w:eastAsia="仿宋_GB2312" w:cs="仿宋_GB2312"/>
          <w:sz w:val="32"/>
          <w:szCs w:val="32"/>
          <w:lang w:val="en-US" w:eastAsia="zh-CN"/>
        </w:rPr>
        <w:footnoteReference w:id="2"/>
      </w:r>
      <w:r>
        <w:rPr>
          <w:rFonts w:hint="eastAsia" w:ascii="仿宋_GB2312" w:hAnsi="仿宋_GB2312" w:eastAsia="仿宋_GB2312" w:cs="仿宋_GB2312"/>
          <w:sz w:val="32"/>
          <w:szCs w:val="32"/>
          <w:lang w:val="en-US" w:eastAsia="zh-CN"/>
        </w:rPr>
        <w:t>而法案对高风险系统提出了极为严格的合规要求，意味着合规成本支出加大，甚至可能出现合规高于AI节省的费用。创新方面，欧盟电子通信管制机构BEREC指出，对于5G和6G，AI将发挥着重要的推动力，高风险的合规要求或将阻碍通信领域创新。</w:t>
      </w:r>
      <w:r>
        <w:rPr>
          <w:rStyle w:val="12"/>
          <w:rFonts w:hint="eastAsia" w:ascii="仿宋_GB2312" w:hAnsi="仿宋_GB2312" w:eastAsia="仿宋_GB2312" w:cs="仿宋_GB2312"/>
          <w:sz w:val="32"/>
          <w:szCs w:val="32"/>
          <w:lang w:val="en-US" w:eastAsia="zh-CN"/>
        </w:rPr>
        <w:footnoteReference w:id="3"/>
      </w:r>
      <w:r>
        <w:rPr>
          <w:rFonts w:hint="eastAsia" w:ascii="仿宋_GB2312" w:hAnsi="仿宋_GB2312" w:eastAsia="仿宋_GB2312" w:cs="仿宋_GB2312"/>
          <w:sz w:val="32"/>
          <w:szCs w:val="32"/>
          <w:lang w:val="en-US" w:eastAsia="zh-CN"/>
        </w:rPr>
        <w:t xml:space="preserve">三是在网络中部署中使用AI技术将涉及AI价值链中的多个角色，在发生意外或错误结果时，各方的责任和义务存在不确定性。尽管服务等级协议（SLA）中可以包括相关条款，但由AI系统做出的决策，通信行业尚难界定事故最终的责任方。  </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为协调现有法规，法案中高风险AI系统相关的监管要求尚未直接适用于汽车，但不排除欧盟汽车相关法规可能引入这一要求。</w:t>
      </w:r>
      <w:r>
        <w:rPr>
          <w:rFonts w:hint="eastAsia" w:ascii="仿宋_GB2312" w:hAnsi="仿宋_GB2312" w:eastAsia="仿宋_GB2312" w:cs="仿宋_GB2312"/>
          <w:b/>
          <w:bCs/>
          <w:sz w:val="32"/>
          <w:szCs w:val="32"/>
          <w:lang w:val="en-US" w:eastAsia="zh-CN"/>
        </w:rPr>
        <w:t>我国新能源汽车企业出海仍需预见AI+的复合型人才缺口、</w:t>
      </w:r>
      <w:r>
        <w:rPr>
          <w:rFonts w:hint="eastAsia" w:ascii="仿宋_GB2312" w:hAnsi="仿宋_GB2312" w:eastAsia="仿宋_GB2312" w:cs="仿宋_GB2312"/>
          <w:b/>
          <w:bCs/>
          <w:sz w:val="32"/>
          <w:szCs w:val="32"/>
          <w:highlight w:val="none"/>
          <w:lang w:val="en-US" w:eastAsia="zh-CN"/>
        </w:rPr>
        <w:t>供应链管理难度加大、准入门槛抬升的问题。</w:t>
      </w:r>
      <w:r>
        <w:rPr>
          <w:rFonts w:hint="eastAsia" w:ascii="仿宋_GB2312" w:hAnsi="仿宋_GB2312" w:eastAsia="仿宋_GB2312" w:cs="仿宋_GB2312"/>
          <w:sz w:val="32"/>
          <w:szCs w:val="32"/>
          <w:highlight w:val="none"/>
          <w:lang w:val="en-US" w:eastAsia="zh-CN"/>
        </w:rPr>
        <w:t>一是法案对AI技术的理解及运用设立了更高标准，加之AI技术的复杂性，意味着新能源汽车企业技术文档编制等相关合规能力面临挑战，“AI+”的复合型人才缺口或被凸显</w:t>
      </w:r>
      <w:r>
        <w:rPr>
          <w:rFonts w:hint="eastAsia" w:ascii="仿宋_GB2312" w:hAnsi="仿宋_GB2312" w:eastAsia="仿宋_GB2312" w:cs="仿宋_GB2312"/>
          <w:sz w:val="32"/>
          <w:szCs w:val="32"/>
          <w:lang w:val="en-US" w:eastAsia="zh-CN"/>
        </w:rPr>
        <w:t>。</w:t>
      </w:r>
      <w:bookmarkStart w:id="0" w:name="_GoBack"/>
      <w:bookmarkEnd w:id="0"/>
      <w:r>
        <w:rPr>
          <w:rFonts w:hint="eastAsia" w:ascii="仿宋_GB2312" w:hAnsi="仿宋_GB2312" w:eastAsia="仿宋_GB2312" w:cs="仿宋_GB2312"/>
          <w:sz w:val="32"/>
          <w:szCs w:val="32"/>
          <w:lang w:val="en-US" w:eastAsia="zh-CN"/>
        </w:rPr>
        <w:t>二是车企复杂交错的供应链特性，将加剧透明度披露的难度。法案第13条规定了高风险系统的透明度，意味着新能源车企在出海时需要供应链管理穿透全链条，准确掌握涉及到AI技术的每一个环节。三是受到地缘政治及监管压力双重影响，车企出海门槛将进一步抬升。无论是在欧盟本地设置实体，或中欧业务全面隔离，新能源汽车企业都将持续面临严苛的合规监管要求和较高的合规门槛，且欧盟监管机构具有一定的自由裁量权，这都对车企的海外策略提出了极高的要求。</w:t>
      </w:r>
    </w:p>
    <w:p>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jc w:val="both"/>
        <w:textAlignment w:val="auto"/>
        <w:outlineLvl w:val="0"/>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我出海企业对策建议</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随着</w:t>
      </w:r>
      <w:r>
        <w:rPr>
          <w:rFonts w:hint="default"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t>AI</w:t>
      </w:r>
      <w:r>
        <w:rPr>
          <w:rFonts w:hint="default" w:ascii="仿宋_GB2312" w:hAnsi="仿宋_GB2312" w:eastAsia="仿宋_GB2312" w:cs="仿宋_GB2312"/>
          <w:sz w:val="32"/>
          <w:szCs w:val="32"/>
          <w:lang w:val="en-US" w:eastAsia="zh-CN"/>
        </w:rPr>
        <w:t>法案》的正式实施</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欧盟</w:t>
      </w:r>
      <w:r>
        <w:rPr>
          <w:rFonts w:hint="eastAsia" w:ascii="仿宋_GB2312" w:hAnsi="仿宋_GB2312" w:eastAsia="仿宋_GB2312" w:cs="仿宋_GB2312"/>
          <w:sz w:val="32"/>
          <w:szCs w:val="32"/>
          <w:lang w:val="en-US" w:eastAsia="zh-CN"/>
        </w:rPr>
        <w:t>AI</w:t>
      </w:r>
      <w:r>
        <w:rPr>
          <w:rFonts w:hint="default" w:ascii="仿宋_GB2312" w:hAnsi="仿宋_GB2312" w:eastAsia="仿宋_GB2312" w:cs="仿宋_GB2312"/>
          <w:sz w:val="32"/>
          <w:szCs w:val="32"/>
          <w:lang w:val="en-US" w:eastAsia="zh-CN"/>
        </w:rPr>
        <w:t>办公室将负责对AI模型进行合规性评估</w:t>
      </w:r>
      <w:r>
        <w:rPr>
          <w:rFonts w:hint="eastAsia" w:ascii="仿宋_GB2312" w:hAnsi="仿宋_GB2312" w:eastAsia="仿宋_GB2312" w:cs="仿宋_GB2312"/>
          <w:sz w:val="32"/>
          <w:szCs w:val="32"/>
          <w:lang w:val="en-US" w:eastAsia="zh-CN"/>
        </w:rPr>
        <w:t>。我出海企业需制定全面的合规策略，强化AI工具及跨国人才填补合规盲区，积极参与《AI协议（AI PACT）》及行业标准立项贡献，提前应对潜在的挑战</w:t>
      </w:r>
      <w:r>
        <w:rPr>
          <w:rFonts w:hint="default" w:ascii="仿宋_GB2312" w:hAnsi="仿宋_GB2312" w:eastAsia="仿宋_GB2312" w:cs="仿宋_GB2312"/>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一，加强企业合规建设，推动制定全面的合规策略。我出海企业应结合法案内容，全面评估当前的AI系统及产品的风险等级，明确需承担的义务，缩小与法案要求的差距。加快建立企业自身的数据及算法治理框架，确保符合法案的可解释性和披露要求，定期进行内部与外部审计，并制定风险应急预案。</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第二，强化AI工具使用，广泛吸纳全球人才实现法案合规要求。加快AI治理工具学习及使用，包括可提供文档化的风险管理系统工具AIRO（AI Risk Ontology），以及提供面向人类和机器两种可读模式的AI风险预警工具AI Cards。鼓励企业积极吸纳全球人才，发挥人才语言及文化背景优势，减少对法案的误解及误判。</w:t>
      </w:r>
    </w:p>
    <w:p>
      <w:pPr>
        <w:keepNext w:val="0"/>
        <w:keepLines w:val="0"/>
        <w:pageBreakBefore w:val="0"/>
        <w:widowControl w:val="0"/>
        <w:kinsoku/>
        <w:wordWrap/>
        <w:overflowPunct/>
        <w:topLinePunct w:val="0"/>
        <w:autoSpaceDE/>
        <w:autoSpaceDN/>
        <w:bidi w:val="0"/>
        <w:adjustRightInd/>
        <w:snapToGrid/>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第三，积极参与《AI协议（AI PACT）》及国际行业标准立项。《AI协议》旨在帮助与法案相关的企业更好理解，支持合规行动并共享合规知识，超550个企业、组织和国家已响应。我出海企业应积极参与其中，分享最佳应用实践、及时反馈在合规中面临的挑战。持续加强国际交流合作，参与国际标准中有关AI关键技术、行业应用、安全/治理等方面的研制工作，促进人工智能产业全球化发展。</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Times-Roman">
    <w:altName w:val="Times New Roman"/>
    <w:panose1 w:val="00000000000000000000"/>
    <w:charset w:val="00"/>
    <w:family w:val="auto"/>
    <w:pitch w:val="default"/>
    <w:sig w:usb0="00000000" w:usb1="00000000" w:usb2="00000000" w:usb3="00000000" w:csb0="00000000"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pPr>
        <w:pStyle w:val="4"/>
        <w:snapToGrid w:val="0"/>
        <w:rPr>
          <w:rFonts w:hint="default" w:eastAsia="宋体"/>
          <w:lang w:val="en-US" w:eastAsia="zh-CN"/>
        </w:rPr>
      </w:pPr>
      <w:r>
        <w:rPr>
          <w:rStyle w:val="12"/>
        </w:rPr>
        <w:footnoteRef/>
      </w:r>
      <w:r>
        <w:t xml:space="preserve"> </w:t>
      </w:r>
      <w:r>
        <w:rPr>
          <w:rFonts w:ascii="Times New Roman" w:hAnsi="Times New Roman" w:eastAsia="宋体" w:cs="Times New Roman"/>
          <w:sz w:val="21"/>
          <w:szCs w:val="21"/>
        </w:rPr>
        <w:t>Centre for International Governance Innovation.</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i/>
          <w:iCs/>
          <w:sz w:val="21"/>
          <w:szCs w:val="21"/>
        </w:rPr>
        <w:t>How Much Will the</w:t>
      </w:r>
      <w:r>
        <w:rPr>
          <w:rFonts w:hint="eastAsia" w:ascii="Times New Roman" w:hAnsi="Times New Roman" w:eastAsia="宋体" w:cs="Times New Roman"/>
          <w:i/>
          <w:iCs/>
          <w:sz w:val="21"/>
          <w:szCs w:val="21"/>
          <w:lang w:val="en-US" w:eastAsia="zh-CN"/>
        </w:rPr>
        <w:t xml:space="preserve"> </w:t>
      </w:r>
      <w:r>
        <w:rPr>
          <w:rFonts w:hint="eastAsia" w:ascii="Times New Roman" w:hAnsi="Times New Roman" w:eastAsia="宋体" w:cs="Times New Roman"/>
          <w:i/>
          <w:iCs/>
          <w:sz w:val="21"/>
          <w:szCs w:val="21"/>
        </w:rPr>
        <w:t>Artificial Intelligence Ac</w:t>
      </w:r>
      <w:r>
        <w:rPr>
          <w:rFonts w:hint="eastAsia" w:ascii="Times New Roman" w:hAnsi="Times New Roman" w:eastAsia="宋体" w:cs="Times New Roman"/>
          <w:i/>
          <w:iCs/>
          <w:sz w:val="21"/>
          <w:szCs w:val="21"/>
          <w:lang w:val="en-US" w:eastAsia="zh-CN"/>
        </w:rPr>
        <w:t xml:space="preserve">t </w:t>
      </w:r>
      <w:r>
        <w:rPr>
          <w:rFonts w:hint="eastAsia" w:ascii="Times New Roman" w:hAnsi="Times New Roman" w:eastAsia="宋体" w:cs="Times New Roman"/>
          <w:i/>
          <w:iCs/>
          <w:sz w:val="21"/>
          <w:szCs w:val="21"/>
        </w:rPr>
        <w:t>Cost Europe</w:t>
      </w:r>
      <w:r>
        <w:rPr>
          <w:rFonts w:hint="eastAsia" w:ascii="Times New Roman" w:hAnsi="Times New Roman" w:eastAsia="宋体" w:cs="Times New Roman"/>
          <w:i/>
          <w:iCs/>
          <w:sz w:val="21"/>
          <w:szCs w:val="21"/>
          <w:lang w:val="en-US" w:eastAsia="zh-CN"/>
        </w:rPr>
        <w:t xml:space="preserve">. </w:t>
      </w:r>
      <w:r>
        <w:rPr>
          <w:rFonts w:hint="eastAsia" w:ascii="Times New Roman" w:hAnsi="Times New Roman" w:eastAsia="宋体" w:cs="Times New Roman"/>
          <w:i w:val="0"/>
          <w:iCs w:val="0"/>
          <w:sz w:val="21"/>
          <w:szCs w:val="21"/>
          <w:lang w:val="en-US" w:eastAsia="zh-CN"/>
        </w:rPr>
        <w:t>https://www2.datainnovation.org/2021-aia-costs.pdf</w:t>
      </w:r>
    </w:p>
  </w:footnote>
  <w:footnote w:id="1">
    <w:p>
      <w:pPr>
        <w:pStyle w:val="4"/>
        <w:snapToGrid w:val="0"/>
        <w:rPr>
          <w:rFonts w:hint="default" w:eastAsia="宋体"/>
          <w:lang w:val="en-US" w:eastAsia="zh-CN"/>
        </w:rPr>
      </w:pPr>
      <w:r>
        <w:rPr>
          <w:rStyle w:val="12"/>
        </w:rPr>
        <w:footnoteRef/>
      </w:r>
      <w:r>
        <w:t xml:space="preserve"> </w:t>
      </w:r>
      <w:r>
        <w:rPr>
          <w:rFonts w:hint="eastAsia" w:ascii="Times New Roman" w:hAnsi="Times New Roman" w:eastAsia="宋体" w:cs="Times New Roman"/>
          <w:sz w:val="21"/>
          <w:szCs w:val="21"/>
          <w:lang w:val="en-US" w:eastAsia="zh-CN"/>
        </w:rPr>
        <w:t xml:space="preserve">Euractiv. </w:t>
      </w:r>
      <w:r>
        <w:rPr>
          <w:rFonts w:hint="eastAsia" w:ascii="Times New Roman" w:hAnsi="Times New Roman" w:eastAsia="宋体" w:cs="Times New Roman"/>
          <w:i/>
          <w:iCs/>
          <w:sz w:val="21"/>
          <w:szCs w:val="21"/>
        </w:rPr>
        <w:t>The European Commission</w:t>
      </w:r>
      <w:r>
        <w:rPr>
          <w:rFonts w:hint="default" w:ascii="Times New Roman" w:hAnsi="Times New Roman" w:eastAsia="宋体" w:cs="Times New Roman"/>
          <w:i/>
          <w:iCs/>
          <w:sz w:val="21"/>
          <w:szCs w:val="21"/>
          <w:lang w:val="en-US" w:eastAsia="zh-CN"/>
        </w:rPr>
        <w:t>’</w:t>
      </w:r>
      <w:r>
        <w:rPr>
          <w:rFonts w:hint="eastAsia" w:ascii="Times New Roman" w:hAnsi="Times New Roman" w:eastAsia="宋体" w:cs="Times New Roman"/>
          <w:i/>
          <w:iCs/>
          <w:sz w:val="21"/>
          <w:szCs w:val="21"/>
        </w:rPr>
        <w:t>s assessment of how to define high-risk products relative to sectoral rules</w:t>
      </w:r>
      <w:r>
        <w:rPr>
          <w:rFonts w:hint="eastAsia" w:ascii="Times New Roman" w:hAnsi="Times New Roman" w:eastAsia="宋体" w:cs="Times New Roman"/>
          <w:i/>
          <w:iCs/>
          <w:sz w:val="21"/>
          <w:szCs w:val="21"/>
          <w:lang w:val="en-US" w:eastAsia="zh-CN"/>
        </w:rPr>
        <w:t>.</w:t>
      </w:r>
      <w:r>
        <w:rPr>
          <w:rFonts w:hint="eastAsia" w:ascii="Times New Roman" w:hAnsi="Times New Roman" w:eastAsia="宋体" w:cs="Times New Roman"/>
          <w:i w:val="0"/>
          <w:iCs w:val="0"/>
          <w:sz w:val="21"/>
          <w:szCs w:val="21"/>
          <w:lang w:val="en-US" w:eastAsia="zh-CN"/>
        </w:rPr>
        <w:t>https://www.euractiv.com/section/artificial-intelligence/news/the-european-commissions-assessment-of-how-to-define-high-risk-products-relative-to-sectoral-rules/</w:t>
      </w:r>
    </w:p>
  </w:footnote>
  <w:footnote w:id="2">
    <w:p>
      <w:pPr>
        <w:pStyle w:val="4"/>
        <w:snapToGrid w:val="0"/>
        <w:rPr>
          <w:rFonts w:hint="default" w:eastAsia="宋体"/>
          <w:lang w:val="en-US" w:eastAsia="zh-CN"/>
        </w:rPr>
      </w:pPr>
      <w:r>
        <w:rPr>
          <w:rStyle w:val="12"/>
        </w:rPr>
        <w:footnoteRef/>
      </w:r>
      <w:r>
        <w:t xml:space="preserve"> </w:t>
      </w:r>
      <w:r>
        <w:rPr>
          <w:rFonts w:hint="eastAsia" w:ascii="Times New Roman" w:hAnsi="Times New Roman" w:eastAsia="宋体" w:cs="Times New Roman"/>
          <w:sz w:val="21"/>
          <w:szCs w:val="21"/>
          <w:lang w:val="en-US" w:eastAsia="zh-CN"/>
        </w:rPr>
        <w:t>爱立信</w:t>
      </w:r>
      <w:r>
        <w:rPr>
          <w:rFonts w:hint="eastAsia"/>
          <w:lang w:val="en-US" w:eastAsia="zh-CN"/>
        </w:rPr>
        <w:t xml:space="preserve">. </w:t>
      </w:r>
      <w:r>
        <w:rPr>
          <w:rFonts w:hint="eastAsia" w:ascii="Times New Roman" w:hAnsi="Times New Roman" w:eastAsia="宋体" w:cs="Times New Roman"/>
          <w:i/>
          <w:iCs/>
          <w:sz w:val="21"/>
          <w:szCs w:val="21"/>
        </w:rPr>
        <w:t>人工智能的业务潜力</w:t>
      </w:r>
      <w:r>
        <w:rPr>
          <w:rFonts w:hint="eastAsia" w:ascii="宋体" w:hAnsi="宋体" w:eastAsia="宋体" w:cs="宋体"/>
          <w:sz w:val="24"/>
          <w:szCs w:val="24"/>
          <w:lang w:val="en-US" w:eastAsia="zh-CN"/>
        </w:rPr>
        <w:t xml:space="preserve">. </w:t>
      </w:r>
      <w:r>
        <w:rPr>
          <w:rFonts w:hint="eastAsia" w:ascii="Times New Roman" w:hAnsi="Times New Roman" w:eastAsia="宋体" w:cs="Times New Roman"/>
          <w:i w:val="0"/>
          <w:iCs w:val="0"/>
          <w:sz w:val="21"/>
          <w:szCs w:val="21"/>
          <w:lang w:val="en-US" w:eastAsia="zh-CN"/>
        </w:rPr>
        <w:t>https://www.ericsson.com/4ae2aa/assets/local/press-releases/asia/2022/ai-business-potential-cn.pdf</w:t>
      </w:r>
    </w:p>
  </w:footnote>
  <w:footnote w:id="3">
    <w:p>
      <w:pPr>
        <w:pStyle w:val="4"/>
        <w:snapToGrid w:val="0"/>
        <w:rPr>
          <w:rFonts w:hint="default" w:eastAsiaTheme="minorEastAsia"/>
          <w:lang w:val="en-US" w:eastAsia="zh-CN"/>
        </w:rPr>
      </w:pPr>
      <w:r>
        <w:rPr>
          <w:rStyle w:val="12"/>
        </w:rPr>
        <w:footnoteRef/>
      </w:r>
      <w:r>
        <w:t xml:space="preserve"> </w:t>
      </w:r>
      <w:r>
        <w:rPr>
          <w:rFonts w:hint="eastAsia"/>
          <w:lang w:val="en-US" w:eastAsia="zh-CN"/>
        </w:rPr>
        <w:t xml:space="preserve">BEREC. </w:t>
      </w:r>
      <w:r>
        <w:rPr>
          <w:rFonts w:hint="eastAsia"/>
          <w:i/>
          <w:iCs/>
          <w:lang w:val="en-US" w:eastAsia="zh-CN"/>
        </w:rPr>
        <w:t xml:space="preserve">BEREC Report on the impact of Artificial Intelligence (AI) solutions in the telecommunications sector on regulation. </w:t>
      </w:r>
      <w:r>
        <w:rPr>
          <w:rFonts w:hint="eastAsia" w:ascii="Times New Roman" w:hAnsi="Times New Roman" w:eastAsia="宋体" w:cs="Times New Roman"/>
          <w:i w:val="0"/>
          <w:iCs w:val="0"/>
          <w:sz w:val="21"/>
          <w:szCs w:val="21"/>
          <w:lang w:val="en-US" w:eastAsia="zh-CN"/>
        </w:rPr>
        <w:t>https://www.berec.europa.eu/system/files/2023-06/BoR%20%2823%29%2093%20BEREC%20Report%20on%20impact%20of%20AI%20solutions%20in%20telecom%20sector%20on%20regulation.pdf</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D6C83C"/>
    <w:multiLevelType w:val="singleLevel"/>
    <w:tmpl w:val="CBD6C83C"/>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197AA5"/>
    <w:rsid w:val="00864D66"/>
    <w:rsid w:val="05E172C5"/>
    <w:rsid w:val="09483348"/>
    <w:rsid w:val="129B1196"/>
    <w:rsid w:val="16162394"/>
    <w:rsid w:val="16504AAA"/>
    <w:rsid w:val="201D6139"/>
    <w:rsid w:val="22E13918"/>
    <w:rsid w:val="24A45EA8"/>
    <w:rsid w:val="27173AAF"/>
    <w:rsid w:val="2E7126C2"/>
    <w:rsid w:val="30276E35"/>
    <w:rsid w:val="30761B12"/>
    <w:rsid w:val="35622F24"/>
    <w:rsid w:val="393206E7"/>
    <w:rsid w:val="39453CBA"/>
    <w:rsid w:val="3F0874F8"/>
    <w:rsid w:val="3FBA5493"/>
    <w:rsid w:val="413E3C61"/>
    <w:rsid w:val="49252811"/>
    <w:rsid w:val="4BD137D9"/>
    <w:rsid w:val="4BFE0986"/>
    <w:rsid w:val="4F552FB6"/>
    <w:rsid w:val="51273D3C"/>
    <w:rsid w:val="51321B92"/>
    <w:rsid w:val="55433722"/>
    <w:rsid w:val="5BD04063"/>
    <w:rsid w:val="61AF0DF4"/>
    <w:rsid w:val="62BF6990"/>
    <w:rsid w:val="67875D22"/>
    <w:rsid w:val="6A93205F"/>
    <w:rsid w:val="6CB711B3"/>
    <w:rsid w:val="6E987306"/>
    <w:rsid w:val="737B436F"/>
    <w:rsid w:val="7A296B4A"/>
    <w:rsid w:val="7ADC0327"/>
    <w:rsid w:val="7B892E4C"/>
    <w:rsid w:val="7FCC2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footnote text"/>
    <w:basedOn w:val="1"/>
    <w:qFormat/>
    <w:uiPriority w:val="0"/>
    <w:pPr>
      <w:snapToGrid w:val="0"/>
      <w:jc w:val="left"/>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character" w:styleId="12">
    <w:name w:val="footnote reference"/>
    <w:basedOn w:val="8"/>
    <w:qFormat/>
    <w:uiPriority w:val="0"/>
    <w:rPr>
      <w:vertAlign w:val="superscript"/>
    </w:rPr>
  </w:style>
  <w:style w:type="character" w:customStyle="1" w:styleId="13">
    <w:name w:val="fontstyle01"/>
    <w:basedOn w:val="8"/>
    <w:qFormat/>
    <w:uiPriority w:val="0"/>
    <w:rPr>
      <w:rFonts w:ascii="仿宋_GB2312" w:hAnsi="仿宋_GB2312" w:eastAsia="仿宋_GB2312" w:cs="仿宋_GB2312"/>
      <w:color w:val="222222"/>
      <w:sz w:val="32"/>
      <w:szCs w:val="32"/>
    </w:rPr>
  </w:style>
  <w:style w:type="character" w:customStyle="1" w:styleId="14">
    <w:name w:val="fontstyle11"/>
    <w:basedOn w:val="8"/>
    <w:qFormat/>
    <w:uiPriority w:val="0"/>
    <w:rPr>
      <w:rFonts w:ascii="Times-Roman" w:hAnsi="Times-Roman" w:eastAsia="Times-Roman" w:cs="Times-Roman"/>
      <w:color w:val="000000"/>
      <w:sz w:val="26"/>
      <w:szCs w:val="26"/>
    </w:rPr>
  </w:style>
  <w:style w:type="character" w:customStyle="1" w:styleId="15">
    <w:name w:val="fontstyle21"/>
    <w:basedOn w:val="8"/>
    <w:qFormat/>
    <w:uiPriority w:val="0"/>
    <w:rPr>
      <w:rFonts w:ascii="Times-Roman" w:hAnsi="Times-Roman" w:eastAsia="Times-Roman" w:cs="Times-Roman"/>
      <w:color w:val="000000"/>
      <w:sz w:val="26"/>
      <w:szCs w:val="2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emf"/><Relationship Id="rId7" Type="http://schemas.openxmlformats.org/officeDocument/2006/relationships/image" Target="media/image3.emf"/><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8</Pages>
  <Words>3096</Words>
  <Characters>3323</Characters>
  <Lines>0</Lines>
  <Paragraphs>0</Paragraphs>
  <TotalTime>10</TotalTime>
  <ScaleCrop>false</ScaleCrop>
  <LinksUpToDate>false</LinksUpToDate>
  <CharactersWithSpaces>3353</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2024-07-18T00:57:00Z</dcterms:created>
  <dc:creator>NA</dc:creator>
  <cp:lastModifiedBy>NA</cp:lastModifiedBy>
  <dcterms:modified xsi:type="dcterms:W3CDTF">2024-07-29T05:08:10Z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8E5282AC6F2648B6BF86F2E285F1FE8C_13</vt:lpwstr>
  </property>
</Properties>
</file>