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45BF6">
      <w:pPr>
        <w:spacing w:line="360" w:lineRule="auto"/>
        <w:jc w:val="center"/>
        <w:rPr>
          <w:rFonts w:hint="eastAsia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专线业务资费模式创新研究</w:t>
      </w:r>
    </w:p>
    <w:p w14:paraId="0086CD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/>
          <w:b/>
          <w:bCs/>
          <w:sz w:val="44"/>
          <w:szCs w:val="44"/>
          <w:lang w:val="en-US" w:eastAsia="zh-CN"/>
        </w:rPr>
      </w:pPr>
    </w:p>
    <w:p w14:paraId="2308BAC2">
      <w:pPr>
        <w:spacing w:line="360" w:lineRule="auto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受益于企业数字化和云化转型的加速，对高带宽、低时延、高性能的专线需求不断提高。然而，随着运营商间专线市场的竞争加剧，中电信在资费构建及流程方面存在不灵活、不合理等一些问题亟待解决。本文将通过客户需求分析、友商与标杆对标等方式，结合弹性带宽等新服务模式，提出专线资费模式优化建议，为中电信专线高质量发展提供借鉴。</w:t>
      </w:r>
    </w:p>
    <w:p w14:paraId="386222E0">
      <w:pPr>
        <w:numPr>
          <w:ilvl w:val="0"/>
          <w:numId w:val="0"/>
        </w:numPr>
        <w:bidi w:val="0"/>
        <w:ind w:left="418" w:leftChars="199" w:firstLine="222" w:firstLineChars="69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一、中电信专线拓展内部问题发现</w:t>
      </w:r>
    </w:p>
    <w:p w14:paraId="66EB0992">
      <w:pPr>
        <w:ind w:firstLine="640" w:firstLineChars="200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通过对福建、湖南、宁夏、浙江、四川、广西、海南、内蒙等8个省公司的调研结果显示，现阶段中国电信专线市场拓展主要问题除价格外，调研省份对传统专线产品资费模式、审批流程及内部规则不规范等问题反馈的更多。</w:t>
      </w:r>
    </w:p>
    <w:p w14:paraId="0705D7E0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（一）传统专线产品资费不灵活与不合理成为主要问题</w:t>
      </w:r>
    </w:p>
    <w:p w14:paraId="65B9AACE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1.标准资费过高。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普遍反映专线产品的标资过高，包括OTN、MSTP和SDH等产品，与友商竞争中不占优势。</w:t>
      </w:r>
    </w:p>
    <w:p w14:paraId="370FF194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2.定价不合理。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资费构成中包含一次性安装调测费，但因为竞争等原因省内几乎收不到。</w:t>
      </w:r>
    </w:p>
    <w:p w14:paraId="0ADE2410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3.一线权限不足。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省际电路的审批权限基线价以下依旧在集团，省内响应较慢，遇到竞争时一线不敢承诺价格。</w:t>
      </w:r>
    </w:p>
    <w:p w14:paraId="46BBA7DF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4.审批流程多。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线路升带宽以及产品体验，都需要发起审批流程，影响一线效率，特别是在传统组网产品上更为明显。</w:t>
      </w:r>
    </w:p>
    <w:p w14:paraId="4DA5C7AB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5.内部规则待优化。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系统0元受理问题，一次性费用默认免费造成流失，产品属性更新不及时等问题。</w:t>
      </w:r>
    </w:p>
    <w:p w14:paraId="539E1C93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（二）友商相对更灵活的流程与低资费带来压力</w:t>
      </w:r>
    </w:p>
    <w:p w14:paraId="19286B4E">
      <w:pPr>
        <w:ind w:firstLine="640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友商在资费模式上基本与电信相同，但通过低价、体验、返还等多种方式争夺专线客户，对传统专线产品带来较大竞争压力。</w:t>
      </w:r>
    </w:p>
    <w:p w14:paraId="42168E5D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1.低价竞争。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几乎所有调研省份均反映友商资费明显低于电信，可以达到电信资费的1/3。</w:t>
      </w:r>
    </w:p>
    <w:p w14:paraId="5424D424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2.灵活体验。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部分地区需要走价格审批申请0元试用或申请免费提速，而友商可以直接快速提供免费试用或免费提速。</w:t>
      </w:r>
    </w:p>
    <w:p w14:paraId="4FB07055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3.资费返还。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采用低价+话费返还方式，返还额度可达到50%-100%。</w:t>
      </w:r>
    </w:p>
    <w:p w14:paraId="0C39871B">
      <w:pPr>
        <w:numPr>
          <w:ilvl w:val="0"/>
          <w:numId w:val="0"/>
        </w:numPr>
        <w:bidi w:val="0"/>
        <w:ind w:left="418" w:leftChars="199" w:firstLine="222" w:firstLineChars="69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二、客户专线服务需求分析</w:t>
      </w:r>
    </w:p>
    <w:p w14:paraId="21209E00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（一）客户对网络连接提出更高需求</w:t>
      </w:r>
    </w:p>
    <w:p w14:paraId="227CB879">
      <w:pPr>
        <w:ind w:firstLine="643" w:firstLineChars="200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1.以公有云为基础的连接需求成为网络支出主要驱动因素，也对连接提出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了更高要求。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2024年全球企业网络服务支出驱动因素中，公有云部署率的提升成为主要驱动力，占比达42%</w:t>
      </w:r>
      <w:r>
        <w:rPr>
          <w:rStyle w:val="9"/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footnoteReference w:id="0"/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。同时，对连接的诉求集中于高可靠性、智能运维、大带宽、低时延和高稳定性等五方面，其中高可靠性和智能运维是重中之重</w:t>
      </w:r>
      <w:r>
        <w:rPr>
          <w:rStyle w:val="9"/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footnoteReference w:id="1"/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。</w:t>
      </w:r>
    </w:p>
    <w:p w14:paraId="57D3B069">
      <w:pPr>
        <w:rPr>
          <w:rFonts w:hint="default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1135" cy="1873885"/>
            <wp:effectExtent l="0" t="0" r="571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0F1F">
      <w:pPr>
        <w:ind w:firstLine="643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2.企业应用环境日趋复杂，高性能连接成为基础要求。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多云环境逐渐成为主流，88%的企业管理着多云环境， 61%的组织有应用迁移上云的需求</w:t>
      </w:r>
      <w:r>
        <w:rPr>
          <w:rStyle w:val="9"/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footnoteReference w:id="2"/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，多云多区、数据中心之间的连接与资源管理成为企业重点关注问题，使得稳定、高性能、安全连接成为实现多云应用的前提与基础，以确保跨环境的数据交互与调用，以及应用的正常使用。</w:t>
      </w:r>
    </w:p>
    <w:p w14:paraId="56986599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（二）对专线的技术与性能需求不断提升</w:t>
      </w:r>
    </w:p>
    <w:p w14:paraId="0F6C97FC">
      <w:pPr>
        <w:ind w:firstLine="643" w:firstLineChars="200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1.明确的带宽与性能升级需求。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95%企业希望未来两年内升级带宽，63%希望带宽增加一倍以上。</w:t>
      </w:r>
    </w:p>
    <w:p w14:paraId="086A8263">
      <w:pPr>
        <w:ind w:firstLine="643" w:firstLineChars="200"/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2.传统专线技术升级需求迫切，光专线的需求渐成主流。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90%以上被访者计划在未来两年内替换现有TDM/MSTP专线，以保持或提升专线性能，绝大部分（99%）还没有使用OTN/WDM专线的企业会考虑光网络，但是要求专线业务套餐更加灵活。行业方面，金融（46%）、制造业（45%）以及政府、能源、媒体（&gt;30%）等行业对光专线的需求较高</w:t>
      </w:r>
      <w:r>
        <w:rPr>
          <w:rStyle w:val="9"/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footnoteReference w:id="3"/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。</w:t>
      </w:r>
    </w:p>
    <w:p w14:paraId="561FEC70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（三）不同行业专线需求具有差异性</w:t>
      </w:r>
    </w:p>
    <w:p w14:paraId="4C19DF5E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1.金融、政府、医疗等行业对专线的需求较多集中于性能方面。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以金融为例，专线在金融行业主要应用于低时延金融交易、数据隐私合规等场景，对低时延、高安全、高可用性/可靠性等性能具有高需求。</w:t>
      </w:r>
    </w:p>
    <w:p w14:paraId="30A14D15">
      <w:pPr>
        <w:ind w:firstLine="640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2.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制造、媒体、新零售等部分行业对专线的需求体现出较强的灵活性需求。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以媒体为例，专线在媒体领域主要应用于云上视频渲染处理、视频内容上传等场景，除对高带宽有较高需求外，对弹性按需带宽提出要求，以应对大型视频文件的上传处理与发布。</w:t>
      </w:r>
    </w:p>
    <w:p w14:paraId="6336E02D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150" cy="1997710"/>
            <wp:effectExtent l="0" t="0" r="1270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C7BF">
      <w:pPr>
        <w:numPr>
          <w:ilvl w:val="0"/>
          <w:numId w:val="0"/>
        </w:num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园区因区内企业可能对带宽有高品质或弹性资费需求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，特别是提供带宽接入的孵化器，或带宽转售园区。</w:t>
      </w:r>
    </w:p>
    <w:p w14:paraId="0DBA790C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1135" cy="2124075"/>
            <wp:effectExtent l="0" t="0" r="571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F5BA">
      <w:pPr>
        <w:numPr>
          <w:ilvl w:val="0"/>
          <w:numId w:val="0"/>
        </w:numPr>
        <w:bidi w:val="0"/>
        <w:ind w:left="418" w:leftChars="199" w:firstLine="222" w:firstLineChars="69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三、友商与标杆研究</w:t>
      </w:r>
    </w:p>
    <w:p w14:paraId="0C4128DB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（一）中移动不断完善专线产品体系，积极发展增值服务</w:t>
      </w:r>
    </w:p>
    <w:p w14:paraId="636D38B4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1.完善专线产品体系，加快产品落地与试点。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组网专线方面，加快OTN小型CPE设备集采上量集采，同时在8省开展SPN+5G固移融合云专线试点；互联网专线方面，推动融C发展，目前已经形成弹性带宽要求，并与C端结合，形成价格优势，争夺市场；E企组网方面，加速在多个省份的落地，目前锁定8个省份进行试点落地（2省推广中，6省9月底落地推广），同时修订装维规范，10月底完成平台改造，实现终端纳管。</w:t>
      </w:r>
    </w:p>
    <w:p w14:paraId="395BDC41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2.下调底线价格，提升一线报价灵活性。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普通双跨专线、OTN精品专网专线底线价格下调45%；省内专线(跨地市数据专线、本地数据专线)按相同比例下调底线价格。下调后相对电信、联通具有较为明显的价格优势。</w:t>
      </w:r>
    </w:p>
    <w:p w14:paraId="2B8826FD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</w:rPr>
        <w:drawing>
          <wp:inline distT="0" distB="0" distL="114300" distR="114300">
            <wp:extent cx="5267960" cy="1341755"/>
            <wp:effectExtent l="0" t="0" r="889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5E6A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3.积极发展增值服务，融合发展。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除低价竞争外，通过与增值服务融合以及与移动业务的捆绑，降低客户总体拥有成本，提升互联网产品竞争力。如“专线+”无忧服务，以专线/企业宽带+e企组网+专线卫士+专线管家向客户侧网络延伸，提供1条专线+1张内网+N项服务的一体化解决方案。</w:t>
      </w:r>
    </w:p>
    <w:p w14:paraId="69617FE9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4.利用启明星辰能力提升专线卫士功能与竞争力。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收购启明星辰后，利用其安全能力丰富专线卫士功能，提升产品竞争力。</w:t>
      </w:r>
    </w:p>
    <w:p w14:paraId="54210586">
      <w:pPr>
        <w:ind w:firstLine="420" w:firstLineChars="200"/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4310" cy="2119630"/>
            <wp:effectExtent l="0" t="0" r="2540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E91C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（二）中联通以弹性带块与灵活计费服务企业上云需求</w:t>
      </w:r>
    </w:p>
    <w:p w14:paraId="28DF8D5D">
      <w:pPr>
        <w:ind w:firstLine="640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联通企业上云专线支持弹性带宽与按天灵活计费，保证用户弹性带宽需求。</w:t>
      </w:r>
    </w:p>
    <w:p w14:paraId="37726B29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1.以互联网方式访问云端应用。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基于FTTO的标准开通方案，自动网络配置，用户可实现自助调整带宽，同时叠加vFW增值功能，满足客户安全防护功能需求。</w:t>
      </w:r>
    </w:p>
    <w:p w14:paraId="6BBD0FB6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2.随选网络，按需自助，实现用户到云的灵活连接。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多种混合链路接入，以比MPLS较低的成本（Internet）保障可靠性。同时智能选路使得重要的应用走高SLA的链路，如MPLS，而低SLA需求的应用走Internet，降低用户成本投入。</w:t>
      </w:r>
    </w:p>
    <w:p w14:paraId="76E6B79A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（三）Console connect按需网络与弹性计费满足客户需求</w:t>
      </w:r>
    </w:p>
    <w:p w14:paraId="14269215">
      <w:pPr>
        <w:ind w:firstLine="640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Console Connect是一家NaaS（网络及服务）服务提供商，拥有骨干传输网络，并通过与当地网络服务商合作，向客户提供自选网络服务，包括专属Layer 2 及 Layer 3 连接及互联网服务。</w:t>
      </w:r>
    </w:p>
    <w:p w14:paraId="25106702">
      <w:pPr>
        <w:numPr>
          <w:ilvl w:val="0"/>
          <w:numId w:val="0"/>
        </w:num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按需网络。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支持快速开通与带宽弹性调整，以应对突发需求，通过管理平台即可实现在线调整、计费等。并根据网络上特定设备需求来分配网络资源，把更多的带宽分配给正经历高峰需求的节点。</w:t>
      </w:r>
    </w:p>
    <w:p w14:paraId="4AFF4A5B">
      <w:pPr>
        <w:numPr>
          <w:ilvl w:val="0"/>
          <w:numId w:val="0"/>
        </w:num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2.按需计费。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2"/>
          <w:sz w:val="32"/>
          <w:szCs w:val="32"/>
          <w:lang w:val="en-US" w:eastAsia="zh-CN" w:bidi="ar-SA"/>
        </w:rPr>
        <w:t>对单一线路可以选择固定费率，或按实际使用流量（以G计算）计费。</w:t>
      </w:r>
    </w:p>
    <w:p w14:paraId="71382966">
      <w:pPr>
        <w:numPr>
          <w:ilvl w:val="0"/>
          <w:numId w:val="0"/>
        </w:numPr>
        <w:ind w:firstLine="643" w:firstLineChars="200"/>
        <w:rPr>
          <w:rFonts w:hint="default" w:ascii="方正仿宋_GB2312" w:hAnsi="方正仿宋_GB2312" w:eastAsia="方正仿宋_GB2312" w:cs="方正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3.资源分配调整。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2"/>
          <w:sz w:val="32"/>
          <w:szCs w:val="32"/>
          <w:lang w:val="en-US" w:eastAsia="zh-CN" w:bidi="ar-SA"/>
        </w:rPr>
        <w:t>调低原有业务所需带宽，以富余带宽+新增弹性带宽支持紧急传输需求，弹性部分按照超出带宽计费，回调后恢复原始计费。</w:t>
      </w:r>
    </w:p>
    <w:p w14:paraId="0F454BFC">
      <w:pPr>
        <w:numPr>
          <w:ilvl w:val="0"/>
          <w:numId w:val="0"/>
        </w:numPr>
        <w:bidi w:val="0"/>
        <w:ind w:left="418" w:leftChars="199" w:firstLine="222" w:firstLineChars="69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四、优化提升建议</w:t>
      </w:r>
    </w:p>
    <w:p w14:paraId="2A86A8C9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（一）分目标客户群的资费策略</w:t>
      </w:r>
    </w:p>
    <w:p w14:paraId="5B33B18B">
      <w:pPr>
        <w:ind w:firstLine="640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理解不同行业弹性带宽应用场景，根据客户诉求将客户划分为“性能” 与“灵活” 两类，分别满足其不同需求。</w:t>
      </w:r>
    </w:p>
    <w:p w14:paraId="771CC5A6">
      <w:pPr>
        <w:ind w:firstLine="420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785" cy="1974215"/>
            <wp:effectExtent l="0" t="0" r="12065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B0B4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（二）专线与增值服务融合提升专线竞争力</w:t>
      </w:r>
    </w:p>
    <w:p w14:paraId="0D27B4BD">
      <w:pPr>
        <w:ind w:firstLine="640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针对IT能力相对较弱客户，提供融合增值服务的行业化套餐，提升单位客户价值，深度绑定客户。</w:t>
      </w:r>
    </w:p>
    <w:p w14:paraId="028FCF3A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1135" cy="1524635"/>
            <wp:effectExtent l="0" t="0" r="5715" b="184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5CB8">
      <w:pPr>
        <w:numPr>
          <w:ilvl w:val="0"/>
          <w:numId w:val="0"/>
        </w:numPr>
        <w:bidi w:val="0"/>
        <w:ind w:left="420" w:leftChars="0" w:firstLine="0" w:firstLineChars="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（三）优化资费相关服务与流程</w:t>
      </w:r>
    </w:p>
    <w:p w14:paraId="6E76756C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1.个性化调整与资费可见。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网络管理平台支持带宽自助调整，同时资费实时计算与呈现，提升客户感知。</w:t>
      </w:r>
    </w:p>
    <w:p w14:paraId="619FD3C5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2.计费周期更灵活。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支持2年、3年、5年等多年期缴费需求，同时调整计费方式，支持小时、月、季、半年、年等。</w:t>
      </w:r>
    </w:p>
    <w:p w14:paraId="5DF480DC">
      <w:pPr>
        <w:ind w:firstLine="643" w:firstLineChars="200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3.</w:t>
      </w:r>
      <w:r>
        <w:rPr>
          <w:rFonts w:hint="default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支持新品试用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向重点客户且需求明确客户提供OTN等线路试用服务或提供覆盖成本的线路使用服务。</w:t>
      </w:r>
    </w:p>
    <w:p w14:paraId="77FE5BEC">
      <w:pPr>
        <w:ind w:firstLine="643" w:firstLineChars="200"/>
        <w:rPr>
          <w:rFonts w:hint="default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4.</w:t>
      </w:r>
      <w:r>
        <w:rPr>
          <w:rFonts w:hint="default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缩短流程加快反应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明确更多业务保底价格，向省内或一线开放更多权限，提升一线反应速度，提升竞争力。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019CB3A-A996-4161-BA95-9AE96D0189C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39705DE6-CB10-43D3-A746-A29E7C82FC3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5E310EF3-8554-491C-8274-143FDED29354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CEF8E6A6-F5D8-4E8B-AD7A-0D816E77102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8">
    <w:p>
      <w:r>
        <w:separator/>
      </w:r>
    </w:p>
  </w:footnote>
  <w:footnote w:type="continuationSeparator" w:id="9">
    <w:p>
      <w:r>
        <w:continuationSeparator/>
      </w:r>
    </w:p>
  </w:footnote>
  <w:footnote w:id="0">
    <w:p w14:paraId="7131D5C5">
      <w:pPr>
        <w:pStyle w:val="5"/>
        <w:snapToGrid w:val="0"/>
        <w:rPr>
          <w:rFonts w:hint="eastAsia" w:eastAsiaTheme="minorEastAsia"/>
          <w:lang w:val="en-US" w:eastAsia="zh-CN"/>
        </w:rPr>
      </w:pPr>
      <w:r>
        <w:rPr>
          <w:rStyle w:val="9"/>
        </w:rPr>
        <w:footnoteRef/>
      </w:r>
      <w:r>
        <w:t xml:space="preserve"> </w:t>
      </w:r>
      <w:r>
        <w:rPr>
          <w:rFonts w:hint="eastAsia"/>
          <w:lang w:val="en-US" w:eastAsia="zh-CN"/>
        </w:rPr>
        <w:t>数据来源：OMDIA，全球企业专线行业报告</w:t>
      </w:r>
    </w:p>
  </w:footnote>
  <w:footnote w:id="1">
    <w:p w14:paraId="48929049">
      <w:pPr>
        <w:pStyle w:val="5"/>
        <w:snapToGrid w:val="0"/>
        <w:rPr>
          <w:rFonts w:hint="eastAsia" w:eastAsiaTheme="minorEastAsia"/>
          <w:lang w:val="en-US" w:eastAsia="zh-CN"/>
        </w:rPr>
      </w:pPr>
      <w:r>
        <w:rPr>
          <w:rStyle w:val="9"/>
        </w:rPr>
        <w:footnoteRef/>
      </w:r>
      <w:r>
        <w:t xml:space="preserve"> </w:t>
      </w:r>
      <w:r>
        <w:rPr>
          <w:rFonts w:hint="eastAsia"/>
          <w:lang w:val="en-US" w:eastAsia="zh-CN"/>
        </w:rPr>
        <w:t>数据来源：OFCOM</w:t>
      </w:r>
    </w:p>
  </w:footnote>
  <w:footnote w:id="2">
    <w:p w14:paraId="78129CE4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9"/>
        </w:rPr>
        <w:footnoteRef/>
      </w:r>
      <w:r>
        <w:t xml:space="preserve"> </w:t>
      </w:r>
      <w:r>
        <w:rPr>
          <w:rFonts w:hint="eastAsia"/>
          <w:lang w:val="en-US" w:eastAsia="zh-CN"/>
        </w:rPr>
        <w:t>数据来源：OMDIA，全球企业专线行业报告</w:t>
      </w:r>
    </w:p>
  </w:footnote>
  <w:footnote w:id="3">
    <w:p w14:paraId="144F9184">
      <w:pPr>
        <w:pStyle w:val="5"/>
        <w:snapToGrid w:val="0"/>
        <w:rPr>
          <w:rFonts w:hint="eastAsia" w:eastAsiaTheme="minorEastAsia"/>
          <w:lang w:val="en-US" w:eastAsia="zh-CN"/>
        </w:rPr>
      </w:pPr>
      <w:r>
        <w:rPr>
          <w:rStyle w:val="9"/>
        </w:rPr>
        <w:footnoteRef/>
      </w:r>
      <w:r>
        <w:t xml:space="preserve"> </w:t>
      </w:r>
      <w:r>
        <w:rPr>
          <w:rFonts w:hint="eastAsia"/>
          <w:lang w:val="en-US" w:eastAsia="zh-CN"/>
        </w:rPr>
        <w:t>数据来源：OMDIA，全球企业专线行业报告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8"/>
    <w:footnote w:id="9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01B34A70"/>
    <w:rsid w:val="04157420"/>
    <w:rsid w:val="0A4557E9"/>
    <w:rsid w:val="0AD772D6"/>
    <w:rsid w:val="11B7EB1A"/>
    <w:rsid w:val="174B5E93"/>
    <w:rsid w:val="19700DE7"/>
    <w:rsid w:val="270B4F90"/>
    <w:rsid w:val="2D5D2DEE"/>
    <w:rsid w:val="2EFF9905"/>
    <w:rsid w:val="2F4FB382"/>
    <w:rsid w:val="313E53DA"/>
    <w:rsid w:val="32014B40"/>
    <w:rsid w:val="37FED1CA"/>
    <w:rsid w:val="3B465B48"/>
    <w:rsid w:val="3CCD7BCD"/>
    <w:rsid w:val="3F751A2B"/>
    <w:rsid w:val="3FA7161E"/>
    <w:rsid w:val="3FDE0D0F"/>
    <w:rsid w:val="43FE0789"/>
    <w:rsid w:val="4B0A4863"/>
    <w:rsid w:val="4BDF8A14"/>
    <w:rsid w:val="4DDF5E32"/>
    <w:rsid w:val="4FD3E9EB"/>
    <w:rsid w:val="50AD3DB7"/>
    <w:rsid w:val="50DE56F6"/>
    <w:rsid w:val="54151BFA"/>
    <w:rsid w:val="54CD71AD"/>
    <w:rsid w:val="58FBAA2C"/>
    <w:rsid w:val="5DF1A952"/>
    <w:rsid w:val="5DFBA834"/>
    <w:rsid w:val="5DFFF704"/>
    <w:rsid w:val="5FC307BA"/>
    <w:rsid w:val="608A49F3"/>
    <w:rsid w:val="6177C786"/>
    <w:rsid w:val="6859010D"/>
    <w:rsid w:val="68DE7694"/>
    <w:rsid w:val="6A380A69"/>
    <w:rsid w:val="6A89286E"/>
    <w:rsid w:val="6B8E01A3"/>
    <w:rsid w:val="6DFF8692"/>
    <w:rsid w:val="6F0B6A3F"/>
    <w:rsid w:val="711E495C"/>
    <w:rsid w:val="73FC9D48"/>
    <w:rsid w:val="752B75AC"/>
    <w:rsid w:val="76850B97"/>
    <w:rsid w:val="771FA9DF"/>
    <w:rsid w:val="7CE595AB"/>
    <w:rsid w:val="7DFFB8A5"/>
    <w:rsid w:val="7E591634"/>
    <w:rsid w:val="7EE93682"/>
    <w:rsid w:val="7EEE9B65"/>
    <w:rsid w:val="7EF74A42"/>
    <w:rsid w:val="7EFE1F3F"/>
    <w:rsid w:val="7FD7CC47"/>
    <w:rsid w:val="7FE35D5E"/>
    <w:rsid w:val="7FEBEFFB"/>
    <w:rsid w:val="7FF9441E"/>
    <w:rsid w:val="92DECB62"/>
    <w:rsid w:val="93D7F45F"/>
    <w:rsid w:val="9D7EC6B9"/>
    <w:rsid w:val="B5EF204D"/>
    <w:rsid w:val="B6FBD059"/>
    <w:rsid w:val="BD7F12C2"/>
    <w:rsid w:val="BFDE5E30"/>
    <w:rsid w:val="CFDC3FCD"/>
    <w:rsid w:val="D7CDC043"/>
    <w:rsid w:val="DDDD78A0"/>
    <w:rsid w:val="DFD72DCB"/>
    <w:rsid w:val="EBADF0D3"/>
    <w:rsid w:val="EBFDF72D"/>
    <w:rsid w:val="EE7F1125"/>
    <w:rsid w:val="EEBF48A6"/>
    <w:rsid w:val="F77F506E"/>
    <w:rsid w:val="F7DE68A3"/>
    <w:rsid w:val="F7EEA7CA"/>
    <w:rsid w:val="F7EF65FC"/>
    <w:rsid w:val="F7FD6A57"/>
    <w:rsid w:val="FAFB3FED"/>
    <w:rsid w:val="FB774207"/>
    <w:rsid w:val="FBAF7C44"/>
    <w:rsid w:val="FCF764A2"/>
    <w:rsid w:val="FCFD58E0"/>
    <w:rsid w:val="FEF70879"/>
    <w:rsid w:val="FFCFA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footnote reference"/>
    <w:basedOn w:val="8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2851</Words>
  <Characters>2988</Characters>
  <Lines>0</Lines>
  <Paragraphs>0</Paragraphs>
  <TotalTime>55</TotalTime>
  <ScaleCrop>false</ScaleCrop>
  <LinksUpToDate>false</LinksUpToDate>
  <CharactersWithSpaces>2998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2024-10-22T18:00:00Z</dcterms:created>
  <dc:creator>huawei</dc:creator>
  <cp:lastModifiedBy>无聊的咸菜</cp:lastModifiedBy>
  <dcterms:modified xsi:type="dcterms:W3CDTF">2025-01-02T07:28:37Z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C0D89CE626A74F0294EB3F79A0148D41_13</vt:lpwstr>
  </property>
  <property fmtid="{D5CDD505-2E9C-101B-9397-08002B2CF9AE}" pid="4" name="KSOTemplateDocerSaveRecord">
    <vt:lpwstr>eyJoZGlkIjoiM2QzYjc0ZjRiYTI1MWRhZGVlZjdkYWVhYTEwOWQzZWIiLCJ1c2VySWQiOiIyNzQ4NDk3MzEifQ==</vt:lpwstr>
  </property>
</Properties>
</file>