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657"/>
        <w:spacing w:before="212" w:line="196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9"/>
        </w:rPr>
        <w:t>世界领先科技型企业创新实践及启示</w:t>
      </w:r>
    </w:p>
    <w:p>
      <w:pPr>
        <w:ind w:left="3457"/>
        <w:spacing w:before="334" w:line="213" w:lineRule="auto"/>
        <w:rPr>
          <w:rFonts w:ascii="STKaiti" w:hAnsi="STKaiti" w:eastAsia="STKaiti" w:cs="STKaiti"/>
          <w:sz w:val="30"/>
          <w:szCs w:val="30"/>
        </w:rPr>
      </w:pPr>
      <w:r>
        <w:rPr>
          <w:rFonts w:ascii="STKaiti" w:hAnsi="STKaiti" w:eastAsia="STKaiti" w:cs="STKaiti"/>
          <w:sz w:val="30"/>
          <w:szCs w:val="30"/>
          <w:spacing w:val="-15"/>
        </w:rPr>
        <w:t>文/</w:t>
      </w:r>
      <w:r>
        <w:rPr>
          <w:rFonts w:ascii="STKaiti" w:hAnsi="STKaiti" w:eastAsia="STKaiti" w:cs="STKaiti"/>
          <w:sz w:val="30"/>
          <w:szCs w:val="30"/>
          <w:spacing w:val="25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15"/>
        </w:rPr>
        <w:t>胡世良</w:t>
      </w:r>
    </w:p>
    <w:p>
      <w:pPr>
        <w:spacing w:line="398" w:lineRule="auto"/>
        <w:rPr>
          <w:rFonts w:ascii="Arial"/>
          <w:sz w:val="21"/>
        </w:rPr>
      </w:pPr>
      <w:r/>
    </w:p>
    <w:p>
      <w:pPr>
        <w:ind w:left="36" w:right="89" w:firstLine="604"/>
        <w:spacing w:before="97" w:line="259" w:lineRule="auto"/>
        <w:jc w:val="both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spacing w:val="-5"/>
        </w:rPr>
        <w:t>党中央国务院高度重视世界一流企业建设工作。党的十九大</w:t>
      </w:r>
      <w:r>
        <w:rPr>
          <w:rFonts w:ascii="FangSong" w:hAnsi="FangSong" w:eastAsia="FangSong" w:cs="FangSong"/>
          <w:sz w:val="30"/>
          <w:szCs w:val="30"/>
          <w:spacing w:val="-4"/>
        </w:rPr>
        <w:t>明确提出培育具有全球竞争力的世界一流企业，党的</w:t>
      </w:r>
      <w:r>
        <w:rPr>
          <w:rFonts w:ascii="FangSong" w:hAnsi="FangSong" w:eastAsia="FangSong" w:cs="FangSong"/>
          <w:sz w:val="30"/>
          <w:szCs w:val="30"/>
          <w:spacing w:val="-5"/>
        </w:rPr>
        <w:t>二十大再次</w:t>
      </w:r>
      <w:r>
        <w:rPr>
          <w:rFonts w:ascii="FangSong" w:hAnsi="FangSong" w:eastAsia="FangSong" w:cs="FangSong"/>
          <w:sz w:val="30"/>
          <w:szCs w:val="30"/>
          <w:spacing w:val="-4"/>
        </w:rPr>
        <w:t>强调加快建设世界一流企业。习近平总书记在中央全</w:t>
      </w:r>
      <w:r>
        <w:rPr>
          <w:rFonts w:ascii="FangSong" w:hAnsi="FangSong" w:eastAsia="FangSong" w:cs="FangSong"/>
          <w:sz w:val="30"/>
          <w:szCs w:val="30"/>
          <w:spacing w:val="-5"/>
        </w:rPr>
        <w:t>面深化改革</w:t>
      </w:r>
      <w:r>
        <w:rPr>
          <w:rFonts w:ascii="FangSong" w:hAnsi="FangSong" w:eastAsia="FangSong" w:cs="FangSong"/>
          <w:sz w:val="30"/>
          <w:szCs w:val="30"/>
          <w:spacing w:val="-4"/>
        </w:rPr>
        <w:t>委员会第二十四次会议上强调，“加快建设一批产品</w:t>
      </w:r>
      <w:r>
        <w:rPr>
          <w:rFonts w:ascii="FangSong" w:hAnsi="FangSong" w:eastAsia="FangSong" w:cs="FangSong"/>
          <w:sz w:val="30"/>
          <w:szCs w:val="30"/>
          <w:spacing w:val="-5"/>
        </w:rPr>
        <w:t>卓越、品牌</w:t>
      </w:r>
      <w:r>
        <w:rPr>
          <w:rFonts w:ascii="FangSong" w:hAnsi="FangSong" w:eastAsia="FangSong" w:cs="FangSong"/>
          <w:sz w:val="30"/>
          <w:szCs w:val="30"/>
          <w:spacing w:val="-12"/>
        </w:rPr>
        <w:t>卓著、创新领先、治理现代的世界一流企业”。2023</w:t>
      </w:r>
      <w:r>
        <w:rPr>
          <w:rFonts w:ascii="FangSong" w:hAnsi="FangSong" w:eastAsia="FangSong" w:cs="FangSong"/>
          <w:sz w:val="30"/>
          <w:szCs w:val="30"/>
          <w:spacing w:val="-38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12"/>
        </w:rPr>
        <w:t>年</w:t>
      </w:r>
      <w:r>
        <w:rPr>
          <w:rFonts w:ascii="FangSong" w:hAnsi="FangSong" w:eastAsia="FangSong" w:cs="FangSong"/>
          <w:sz w:val="30"/>
          <w:szCs w:val="30"/>
          <w:spacing w:val="-59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12"/>
        </w:rPr>
        <w:t>5</w:t>
      </w:r>
      <w:r>
        <w:rPr>
          <w:rFonts w:ascii="FangSong" w:hAnsi="FangSong" w:eastAsia="FangSong" w:cs="FangSong"/>
          <w:sz w:val="30"/>
          <w:szCs w:val="30"/>
          <w:spacing w:val="-40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12"/>
        </w:rPr>
        <w:t>月</w:t>
      </w:r>
      <w:r>
        <w:rPr>
          <w:rFonts w:ascii="FangSong" w:hAnsi="FangSong" w:eastAsia="FangSong" w:cs="FangSong"/>
          <w:sz w:val="30"/>
          <w:szCs w:val="30"/>
          <w:spacing w:val="-57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12"/>
        </w:rPr>
        <w:t>5</w:t>
      </w:r>
      <w:r>
        <w:rPr>
          <w:rFonts w:ascii="FangSong" w:hAnsi="FangSong" w:eastAsia="FangSong" w:cs="FangSong"/>
          <w:sz w:val="30"/>
          <w:szCs w:val="30"/>
          <w:spacing w:val="-12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12"/>
        </w:rPr>
        <w:t>日</w:t>
      </w:r>
      <w:r>
        <w:rPr>
          <w:rFonts w:ascii="FangSong" w:hAnsi="FangSong" w:eastAsia="FangSong" w:cs="FangSong"/>
          <w:sz w:val="30"/>
          <w:szCs w:val="30"/>
          <w:spacing w:val="6"/>
        </w:rPr>
        <w:t>召开的二十届中央财经委员会第一次会议强调要大力建设世界</w:t>
      </w:r>
      <w:r>
        <w:rPr>
          <w:rFonts w:ascii="FangSong" w:hAnsi="FangSong" w:eastAsia="FangSong" w:cs="FangSong"/>
          <w:sz w:val="30"/>
          <w:szCs w:val="30"/>
          <w:spacing w:val="-3"/>
        </w:rPr>
        <w:t>一流企业。创新是世界一流企业发展的核心动力。</w:t>
      </w:r>
    </w:p>
    <w:p>
      <w:pPr>
        <w:spacing w:line="365" w:lineRule="auto"/>
        <w:rPr>
          <w:rFonts w:ascii="Arial"/>
          <w:sz w:val="21"/>
        </w:rPr>
      </w:pPr>
      <w:r/>
    </w:p>
    <w:p>
      <w:pPr>
        <w:ind w:left="34" w:firstLine="599"/>
        <w:spacing w:before="97" w:line="259" w:lineRule="auto"/>
        <w:jc w:val="both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spacing w:val="-1"/>
        </w:rPr>
        <w:t>近年来，中国电信锚定世界一流，全面实施云改数转战略，</w:t>
      </w:r>
      <w:r>
        <w:rPr>
          <w:rFonts w:ascii="FangSong" w:hAnsi="FangSong" w:eastAsia="FangSong" w:cs="FangSong"/>
          <w:sz w:val="30"/>
          <w:szCs w:val="30"/>
          <w:spacing w:val="-4"/>
        </w:rPr>
        <w:t>着力打造服务型、科技型、安全型企业。对标世界领先科</w:t>
      </w:r>
      <w:r>
        <w:rPr>
          <w:rFonts w:ascii="FangSong" w:hAnsi="FangSong" w:eastAsia="FangSong" w:cs="FangSong"/>
          <w:sz w:val="30"/>
          <w:szCs w:val="30"/>
          <w:spacing w:val="-5"/>
        </w:rPr>
        <w:t>技公司</w:t>
      </w:r>
      <w:r>
        <w:rPr>
          <w:rFonts w:ascii="FangSong" w:hAnsi="FangSong" w:eastAsia="FangSong" w:cs="FangSong"/>
          <w:sz w:val="30"/>
          <w:szCs w:val="30"/>
          <w:spacing w:val="-4"/>
        </w:rPr>
        <w:t>创新实践，将对中国电信打造世界领先科技型企业进而打造</w:t>
      </w:r>
      <w:r>
        <w:rPr>
          <w:rFonts w:ascii="FangSong" w:hAnsi="FangSong" w:eastAsia="FangSong" w:cs="FangSong"/>
          <w:sz w:val="30"/>
          <w:szCs w:val="30"/>
          <w:spacing w:val="-5"/>
        </w:rPr>
        <w:t>世界</w:t>
      </w:r>
      <w:r>
        <w:rPr>
          <w:rFonts w:ascii="FangSong" w:hAnsi="FangSong" w:eastAsia="FangSong" w:cs="FangSong"/>
          <w:sz w:val="30"/>
          <w:szCs w:val="30"/>
          <w:spacing w:val="-5"/>
        </w:rPr>
        <w:t>一流企业具有重要借鉴意义。</w:t>
      </w:r>
    </w:p>
    <w:p>
      <w:pPr>
        <w:spacing w:line="343" w:lineRule="auto"/>
        <w:rPr>
          <w:rFonts w:ascii="Arial"/>
          <w:sz w:val="21"/>
        </w:rPr>
      </w:pPr>
      <w:r/>
    </w:p>
    <w:p>
      <w:pPr>
        <w:ind w:left="675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5"/>
        </w:rPr>
        <w:t>一、世界领先科技公司的内涵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pStyle w:val="BodyText"/>
        <w:ind w:left="25" w:right="89" w:firstLine="601"/>
        <w:spacing w:before="98" w:line="257" w:lineRule="auto"/>
        <w:rPr/>
      </w:pPr>
      <w:r>
        <w:rPr>
          <w:spacing w:val="-4"/>
        </w:rPr>
        <w:t>根据英国品牌评估机构品牌金融（</w:t>
      </w:r>
      <w:r>
        <w:rPr>
          <w:rFonts w:ascii="Times New Roman" w:hAnsi="Times New Roman" w:eastAsia="Times New Roman" w:cs="Times New Roman"/>
          <w:spacing w:val="-4"/>
        </w:rPr>
        <w:t>Brand</w:t>
      </w:r>
      <w:r>
        <w:rPr>
          <w:rFonts w:ascii="Times New Roman" w:hAnsi="Times New Roman" w:eastAsia="Times New Roman" w:cs="Times New Roman"/>
          <w:spacing w:val="-8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Finance</w:t>
      </w:r>
      <w:r>
        <w:rPr>
          <w:spacing w:val="-4"/>
        </w:rPr>
        <w:t>）发布</w:t>
      </w:r>
      <w:r>
        <w:rPr>
          <w:spacing w:val="-68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2022</w:t>
      </w:r>
      <w:r>
        <w:rPr>
          <w:spacing w:val="-15"/>
        </w:rPr>
        <w:t>全球科技品牌价值</w:t>
      </w:r>
      <w:r>
        <w:rPr>
          <w:spacing w:val="-32"/>
        </w:rPr>
        <w:t xml:space="preserve"> </w:t>
      </w:r>
      <w:r>
        <w:rPr>
          <w:rFonts w:ascii="Times New Roman" w:hAnsi="Times New Roman" w:eastAsia="Times New Roman" w:cs="Times New Roman"/>
          <w:spacing w:val="-15"/>
        </w:rPr>
        <w:t>100</w:t>
      </w:r>
      <w:r>
        <w:rPr>
          <w:rFonts w:ascii="Times New Roman" w:hAnsi="Times New Roman" w:eastAsia="Times New Roman" w:cs="Times New Roman"/>
          <w:spacing w:val="19"/>
          <w:w w:val="101"/>
        </w:rPr>
        <w:t xml:space="preserve"> </w:t>
      </w:r>
      <w:r>
        <w:rPr>
          <w:spacing w:val="-15"/>
        </w:rPr>
        <w:t>强显示，谷歌、苹果、微软、三星、 </w:t>
      </w:r>
      <w:r>
        <w:rPr>
          <w:rFonts w:ascii="Times New Roman" w:hAnsi="Times New Roman" w:eastAsia="Times New Roman" w:cs="Times New Roman"/>
          <w:spacing w:val="-15"/>
        </w:rPr>
        <w:t>3M</w:t>
      </w:r>
      <w:r>
        <w:rPr>
          <w:rFonts w:ascii="Times New Roman" w:hAnsi="Times New Roman" w:eastAsia="Times New Roman" w:cs="Times New Roman"/>
          <w:spacing w:val="-43"/>
        </w:rPr>
        <w:t xml:space="preserve"> </w:t>
      </w:r>
      <w:r>
        <w:rPr>
          <w:spacing w:val="-15"/>
        </w:rPr>
        <w:t>、</w:t>
      </w:r>
      <w:r>
        <w:rPr>
          <w:spacing w:val="-10"/>
        </w:rPr>
        <w:t>华为、腾讯、格力、海尔等上榜； 根据</w:t>
      </w:r>
      <w:r>
        <w:rPr>
          <w:spacing w:val="-64"/>
        </w:rPr>
        <w:t xml:space="preserve"> </w:t>
      </w:r>
      <w:r>
        <w:rPr>
          <w:rFonts w:ascii="Times New Roman" w:hAnsi="Times New Roman" w:eastAsia="Times New Roman" w:cs="Times New Roman"/>
          <w:spacing w:val="-10"/>
        </w:rPr>
        <w:t>2022 </w:t>
      </w:r>
      <w:r>
        <w:rPr>
          <w:spacing w:val="-10"/>
        </w:rPr>
        <w:t>年</w:t>
      </w:r>
      <w:r>
        <w:rPr>
          <w:spacing w:val="-40"/>
        </w:rPr>
        <w:t xml:space="preserve"> </w:t>
      </w:r>
      <w:r>
        <w:rPr>
          <w:rFonts w:ascii="Times New Roman" w:hAnsi="Times New Roman" w:eastAsia="Times New Roman" w:cs="Times New Roman"/>
          <w:spacing w:val="-10"/>
        </w:rPr>
        <w:t>11</w:t>
      </w:r>
      <w:r>
        <w:rPr>
          <w:rFonts w:ascii="Times New Roman" w:hAnsi="Times New Roman" w:eastAsia="Times New Roman" w:cs="Times New Roman"/>
          <w:spacing w:val="19"/>
          <w:w w:val="101"/>
        </w:rPr>
        <w:t xml:space="preserve"> </w:t>
      </w:r>
      <w:r>
        <w:rPr>
          <w:spacing w:val="-10"/>
        </w:rPr>
        <w:t>月中国企业家</w:t>
      </w:r>
      <w:r>
        <w:rPr>
          <w:spacing w:val="-3"/>
        </w:rPr>
        <w:t>博鳌论坛发布的</w:t>
      </w:r>
      <w:r>
        <w:rPr>
          <w:spacing w:val="-55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2022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spacing w:val="-3"/>
        </w:rPr>
        <w:t>新型实体企业</w:t>
      </w:r>
      <w:r>
        <w:rPr>
          <w:spacing w:val="-28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100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spacing w:val="-3"/>
        </w:rPr>
        <w:t>强</w:t>
      </w:r>
      <w:r>
        <w:rPr>
          <w:spacing w:val="-4"/>
        </w:rPr>
        <w:t>榜单，华为、国家电</w:t>
      </w:r>
      <w:r>
        <w:rPr>
          <w:spacing w:val="-4"/>
        </w:rPr>
        <w:t>网、京东方、比亚迪、宁德时代、科大讯飞等榜上有名。这些企</w:t>
      </w:r>
      <w:r>
        <w:rPr>
          <w:spacing w:val="-5"/>
        </w:rPr>
        <w:t>业都是世界领先科技公司。</w:t>
      </w:r>
    </w:p>
    <w:p>
      <w:pPr>
        <w:pStyle w:val="BodyText"/>
        <w:ind w:left="26" w:right="89" w:firstLine="599"/>
        <w:spacing w:before="294" w:line="259" w:lineRule="auto"/>
        <w:jc w:val="both"/>
        <w:rPr/>
      </w:pPr>
      <w:r>
        <w:rPr>
          <w:spacing w:val="-4"/>
        </w:rPr>
        <w:t>世界领先科技公司是指在细分领域掌握关键核心技术、</w:t>
      </w:r>
      <w:r>
        <w:rPr>
          <w:spacing w:val="-5"/>
        </w:rPr>
        <w:t>具备</w:t>
      </w:r>
      <w:r>
        <w:rPr>
          <w:spacing w:val="-4"/>
        </w:rPr>
        <w:t>强大自主创新能力、拥有卓越技术品牌影响力、建立完善的技术</w:t>
      </w:r>
      <w:r>
        <w:rPr>
          <w:spacing w:val="-4"/>
        </w:rPr>
        <w:t>创新体系，能不断推出引领行业发展的新产品，在细分领域内处</w:t>
      </w:r>
      <w:r>
        <w:rPr>
          <w:spacing w:val="-4"/>
        </w:rPr>
        <w:t>于领先地位，在产业链中拥有话语权，国际竞争力较强，而且技</w:t>
      </w:r>
      <w:r>
        <w:rPr>
          <w:spacing w:val="-3"/>
        </w:rPr>
        <w:t>术已成为推动企业持续发展的主要动力的企业。</w:t>
      </w:r>
    </w:p>
    <w:p>
      <w:pPr>
        <w:pStyle w:val="BodyText"/>
        <w:ind w:left="626"/>
        <w:spacing w:before="272" w:line="219" w:lineRule="auto"/>
        <w:rPr/>
      </w:pPr>
      <w:r>
        <w:rPr>
          <w:spacing w:val="-4"/>
        </w:rPr>
        <w:t>世界领先科技公司一般分为两大类，第Ⅰ类主要是从事互联</w:t>
      </w:r>
    </w:p>
    <w:p>
      <w:pPr>
        <w:spacing w:line="219" w:lineRule="auto"/>
        <w:sectPr>
          <w:pgSz w:w="11907" w:h="16839"/>
          <w:pgMar w:top="1431" w:right="1708" w:bottom="0" w:left="1785" w:header="0" w:footer="0" w:gutter="0"/>
        </w:sectPr>
        <w:rPr/>
      </w:pPr>
    </w:p>
    <w:p>
      <w:pPr>
        <w:pStyle w:val="BodyText"/>
        <w:ind w:left="49"/>
        <w:spacing w:before="87" w:line="219" w:lineRule="auto"/>
        <w:rPr/>
      </w:pPr>
      <w:r>
        <w:rPr>
          <w:spacing w:val="-16"/>
        </w:rPr>
        <w:t>网、电子、通信设备、生物工程以及新兴技</w:t>
      </w:r>
      <w:r>
        <w:rPr>
          <w:spacing w:val="-17"/>
        </w:rPr>
        <w:t>术服务等科技含量高、</w:t>
      </w:r>
    </w:p>
    <w:p>
      <w:pPr>
        <w:pStyle w:val="BodyText"/>
        <w:ind w:left="26" w:right="23" w:firstLine="1"/>
        <w:spacing w:before="64" w:line="264" w:lineRule="auto"/>
        <w:rPr/>
      </w:pPr>
      <w:r>
        <w:rPr>
          <w:spacing w:val="-6"/>
        </w:rPr>
        <w:t>技术创新快的公司；第Ⅱ类主要是从事与传统行业相对应的领域，</w:t>
      </w:r>
      <w:r>
        <w:rPr>
          <w:spacing w:val="-4"/>
        </w:rPr>
        <w:t>且以技术密集型为主要特征的公司。中国电信从传统运营商向科</w:t>
      </w:r>
      <w:r>
        <w:rPr>
          <w:spacing w:val="-3"/>
        </w:rPr>
        <w:t>技型企业转型，应属于第</w:t>
      </w:r>
      <w:r>
        <w:rPr>
          <w:spacing w:val="-61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II </w:t>
      </w:r>
      <w:r>
        <w:rPr>
          <w:spacing w:val="-3"/>
        </w:rPr>
        <w:t>类科技公司。</w:t>
      </w:r>
    </w:p>
    <w:p>
      <w:pPr>
        <w:pStyle w:val="BodyText"/>
        <w:ind w:left="25" w:right="254" w:firstLine="630"/>
        <w:spacing w:before="247" w:line="260" w:lineRule="auto"/>
        <w:jc w:val="both"/>
        <w:rPr/>
      </w:pPr>
      <w:r>
        <w:rPr>
          <w:spacing w:val="-5"/>
        </w:rPr>
        <w:t>同时，我们也可以按照业务类型将世界领先科技</w:t>
      </w:r>
      <w:r>
        <w:rPr>
          <w:spacing w:val="-6"/>
        </w:rPr>
        <w:t>公司分为服</w:t>
      </w:r>
      <w:r>
        <w:rPr>
          <w:spacing w:val="-9"/>
        </w:rPr>
        <w:t>务型科技公司和生产型科技公司。谷歌、腾讯、 微软等互联网企</w:t>
      </w:r>
      <w:r>
        <w:rPr>
          <w:spacing w:val="-10"/>
        </w:rPr>
        <w:t>业以及国家电网等都是服务型科技公司；华为</w:t>
      </w:r>
      <w:r>
        <w:rPr>
          <w:spacing w:val="-11"/>
        </w:rPr>
        <w:t>、中兴、</w:t>
      </w:r>
      <w:r>
        <w:rPr>
          <w:spacing w:val="34"/>
        </w:rPr>
        <w:t xml:space="preserve"> </w:t>
      </w:r>
      <w:r>
        <w:rPr>
          <w:spacing w:val="-11"/>
        </w:rPr>
        <w:t>格力、苹</w:t>
      </w:r>
      <w:r>
        <w:rPr>
          <w:spacing w:val="-4"/>
        </w:rPr>
        <w:t>果、特斯拉等公司属于生产型科技公司。中国电信主要提供数字</w:t>
      </w:r>
      <w:r>
        <w:rPr>
          <w:spacing w:val="-1"/>
        </w:rPr>
        <w:t>化产品和服务，是典型的服务型科技公司。</w:t>
      </w:r>
    </w:p>
    <w:p>
      <w:pPr>
        <w:spacing w:line="341" w:lineRule="auto"/>
        <w:rPr>
          <w:rFonts w:ascii="Arial"/>
          <w:sz w:val="21"/>
        </w:rPr>
      </w:pPr>
      <w:r/>
    </w:p>
    <w:p>
      <w:pPr>
        <w:ind w:left="675"/>
        <w:spacing w:before="101" w:line="221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二、世界领先科技公司创新实践</w:t>
      </w:r>
    </w:p>
    <w:p>
      <w:pPr>
        <w:spacing w:line="277" w:lineRule="auto"/>
        <w:rPr>
          <w:rFonts w:ascii="Arial"/>
          <w:sz w:val="21"/>
        </w:rPr>
      </w:pPr>
      <w:r/>
    </w:p>
    <w:p>
      <w:pPr>
        <w:pStyle w:val="BodyText"/>
        <w:ind w:left="28" w:right="256" w:firstLine="602"/>
        <w:spacing w:before="98" w:line="261" w:lineRule="auto"/>
        <w:rPr/>
      </w:pPr>
      <w:r>
        <w:rPr>
          <w:spacing w:val="-5"/>
        </w:rPr>
        <w:t>纵观世界领先科技公司科技创新实践，我们总结和提炼六大</w:t>
      </w:r>
      <w:r>
        <w:rPr>
          <w:spacing w:val="-8"/>
        </w:rPr>
        <w:t>成功关键要素。</w:t>
      </w:r>
    </w:p>
    <w:p>
      <w:pPr>
        <w:pStyle w:val="BodyText"/>
        <w:ind w:left="27" w:right="265" w:firstLine="609"/>
        <w:spacing w:before="272" w:line="239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2"/>
        </w:rPr>
        <w:t>1</w:t>
      </w:r>
      <w:r>
        <w:rPr>
          <w:b/>
          <w:bCs/>
          <w:spacing w:val="-2"/>
        </w:rPr>
        <w:t>．持续高强度研发投入，且研发投入集中到关键核</w:t>
      </w:r>
      <w:r>
        <w:rPr>
          <w:b/>
          <w:bCs/>
          <w:spacing w:val="-3"/>
        </w:rPr>
        <w:t>心技术</w:t>
      </w:r>
      <w:r>
        <w:rPr>
          <w:b/>
          <w:bCs/>
          <w:spacing w:val="-4"/>
        </w:rPr>
        <w:t>攻关和产品研发上</w:t>
      </w:r>
    </w:p>
    <w:p>
      <w:pPr>
        <w:ind w:left="1171"/>
        <w:spacing w:before="327" w:line="209" w:lineRule="auto"/>
        <w:outlineLvl w:val="3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2"/>
        </w:rPr>
        <w:t>表</w:t>
      </w:r>
      <w:r>
        <w:rPr>
          <w:rFonts w:ascii="KaiTi" w:hAnsi="KaiTi" w:eastAsia="KaiTi" w:cs="KaiTi"/>
          <w:sz w:val="30"/>
          <w:szCs w:val="30"/>
          <w:spacing w:val="-46"/>
        </w:rPr>
        <w:t xml:space="preserve"> </w:t>
      </w:r>
      <w:r>
        <w:rPr>
          <w:rFonts w:ascii="KaiTi" w:hAnsi="KaiTi" w:eastAsia="KaiTi" w:cs="KaiTi"/>
          <w:sz w:val="30"/>
          <w:szCs w:val="30"/>
          <w:spacing w:val="-2"/>
        </w:rPr>
        <w:t>1</w:t>
      </w:r>
      <w:r>
        <w:rPr>
          <w:rFonts w:ascii="KaiTi" w:hAnsi="KaiTi" w:eastAsia="KaiTi" w:cs="KaiTi"/>
          <w:sz w:val="30"/>
          <w:szCs w:val="30"/>
          <w:spacing w:val="-2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2"/>
        </w:rPr>
        <w:t>2021</w:t>
      </w:r>
      <w:r>
        <w:rPr>
          <w:rFonts w:ascii="KaiTi" w:hAnsi="KaiTi" w:eastAsia="KaiTi" w:cs="KaiTi"/>
          <w:sz w:val="30"/>
          <w:szCs w:val="30"/>
          <w:spacing w:val="-63"/>
        </w:rPr>
        <w:t xml:space="preserve"> </w:t>
      </w:r>
      <w:r>
        <w:rPr>
          <w:rFonts w:ascii="KaiTi" w:hAnsi="KaiTi" w:eastAsia="KaiTi" w:cs="KaiTi"/>
          <w:sz w:val="30"/>
          <w:szCs w:val="30"/>
          <w:spacing w:val="-2"/>
        </w:rPr>
        <w:t>年世界领先科技公司研发投入情况</w:t>
      </w:r>
    </w:p>
    <w:tbl>
      <w:tblPr>
        <w:tblStyle w:val="TableNormal"/>
        <w:tblW w:w="8365" w:type="dxa"/>
        <w:tblInd w:w="1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984"/>
        <w:gridCol w:w="1135"/>
        <w:gridCol w:w="849"/>
        <w:gridCol w:w="849"/>
        <w:gridCol w:w="851"/>
        <w:gridCol w:w="1274"/>
        <w:gridCol w:w="1423"/>
      </w:tblGrid>
      <w:tr>
        <w:trPr>
          <w:trHeight w:val="608" w:hRule="atLeast"/>
        </w:trPr>
        <w:tc>
          <w:tcPr>
            <w:tcW w:w="1984" w:type="dxa"/>
            <w:vAlign w:val="top"/>
          </w:tcPr>
          <w:p>
            <w:pPr>
              <w:pStyle w:val="TableText"/>
              <w:ind w:left="190"/>
              <w:spacing w:before="201" w:line="206" w:lineRule="auto"/>
              <w:rPr/>
            </w:pPr>
            <w:r>
              <w:rPr>
                <w:b/>
                <w:bCs/>
                <w:color w:val="333333"/>
                <w:spacing w:val="-8"/>
              </w:rPr>
              <w:t>第</w:t>
            </w:r>
            <w:r>
              <w:rPr>
                <w:color w:val="333333"/>
                <w:spacing w:val="-8"/>
              </w:rPr>
              <w:t xml:space="preserve"> </w:t>
            </w:r>
            <w:r>
              <w:rPr>
                <w:b/>
                <w:bCs/>
                <w:color w:val="333333"/>
                <w:spacing w:val="-8"/>
              </w:rPr>
              <w:t>I</w:t>
            </w:r>
            <w:r>
              <w:rPr>
                <w:color w:val="333333"/>
                <w:spacing w:val="26"/>
              </w:rPr>
              <w:t xml:space="preserve"> </w:t>
            </w:r>
            <w:r>
              <w:rPr>
                <w:b/>
                <w:bCs/>
                <w:color w:val="333333"/>
                <w:spacing w:val="-8"/>
              </w:rPr>
              <w:t>类科技公司</w:t>
            </w:r>
          </w:p>
        </w:tc>
        <w:tc>
          <w:tcPr>
            <w:tcW w:w="1135" w:type="dxa"/>
            <w:vAlign w:val="top"/>
          </w:tcPr>
          <w:p>
            <w:pPr>
              <w:pStyle w:val="TableText"/>
              <w:ind w:left="339"/>
              <w:spacing w:before="201" w:line="209" w:lineRule="auto"/>
              <w:rPr/>
            </w:pPr>
            <w:r>
              <w:rPr>
                <w:b/>
                <w:bCs/>
                <w:color w:val="333333"/>
                <w:spacing w:val="-7"/>
              </w:rPr>
              <w:t>谷歌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95"/>
              <w:spacing w:before="201" w:line="208" w:lineRule="auto"/>
              <w:rPr/>
            </w:pPr>
            <w:r>
              <w:rPr>
                <w:b/>
                <w:bCs/>
                <w:color w:val="333333"/>
                <w:spacing w:val="-7"/>
              </w:rPr>
              <w:t>微软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202"/>
              <w:spacing w:before="201" w:line="205" w:lineRule="auto"/>
              <w:rPr/>
            </w:pPr>
            <w:r>
              <w:rPr>
                <w:b/>
                <w:bCs/>
                <w:color w:val="333333"/>
                <w:spacing w:val="-8"/>
              </w:rPr>
              <w:t>华为</w:t>
            </w:r>
          </w:p>
        </w:tc>
        <w:tc>
          <w:tcPr>
            <w:tcW w:w="851" w:type="dxa"/>
            <w:vAlign w:val="top"/>
          </w:tcPr>
          <w:p>
            <w:pPr>
              <w:pStyle w:val="TableText"/>
              <w:ind w:left="199"/>
              <w:spacing w:before="201" w:line="206" w:lineRule="auto"/>
              <w:rPr/>
            </w:pPr>
            <w:r>
              <w:rPr>
                <w:b/>
                <w:bCs/>
                <w:color w:val="333333"/>
                <w:spacing w:val="-7"/>
              </w:rPr>
              <w:t>苹果</w:t>
            </w:r>
          </w:p>
        </w:tc>
        <w:tc>
          <w:tcPr>
            <w:tcW w:w="1274" w:type="dxa"/>
            <w:vAlign w:val="top"/>
          </w:tcPr>
          <w:p>
            <w:pPr>
              <w:pStyle w:val="TableText"/>
              <w:ind w:left="198" w:right="204" w:firstLine="207"/>
              <w:spacing w:before="53" w:line="187" w:lineRule="auto"/>
              <w:rPr/>
            </w:pPr>
            <w:r>
              <w:rPr>
                <w:b/>
                <w:bCs/>
                <w:color w:val="333333"/>
                <w:spacing w:val="-8"/>
              </w:rPr>
              <w:t>腾讯</w:t>
            </w:r>
            <w:r>
              <w:rPr>
                <w:b/>
                <w:bCs/>
                <w:color w:val="333333"/>
                <w:spacing w:val="-14"/>
              </w:rPr>
              <w:t>（2022）</w:t>
            </w:r>
          </w:p>
        </w:tc>
        <w:tc>
          <w:tcPr>
            <w:tcW w:w="1423" w:type="dxa"/>
            <w:vAlign w:val="top"/>
          </w:tcPr>
          <w:p>
            <w:pPr>
              <w:pStyle w:val="TableText"/>
              <w:ind w:left="499"/>
              <w:spacing w:before="201" w:line="217" w:lineRule="auto"/>
              <w:rPr/>
            </w:pPr>
            <w:r>
              <w:rPr>
                <w:b/>
                <w:bCs/>
                <w:color w:val="333333"/>
                <w:spacing w:val="-11"/>
              </w:rPr>
              <w:t>三星</w:t>
            </w:r>
          </w:p>
        </w:tc>
      </w:tr>
      <w:tr>
        <w:trPr>
          <w:trHeight w:val="304" w:hRule="atLeast"/>
        </w:trPr>
        <w:tc>
          <w:tcPr>
            <w:tcW w:w="1984" w:type="dxa"/>
            <w:vAlign w:val="top"/>
          </w:tcPr>
          <w:p>
            <w:pPr>
              <w:pStyle w:val="TableText"/>
              <w:ind w:left="163"/>
              <w:spacing w:before="49" w:line="168" w:lineRule="auto"/>
              <w:rPr>
                <w:sz w:val="19"/>
                <w:szCs w:val="19"/>
              </w:rPr>
            </w:pPr>
            <w:r>
              <w:rPr>
                <w:color w:val="333333"/>
                <w:spacing w:val="2"/>
              </w:rPr>
              <w:t>研发投入</w:t>
            </w:r>
            <w:r>
              <w:rPr>
                <w:sz w:val="19"/>
                <w:szCs w:val="19"/>
                <w:color w:val="333333"/>
                <w:spacing w:val="2"/>
              </w:rPr>
              <w:t>(亿欧元)</w:t>
            </w:r>
          </w:p>
        </w:tc>
        <w:tc>
          <w:tcPr>
            <w:tcW w:w="1135" w:type="dxa"/>
            <w:vAlign w:val="top"/>
          </w:tcPr>
          <w:p>
            <w:pPr>
              <w:pStyle w:val="TableText"/>
              <w:ind w:left="397"/>
              <w:spacing w:before="49" w:line="168" w:lineRule="auto"/>
              <w:rPr/>
            </w:pPr>
            <w:r>
              <w:rPr>
                <w:color w:val="333333"/>
                <w:spacing w:val="-2"/>
              </w:rPr>
              <w:t>279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256"/>
              <w:spacing w:before="49" w:line="168" w:lineRule="auto"/>
              <w:rPr/>
            </w:pPr>
            <w:r>
              <w:rPr>
                <w:color w:val="333333"/>
                <w:spacing w:val="-2"/>
              </w:rPr>
              <w:t>216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32"/>
              <w:spacing w:before="49" w:line="168" w:lineRule="auto"/>
              <w:rPr/>
            </w:pPr>
            <w:r>
              <w:rPr>
                <w:color w:val="333333"/>
                <w:spacing w:val="-3"/>
              </w:rPr>
              <w:t>195.34</w:t>
            </w:r>
          </w:p>
        </w:tc>
        <w:tc>
          <w:tcPr>
            <w:tcW w:w="851" w:type="dxa"/>
            <w:vAlign w:val="top"/>
          </w:tcPr>
          <w:p>
            <w:pPr>
              <w:pStyle w:val="TableText"/>
              <w:ind w:left="270"/>
              <w:spacing w:before="49" w:line="168" w:lineRule="auto"/>
              <w:rPr/>
            </w:pPr>
            <w:r>
              <w:rPr>
                <w:color w:val="333333"/>
                <w:spacing w:val="-6"/>
              </w:rPr>
              <w:t>193</w:t>
            </w:r>
          </w:p>
        </w:tc>
        <w:tc>
          <w:tcPr>
            <w:tcW w:w="1274" w:type="dxa"/>
            <w:vAlign w:val="top"/>
          </w:tcPr>
          <w:p>
            <w:pPr>
              <w:pStyle w:val="TableText"/>
              <w:ind w:left="207"/>
              <w:spacing w:before="49" w:line="168" w:lineRule="auto"/>
              <w:rPr/>
            </w:pPr>
            <w:r>
              <w:rPr>
                <w:color w:val="333333"/>
                <w:spacing w:val="-4"/>
              </w:rPr>
              <w:t>614</w:t>
            </w:r>
            <w:r>
              <w:rPr>
                <w:color w:val="333333"/>
                <w:spacing w:val="16"/>
              </w:rPr>
              <w:t xml:space="preserve"> </w:t>
            </w:r>
            <w:r>
              <w:rPr>
                <w:color w:val="333333"/>
                <w:spacing w:val="-4"/>
              </w:rPr>
              <w:t>亿元</w:t>
            </w:r>
          </w:p>
        </w:tc>
        <w:tc>
          <w:tcPr>
            <w:tcW w:w="1423" w:type="dxa"/>
            <w:vAlign w:val="top"/>
          </w:tcPr>
          <w:p>
            <w:pPr>
              <w:pStyle w:val="TableText"/>
              <w:ind w:left="558"/>
              <w:spacing w:before="49" w:line="168" w:lineRule="auto"/>
              <w:rPr/>
            </w:pPr>
            <w:r>
              <w:rPr>
                <w:color w:val="333333"/>
                <w:spacing w:val="-6"/>
              </w:rPr>
              <w:t>168</w:t>
            </w:r>
          </w:p>
        </w:tc>
      </w:tr>
      <w:tr>
        <w:trPr>
          <w:trHeight w:val="304" w:hRule="atLeast"/>
        </w:trPr>
        <w:tc>
          <w:tcPr>
            <w:tcW w:w="1984" w:type="dxa"/>
            <w:vAlign w:val="top"/>
          </w:tcPr>
          <w:p>
            <w:pPr>
              <w:pStyle w:val="TableText"/>
              <w:ind w:left="281"/>
              <w:spacing w:before="49" w:line="168" w:lineRule="auto"/>
              <w:rPr/>
            </w:pPr>
            <w:r>
              <w:rPr>
                <w:color w:val="333333"/>
                <w:spacing w:val="-2"/>
              </w:rPr>
              <w:t>研发投入占比</w:t>
            </w:r>
          </w:p>
        </w:tc>
        <w:tc>
          <w:tcPr>
            <w:tcW w:w="1135" w:type="dxa"/>
            <w:vAlign w:val="top"/>
          </w:tcPr>
          <w:p>
            <w:pPr>
              <w:pStyle w:val="TableText"/>
              <w:ind w:left="285"/>
              <w:spacing w:before="49" w:line="168" w:lineRule="auto"/>
              <w:rPr/>
            </w:pPr>
            <w:r>
              <w:rPr>
                <w:color w:val="333333"/>
                <w:spacing w:val="-4"/>
              </w:rPr>
              <w:t>12.3%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44"/>
              <w:spacing w:before="49" w:line="168" w:lineRule="auto"/>
              <w:rPr/>
            </w:pPr>
            <w:r>
              <w:rPr>
                <w:color w:val="333333"/>
                <w:spacing w:val="-4"/>
              </w:rPr>
              <w:t>12.4%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34"/>
              <w:spacing w:before="49" w:line="168" w:lineRule="auto"/>
              <w:rPr/>
            </w:pPr>
            <w:r>
              <w:rPr>
                <w:color w:val="333333"/>
                <w:spacing w:val="-1"/>
              </w:rPr>
              <w:t>22.4%</w:t>
            </w:r>
          </w:p>
        </w:tc>
        <w:tc>
          <w:tcPr>
            <w:tcW w:w="851" w:type="dxa"/>
            <w:vAlign w:val="top"/>
          </w:tcPr>
          <w:p>
            <w:pPr>
              <w:pStyle w:val="TableText"/>
              <w:ind w:left="278"/>
              <w:spacing w:before="49" w:line="168" w:lineRule="auto"/>
              <w:rPr/>
            </w:pPr>
            <w:r>
              <w:rPr>
                <w:color w:val="333333"/>
                <w:spacing w:val="-6"/>
              </w:rPr>
              <w:t>6%</w:t>
            </w:r>
          </w:p>
        </w:tc>
        <w:tc>
          <w:tcPr>
            <w:tcW w:w="1274" w:type="dxa"/>
            <w:vAlign w:val="top"/>
          </w:tcPr>
          <w:p>
            <w:pPr>
              <w:pStyle w:val="TableText"/>
              <w:ind w:left="302"/>
              <w:spacing w:before="49" w:line="168" w:lineRule="auto"/>
              <w:rPr/>
            </w:pPr>
            <w:r>
              <w:rPr>
                <w:color w:val="333333"/>
                <w:spacing w:val="-3"/>
              </w:rPr>
              <w:t>11.07%</w:t>
            </w:r>
          </w:p>
        </w:tc>
        <w:tc>
          <w:tcPr>
            <w:tcW w:w="1423" w:type="dxa"/>
            <w:vAlign w:val="top"/>
          </w:tcPr>
          <w:p>
            <w:pPr>
              <w:pStyle w:val="TableText"/>
              <w:ind w:left="486"/>
              <w:spacing w:before="49" w:line="168" w:lineRule="auto"/>
              <w:rPr/>
            </w:pPr>
            <w:r>
              <w:rPr>
                <w:color w:val="333333"/>
                <w:spacing w:val="-4"/>
              </w:rPr>
              <w:t>8.1%</w:t>
            </w:r>
          </w:p>
        </w:tc>
      </w:tr>
      <w:tr>
        <w:trPr>
          <w:trHeight w:val="604" w:hRule="atLeast"/>
        </w:trPr>
        <w:tc>
          <w:tcPr>
            <w:tcW w:w="1984" w:type="dxa"/>
            <w:vAlign w:val="top"/>
          </w:tcPr>
          <w:p>
            <w:pPr>
              <w:pStyle w:val="TableText"/>
              <w:ind w:left="173"/>
              <w:spacing w:before="201" w:line="206" w:lineRule="auto"/>
              <w:rPr/>
            </w:pPr>
            <w:r>
              <w:rPr>
                <w:b/>
                <w:bCs/>
                <w:color w:val="333333"/>
                <w:spacing w:val="-6"/>
              </w:rPr>
              <w:t>第Ⅱ类科技公司</w:t>
            </w:r>
          </w:p>
        </w:tc>
        <w:tc>
          <w:tcPr>
            <w:tcW w:w="1135" w:type="dxa"/>
            <w:vAlign w:val="top"/>
          </w:tcPr>
          <w:p>
            <w:pPr>
              <w:pStyle w:val="TableText"/>
              <w:ind w:left="417"/>
              <w:spacing w:before="201" w:line="233" w:lineRule="auto"/>
              <w:rPr/>
            </w:pPr>
            <w:r>
              <w:rPr>
                <w:b/>
                <w:bCs/>
                <w:color w:val="333333"/>
                <w:spacing w:val="-9"/>
              </w:rPr>
              <w:t>3M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213"/>
              <w:spacing w:before="201" w:line="207" w:lineRule="auto"/>
              <w:rPr/>
            </w:pPr>
            <w:r>
              <w:rPr>
                <w:b/>
                <w:bCs/>
                <w:color w:val="333333"/>
                <w:spacing w:val="-11"/>
              </w:rPr>
              <w:t>索尼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96"/>
              <w:spacing w:before="201" w:line="210" w:lineRule="auto"/>
              <w:rPr/>
            </w:pPr>
            <w:r>
              <w:rPr>
                <w:b/>
                <w:bCs/>
                <w:color w:val="333333"/>
                <w:spacing w:val="-7"/>
              </w:rPr>
              <w:t>佳能</w:t>
            </w:r>
          </w:p>
        </w:tc>
        <w:tc>
          <w:tcPr>
            <w:tcW w:w="851" w:type="dxa"/>
            <w:vAlign w:val="top"/>
          </w:tcPr>
          <w:p>
            <w:pPr>
              <w:pStyle w:val="TableText"/>
              <w:ind w:left="194"/>
              <w:spacing w:before="201" w:line="208" w:lineRule="auto"/>
              <w:rPr/>
            </w:pPr>
            <w:r>
              <w:rPr>
                <w:b/>
                <w:bCs/>
                <w:color w:val="333333"/>
                <w:spacing w:val="-6"/>
              </w:rPr>
              <w:t>格力</w:t>
            </w:r>
          </w:p>
        </w:tc>
        <w:tc>
          <w:tcPr>
            <w:tcW w:w="1274" w:type="dxa"/>
            <w:vAlign w:val="top"/>
          </w:tcPr>
          <w:p>
            <w:pPr>
              <w:pStyle w:val="TableText"/>
              <w:ind w:left="198" w:right="204" w:firstLine="91"/>
              <w:spacing w:before="49" w:line="187" w:lineRule="auto"/>
              <w:rPr/>
            </w:pPr>
            <w:r>
              <w:rPr>
                <w:b/>
                <w:bCs/>
                <w:color w:val="333333"/>
                <w:spacing w:val="-8"/>
              </w:rPr>
              <w:t>特斯拉</w:t>
            </w:r>
            <w:r>
              <w:rPr>
                <w:b/>
                <w:bCs/>
                <w:color w:val="333333"/>
                <w:spacing w:val="-14"/>
              </w:rPr>
              <w:t>（2022）</w:t>
            </w:r>
          </w:p>
        </w:tc>
        <w:tc>
          <w:tcPr>
            <w:tcW w:w="1423" w:type="dxa"/>
            <w:vAlign w:val="top"/>
          </w:tcPr>
          <w:p>
            <w:pPr>
              <w:pStyle w:val="TableText"/>
              <w:ind w:left="270" w:right="229" w:hanging="2"/>
              <w:spacing w:before="49" w:line="187" w:lineRule="auto"/>
              <w:rPr/>
            </w:pPr>
            <w:r>
              <w:rPr>
                <w:b/>
                <w:bCs/>
                <w:color w:val="333333"/>
                <w:spacing w:val="-13"/>
              </w:rPr>
              <w:t>国家电网</w:t>
            </w:r>
            <w:r>
              <w:rPr>
                <w:b/>
                <w:bCs/>
                <w:color w:val="333333"/>
                <w:spacing w:val="-8"/>
              </w:rPr>
              <w:t>（2022）</w:t>
            </w:r>
          </w:p>
        </w:tc>
      </w:tr>
      <w:tr>
        <w:trPr>
          <w:trHeight w:val="606" w:hRule="atLeast"/>
        </w:trPr>
        <w:tc>
          <w:tcPr>
            <w:tcW w:w="1984" w:type="dxa"/>
            <w:vAlign w:val="top"/>
          </w:tcPr>
          <w:p>
            <w:pPr>
              <w:pStyle w:val="TableText"/>
              <w:ind w:left="163"/>
              <w:spacing w:before="202" w:line="206" w:lineRule="auto"/>
              <w:rPr>
                <w:sz w:val="19"/>
                <w:szCs w:val="19"/>
              </w:rPr>
            </w:pPr>
            <w:r>
              <w:rPr>
                <w:color w:val="333333"/>
                <w:spacing w:val="2"/>
              </w:rPr>
              <w:t>研发投入</w:t>
            </w:r>
            <w:r>
              <w:rPr>
                <w:sz w:val="19"/>
                <w:szCs w:val="19"/>
                <w:color w:val="333333"/>
                <w:spacing w:val="2"/>
              </w:rPr>
              <w:t>(亿欧元)</w:t>
            </w:r>
          </w:p>
        </w:tc>
        <w:tc>
          <w:tcPr>
            <w:tcW w:w="1135" w:type="dxa"/>
            <w:vAlign w:val="top"/>
          </w:tcPr>
          <w:p>
            <w:pPr>
              <w:pStyle w:val="TableText"/>
              <w:ind w:left="323"/>
              <w:spacing w:before="202" w:line="211" w:lineRule="auto"/>
              <w:rPr/>
            </w:pPr>
            <w:r>
              <w:rPr>
                <w:color w:val="333333"/>
                <w:spacing w:val="-15"/>
              </w:rPr>
              <w:t>约</w:t>
            </w:r>
            <w:r>
              <w:rPr>
                <w:color w:val="333333"/>
                <w:spacing w:val="19"/>
              </w:rPr>
              <w:t xml:space="preserve"> </w:t>
            </w:r>
            <w:r>
              <w:rPr>
                <w:color w:val="333333"/>
                <w:spacing w:val="-15"/>
              </w:rPr>
              <w:t>18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315"/>
              <w:spacing w:before="203" w:line="232" w:lineRule="auto"/>
              <w:rPr/>
            </w:pPr>
            <w:r>
              <w:rPr>
                <w:color w:val="333333"/>
                <w:spacing w:val="-4"/>
              </w:rPr>
              <w:t>49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232"/>
              <w:spacing w:before="202" w:line="233" w:lineRule="auto"/>
              <w:rPr/>
            </w:pPr>
            <w:r>
              <w:rPr>
                <w:color w:val="333333"/>
                <w:spacing w:val="-2"/>
              </w:rPr>
              <w:t>22.2</w:t>
            </w:r>
          </w:p>
        </w:tc>
        <w:tc>
          <w:tcPr>
            <w:tcW w:w="851" w:type="dxa"/>
            <w:vAlign w:val="top"/>
          </w:tcPr>
          <w:p>
            <w:pPr>
              <w:pStyle w:val="TableText"/>
              <w:ind w:left="242"/>
              <w:spacing w:before="203" w:line="232" w:lineRule="auto"/>
              <w:rPr/>
            </w:pPr>
            <w:r>
              <w:rPr>
                <w:color w:val="333333"/>
                <w:spacing w:val="-3"/>
              </w:rPr>
              <w:t>8.94</w:t>
            </w:r>
          </w:p>
        </w:tc>
        <w:tc>
          <w:tcPr>
            <w:tcW w:w="1274" w:type="dxa"/>
            <w:vAlign w:val="top"/>
          </w:tcPr>
          <w:p>
            <w:pPr>
              <w:pStyle w:val="TableText"/>
              <w:ind w:left="414" w:right="233" w:hanging="171"/>
              <w:spacing w:before="54" w:line="186" w:lineRule="auto"/>
              <w:rPr/>
            </w:pPr>
            <w:r>
              <w:rPr>
                <w:color w:val="333333"/>
                <w:spacing w:val="-5"/>
              </w:rPr>
              <w:t>30.75</w:t>
            </w:r>
            <w:r>
              <w:rPr>
                <w:color w:val="333333"/>
                <w:spacing w:val="18"/>
                <w:w w:val="101"/>
              </w:rPr>
              <w:t xml:space="preserve"> </w:t>
            </w:r>
            <w:r>
              <w:rPr>
                <w:color w:val="333333"/>
                <w:spacing w:val="-5"/>
              </w:rPr>
              <w:t>亿</w:t>
            </w:r>
            <w:r>
              <w:rPr>
                <w:color w:val="333333"/>
                <w:spacing w:val="-5"/>
              </w:rPr>
              <w:t>美元</w:t>
            </w:r>
          </w:p>
        </w:tc>
        <w:tc>
          <w:tcPr>
            <w:tcW w:w="1423" w:type="dxa"/>
            <w:vAlign w:val="top"/>
          </w:tcPr>
          <w:p>
            <w:pPr>
              <w:pStyle w:val="TableText"/>
              <w:ind w:left="150"/>
              <w:spacing w:before="203" w:line="210" w:lineRule="auto"/>
              <w:rPr/>
            </w:pPr>
            <w:r>
              <w:rPr>
                <w:color w:val="333333"/>
                <w:spacing w:val="-4"/>
              </w:rPr>
              <w:t>167.86</w:t>
            </w:r>
            <w:r>
              <w:rPr>
                <w:color w:val="333333"/>
                <w:spacing w:val="22"/>
              </w:rPr>
              <w:t xml:space="preserve"> </w:t>
            </w:r>
            <w:r>
              <w:rPr>
                <w:color w:val="333333"/>
                <w:spacing w:val="-4"/>
              </w:rPr>
              <w:t>亿元</w:t>
            </w:r>
          </w:p>
        </w:tc>
      </w:tr>
      <w:tr>
        <w:trPr>
          <w:trHeight w:val="309" w:hRule="atLeast"/>
        </w:trPr>
        <w:tc>
          <w:tcPr>
            <w:tcW w:w="1984" w:type="dxa"/>
            <w:vAlign w:val="top"/>
          </w:tcPr>
          <w:p>
            <w:pPr>
              <w:pStyle w:val="TableText"/>
              <w:ind w:left="281"/>
              <w:spacing w:before="52" w:line="169" w:lineRule="auto"/>
              <w:rPr/>
            </w:pPr>
            <w:r>
              <w:rPr>
                <w:color w:val="333333"/>
                <w:spacing w:val="-2"/>
              </w:rPr>
              <w:t>研发投入占比</w:t>
            </w:r>
          </w:p>
        </w:tc>
        <w:tc>
          <w:tcPr>
            <w:tcW w:w="1135" w:type="dxa"/>
            <w:vAlign w:val="top"/>
          </w:tcPr>
          <w:p>
            <w:pPr>
              <w:pStyle w:val="TableText"/>
              <w:ind w:left="172"/>
              <w:spacing w:before="52" w:line="169" w:lineRule="auto"/>
              <w:rPr/>
            </w:pPr>
            <w:r>
              <w:rPr>
                <w:color w:val="333333"/>
                <w:spacing w:val="-5"/>
              </w:rPr>
              <w:t>约</w:t>
            </w:r>
            <w:r>
              <w:rPr>
                <w:color w:val="333333"/>
                <w:spacing w:val="14"/>
              </w:rPr>
              <w:t xml:space="preserve"> </w:t>
            </w:r>
            <w:r>
              <w:rPr>
                <w:color w:val="333333"/>
                <w:spacing w:val="-5"/>
              </w:rPr>
              <w:t>5..8%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95"/>
              <w:spacing w:before="52" w:line="169" w:lineRule="auto"/>
              <w:rPr/>
            </w:pPr>
            <w:r>
              <w:rPr>
                <w:color w:val="333333"/>
                <w:spacing w:val="-3"/>
              </w:rPr>
              <w:t>6.4%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200"/>
              <w:spacing w:before="52" w:line="169" w:lineRule="auto"/>
              <w:rPr/>
            </w:pPr>
            <w:r>
              <w:rPr>
                <w:color w:val="333333"/>
                <w:spacing w:val="-4"/>
              </w:rPr>
              <w:t>8.2%</w:t>
            </w:r>
          </w:p>
        </w:tc>
        <w:tc>
          <w:tcPr>
            <w:tcW w:w="851" w:type="dxa"/>
            <w:vAlign w:val="top"/>
          </w:tcPr>
          <w:p>
            <w:pPr>
              <w:pStyle w:val="TableText"/>
              <w:ind w:left="138"/>
              <w:spacing w:before="52" w:line="169" w:lineRule="auto"/>
              <w:rPr/>
            </w:pPr>
            <w:r>
              <w:rPr>
                <w:color w:val="333333"/>
                <w:spacing w:val="-3"/>
              </w:rPr>
              <w:t>3.48%</w:t>
            </w:r>
          </w:p>
        </w:tc>
        <w:tc>
          <w:tcPr>
            <w:tcW w:w="1274" w:type="dxa"/>
            <w:vAlign w:val="top"/>
          </w:tcPr>
          <w:p>
            <w:pPr>
              <w:pStyle w:val="TableText"/>
              <w:ind w:left="351"/>
              <w:spacing w:before="52" w:line="169" w:lineRule="auto"/>
              <w:rPr/>
            </w:pPr>
            <w:r>
              <w:rPr>
                <w:color w:val="333333"/>
                <w:spacing w:val="-3"/>
              </w:rPr>
              <w:t>3.77%</w:t>
            </w:r>
          </w:p>
        </w:tc>
        <w:tc>
          <w:tcPr>
            <w:tcW w:w="1423" w:type="dxa"/>
            <w:vAlign w:val="top"/>
          </w:tcPr>
          <w:p>
            <w:pPr>
              <w:pStyle w:val="TableText"/>
              <w:ind w:left="423"/>
              <w:spacing w:before="52" w:line="169" w:lineRule="auto"/>
              <w:rPr/>
            </w:pPr>
            <w:r>
              <w:rPr>
                <w:color w:val="333333"/>
                <w:spacing w:val="-2"/>
              </w:rPr>
              <w:t>0.47%</w:t>
            </w:r>
          </w:p>
        </w:tc>
      </w:tr>
    </w:tbl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25" w:firstLine="604"/>
        <w:spacing w:before="97" w:line="257" w:lineRule="auto"/>
        <w:jc w:val="both"/>
        <w:rPr/>
      </w:pPr>
      <w:r>
        <w:rPr>
          <w:spacing w:val="-6"/>
        </w:rPr>
        <w:t>从表</w:t>
      </w:r>
      <w:r>
        <w:rPr>
          <w:spacing w:val="-23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1 </w:t>
      </w:r>
      <w:r>
        <w:rPr>
          <w:spacing w:val="-6"/>
        </w:rPr>
        <w:t>我们得出三点结论：一是研发投入占比与研发投入规</w:t>
      </w:r>
      <w:r>
        <w:rPr>
          <w:spacing w:val="-6"/>
        </w:rPr>
        <w:t>模没有必然联系，研发投入高，研发投入占比未必就高。如</w:t>
      </w:r>
      <w:r>
        <w:rPr>
          <w:spacing w:val="-69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20</w:t>
      </w:r>
      <w:r>
        <w:rPr>
          <w:rFonts w:ascii="Times New Roman" w:hAnsi="Times New Roman" w:eastAsia="Times New Roman" w:cs="Times New Roman"/>
          <w:spacing w:val="-7"/>
        </w:rPr>
        <w:t>21</w:t>
      </w:r>
      <w:r>
        <w:rPr>
          <w:spacing w:val="-4"/>
        </w:rPr>
        <w:t>年，苹果研发投入很大，达到</w:t>
      </w:r>
      <w:r>
        <w:rPr>
          <w:spacing w:val="-53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219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spacing w:val="-4"/>
        </w:rPr>
        <w:t>美元（约 </w:t>
      </w:r>
      <w:r>
        <w:rPr>
          <w:rFonts w:ascii="Times New Roman" w:hAnsi="Times New Roman" w:eastAsia="Times New Roman" w:cs="Times New Roman"/>
          <w:spacing w:val="-4"/>
        </w:rPr>
        <w:t>193</w:t>
      </w:r>
      <w:r>
        <w:rPr>
          <w:rFonts w:ascii="Times New Roman" w:hAnsi="Times New Roman" w:eastAsia="Times New Roman" w:cs="Times New Roman"/>
          <w:spacing w:val="27"/>
          <w:w w:val="101"/>
        </w:rPr>
        <w:t xml:space="preserve"> </w:t>
      </w:r>
      <w:r>
        <w:rPr>
          <w:spacing w:val="-4"/>
        </w:rPr>
        <w:t>亿欧元</w:t>
      </w:r>
      <w:r>
        <w:rPr>
          <w:spacing w:val="-78"/>
        </w:rPr>
        <w:t>），</w:t>
      </w:r>
      <w:r>
        <w:rPr>
          <w:spacing w:val="-4"/>
        </w:rPr>
        <w:t>但研</w:t>
      </w:r>
      <w:r>
        <w:rPr>
          <w:spacing w:val="-3"/>
        </w:rPr>
        <w:t>发投入占比仅为</w:t>
      </w:r>
      <w:r>
        <w:rPr>
          <w:spacing w:val="-34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6%</w:t>
      </w:r>
      <w:r>
        <w:rPr>
          <w:spacing w:val="-3"/>
        </w:rPr>
        <w:t>。二是第 </w:t>
      </w:r>
      <w:r>
        <w:rPr>
          <w:rFonts w:ascii="Times New Roman" w:hAnsi="Times New Roman" w:eastAsia="Times New Roman" w:cs="Times New Roman"/>
          <w:spacing w:val="-3"/>
        </w:rPr>
        <w:t>I</w:t>
      </w:r>
      <w:r>
        <w:rPr>
          <w:rFonts w:ascii="Times New Roman" w:hAnsi="Times New Roman" w:eastAsia="Times New Roman" w:cs="Times New Roman"/>
          <w:spacing w:val="41"/>
        </w:rPr>
        <w:t xml:space="preserve"> </w:t>
      </w:r>
      <w:r>
        <w:rPr>
          <w:spacing w:val="-3"/>
        </w:rPr>
        <w:t>类科技公司研发投入占比总体高</w:t>
      </w:r>
      <w:r>
        <w:rPr/>
        <w:t>于第</w:t>
      </w:r>
      <w:r>
        <w:rPr>
          <w:rFonts w:ascii="Times New Roman" w:hAnsi="Times New Roman" w:eastAsia="Times New Roman" w:cs="Times New Roman"/>
        </w:rPr>
        <w:t>Ⅱ</w:t>
      </w:r>
      <w:r>
        <w:rPr/>
        <w:t>类科技公司。三是研发投入更加聚焦，通过成立重大工程</w:t>
      </w:r>
      <w:r>
        <w:rPr>
          <w:spacing w:val="-5"/>
        </w:rPr>
        <w:t>项目和高水平创新平台，全力攻克关键核心技术和重大产</w:t>
      </w:r>
      <w:r>
        <w:rPr>
          <w:spacing w:val="-6"/>
        </w:rPr>
        <w:t>品研发。</w:t>
      </w:r>
      <w:r>
        <w:rPr>
          <w:spacing w:val="-2"/>
        </w:rPr>
        <w:t>如苹果重点对核心产品（</w:t>
      </w:r>
      <w:r>
        <w:rPr>
          <w:rFonts w:ascii="Times New Roman" w:hAnsi="Times New Roman" w:eastAsia="Times New Roman" w:cs="Times New Roman"/>
          <w:spacing w:val="-2"/>
        </w:rPr>
        <w:t>iPhone</w:t>
      </w:r>
      <w:r>
        <w:rPr>
          <w:rFonts w:ascii="Times New Roman" w:hAnsi="Times New Roman" w:eastAsia="Times New Roman" w:cs="Times New Roman"/>
          <w:spacing w:val="-37"/>
        </w:rPr>
        <w:t xml:space="preserve"> </w:t>
      </w:r>
      <w:r>
        <w:rPr>
          <w:spacing w:val="-2"/>
        </w:rPr>
        <w:t>、</w:t>
      </w:r>
      <w:r>
        <w:rPr>
          <w:rFonts w:ascii="Times New Roman" w:hAnsi="Times New Roman" w:eastAsia="Times New Roman" w:cs="Times New Roman"/>
          <w:spacing w:val="-2"/>
        </w:rPr>
        <w:t>ipad </w:t>
      </w:r>
      <w:r>
        <w:rPr>
          <w:spacing w:val="-2"/>
        </w:rPr>
        <w:t>等）相关的芯片、操作系</w:t>
      </w:r>
    </w:p>
    <w:p>
      <w:pPr>
        <w:spacing w:line="257" w:lineRule="auto"/>
        <w:sectPr>
          <w:pgSz w:w="11907" w:h="16839"/>
          <w:pgMar w:top="1431" w:right="1543" w:bottom="0" w:left="1785" w:header="0" w:footer="0" w:gutter="0"/>
        </w:sectPr>
        <w:rPr/>
      </w:pPr>
    </w:p>
    <w:p>
      <w:pPr>
        <w:pStyle w:val="BodyText"/>
        <w:ind w:left="26" w:right="84" w:firstLine="7"/>
        <w:spacing w:before="86" w:line="260" w:lineRule="auto"/>
        <w:jc w:val="both"/>
        <w:rPr/>
      </w:pPr>
      <w:r>
        <w:rPr>
          <w:spacing w:val="-7"/>
        </w:rPr>
        <w:t>统等方面加大研发，成立自研芯片研发项目</w:t>
      </w:r>
      <w:r>
        <w:rPr>
          <w:spacing w:val="-8"/>
        </w:rPr>
        <w:t>，在约翰</w:t>
      </w:r>
      <w:r>
        <w:rPr>
          <w:rFonts w:ascii="Times New Roman" w:hAnsi="Times New Roman" w:eastAsia="Times New Roman" w:cs="Times New Roman"/>
          <w:spacing w:val="-8"/>
        </w:rPr>
        <w:t>·</w:t>
      </w:r>
      <w:r>
        <w:rPr>
          <w:spacing w:val="-8"/>
        </w:rPr>
        <w:t>斯鲁吉的带</w:t>
      </w:r>
      <w:r>
        <w:rPr>
          <w:spacing w:val="-4"/>
        </w:rPr>
        <w:t>领下，苹果成功研发</w:t>
      </w:r>
      <w:r>
        <w:rPr>
          <w:spacing w:val="-52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M1</w:t>
      </w:r>
      <w:r>
        <w:rPr>
          <w:rFonts w:ascii="Times New Roman" w:hAnsi="Times New Roman" w:eastAsia="Times New Roman" w:cs="Times New Roman"/>
          <w:spacing w:val="19"/>
        </w:rPr>
        <w:t xml:space="preserve"> </w:t>
      </w:r>
      <w:r>
        <w:rPr>
          <w:spacing w:val="-4"/>
        </w:rPr>
        <w:t>芯片，从而取代英特尔，为苹果进军汽</w:t>
      </w:r>
      <w:r>
        <w:rPr>
          <w:spacing w:val="-1"/>
        </w:rPr>
        <w:t>车、扩展头戴设备等产品打下了坚实的基础。</w:t>
      </w:r>
    </w:p>
    <w:p>
      <w:pPr>
        <w:pStyle w:val="BodyText"/>
        <w:ind w:left="26" w:right="87" w:firstLine="603"/>
        <w:spacing w:before="267" w:line="258" w:lineRule="auto"/>
        <w:jc w:val="both"/>
        <w:rPr/>
      </w:pPr>
      <w:r>
        <w:rPr>
          <w:spacing w:val="-6"/>
        </w:rPr>
        <w:t>从表</w:t>
      </w:r>
      <w:r>
        <w:rPr>
          <w:spacing w:val="-26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1 </w:t>
      </w:r>
      <w:r>
        <w:rPr>
          <w:spacing w:val="-6"/>
        </w:rPr>
        <w:t>可以看出，谷歌、腾讯、微软、国家电网等服务型科</w:t>
      </w:r>
      <w:r>
        <w:rPr>
          <w:spacing w:val="-17"/>
        </w:rPr>
        <w:t>技公司，谷歌、腾讯、微软等互联网公司研发投入占比超过</w:t>
      </w:r>
      <w:r>
        <w:rPr>
          <w:spacing w:val="-32"/>
        </w:rPr>
        <w:t xml:space="preserve"> </w:t>
      </w:r>
      <w:r>
        <w:rPr>
          <w:rFonts w:ascii="Times New Roman" w:hAnsi="Times New Roman" w:eastAsia="Times New Roman" w:cs="Times New Roman"/>
          <w:spacing w:val="-17"/>
        </w:rPr>
        <w:t>10%</w:t>
      </w:r>
      <w:r>
        <w:rPr>
          <w:rFonts w:ascii="Times New Roman" w:hAnsi="Times New Roman" w:eastAsia="Times New Roman" w:cs="Times New Roman"/>
          <w:spacing w:val="-39"/>
        </w:rPr>
        <w:t xml:space="preserve"> </w:t>
      </w:r>
      <w:r>
        <w:rPr>
          <w:spacing w:val="-17"/>
        </w:rPr>
        <w:t>，</w:t>
      </w:r>
      <w:r>
        <w:rPr>
          <w:spacing w:val="-2"/>
        </w:rPr>
        <w:t>而国家电网研发投入</w:t>
      </w:r>
      <w:r>
        <w:rPr>
          <w:spacing w:val="-69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2022 </w:t>
      </w:r>
      <w:r>
        <w:rPr>
          <w:spacing w:val="-2"/>
        </w:rPr>
        <w:t>年达到</w:t>
      </w:r>
      <w:r>
        <w:rPr>
          <w:spacing w:val="-43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167.86 </w:t>
      </w:r>
      <w:r>
        <w:rPr>
          <w:spacing w:val="-2"/>
        </w:rPr>
        <w:t>亿元，研发投入占比仅</w:t>
      </w:r>
      <w:r>
        <w:rPr>
          <w:spacing w:val="-2"/>
        </w:rPr>
        <w:t>为</w:t>
      </w:r>
      <w:r>
        <w:rPr>
          <w:spacing w:val="-65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0.47%</w:t>
      </w:r>
      <w:r>
        <w:rPr>
          <w:spacing w:val="-2"/>
        </w:rPr>
        <w:t>，这一比例较低，但国家电网科技创新成</w:t>
      </w:r>
      <w:r>
        <w:rPr>
          <w:spacing w:val="-3"/>
        </w:rPr>
        <w:t>功更值得中国</w:t>
      </w:r>
      <w:r>
        <w:rPr>
          <w:spacing w:val="-4"/>
        </w:rPr>
        <w:t>电信学习和借鉴，也进一步说明研发投入占比高低不是评价科技</w:t>
      </w:r>
      <w:r>
        <w:rPr>
          <w:spacing w:val="-4"/>
        </w:rPr>
        <w:t>创新能力强弱的决定性因素。</w:t>
      </w:r>
    </w:p>
    <w:p>
      <w:pPr>
        <w:pStyle w:val="BodyText"/>
        <w:ind w:left="624"/>
        <w:spacing w:before="290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6"/>
        </w:rPr>
        <w:t>2</w:t>
      </w:r>
      <w:r>
        <w:rPr>
          <w:b/>
          <w:bCs/>
          <w:spacing w:val="-6"/>
        </w:rPr>
        <w:t>．</w:t>
      </w:r>
      <w:r>
        <w:rPr>
          <w:spacing w:val="-86"/>
        </w:rPr>
        <w:t xml:space="preserve"> </w:t>
      </w:r>
      <w:r>
        <w:rPr>
          <w:b/>
          <w:bCs/>
          <w:spacing w:val="-6"/>
        </w:rPr>
        <w:t>自主研发能力强，掌控核心关键技术</w:t>
      </w:r>
    </w:p>
    <w:p>
      <w:pPr>
        <w:pStyle w:val="BodyText"/>
        <w:ind w:left="25" w:firstLine="601"/>
        <w:spacing w:before="324" w:line="258" w:lineRule="auto"/>
        <w:rPr/>
      </w:pPr>
      <w:r>
        <w:rPr>
          <w:spacing w:val="-4"/>
        </w:rPr>
        <w:t>例如，苹果公司在工业设计、芯片和操作系统等</w:t>
      </w:r>
      <w:r>
        <w:rPr>
          <w:spacing w:val="-5"/>
        </w:rPr>
        <w:t>方面拥有强</w:t>
      </w:r>
      <w:r>
        <w:rPr>
          <w:spacing w:val="-6"/>
        </w:rPr>
        <w:t>大的自主创新能力，自主研发了</w:t>
      </w:r>
      <w:r>
        <w:rPr>
          <w:rFonts w:ascii="Times New Roman" w:hAnsi="Times New Roman" w:eastAsia="Times New Roman" w:cs="Times New Roman"/>
          <w:spacing w:val="-6"/>
        </w:rPr>
        <w:t>A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spacing w:val="-6"/>
        </w:rPr>
        <w:t>系列和</w:t>
      </w:r>
      <w:r>
        <w:rPr>
          <w:rFonts w:ascii="Times New Roman" w:hAnsi="Times New Roman" w:eastAsia="Times New Roman" w:cs="Times New Roman"/>
          <w:spacing w:val="-6"/>
        </w:rPr>
        <w:t>M</w:t>
      </w:r>
      <w:r>
        <w:rPr>
          <w:rFonts w:ascii="Times New Roman" w:hAnsi="Times New Roman" w:eastAsia="Times New Roman" w:cs="Times New Roman"/>
          <w:spacing w:val="-15"/>
        </w:rPr>
        <w:t xml:space="preserve"> </w:t>
      </w:r>
      <w:r>
        <w:rPr>
          <w:spacing w:val="-6"/>
        </w:rPr>
        <w:t>系列芯片以及手机、</w:t>
      </w:r>
      <w:r>
        <w:rPr>
          <w:spacing w:val="-4"/>
        </w:rPr>
        <w:t>平台、笔记本电脑全系列操作系统。国家电网是一家具有行业引</w:t>
      </w:r>
      <w:r>
        <w:rPr>
          <w:spacing w:val="-4"/>
        </w:rPr>
        <w:t>领力和国际影响力的科技公司，全面掌握大电网安全控制技术和</w:t>
      </w:r>
      <w:r>
        <w:rPr>
          <w:spacing w:val="-3"/>
        </w:rPr>
        <w:t>输电技术，自主创新能力不断提升。截至 </w:t>
      </w:r>
      <w:r>
        <w:rPr>
          <w:rFonts w:ascii="Times New Roman" w:hAnsi="Times New Roman" w:eastAsia="Times New Roman" w:cs="Times New Roman"/>
          <w:spacing w:val="-3"/>
        </w:rPr>
        <w:t>2022</w:t>
      </w:r>
      <w:r>
        <w:rPr>
          <w:rFonts w:ascii="Times New Roman" w:hAnsi="Times New Roman" w:eastAsia="Times New Roman" w:cs="Times New Roman"/>
          <w:spacing w:val="60"/>
          <w:w w:val="101"/>
        </w:rPr>
        <w:t xml:space="preserve"> </w:t>
      </w:r>
      <w:r>
        <w:rPr>
          <w:spacing w:val="-3"/>
        </w:rPr>
        <w:t>年底，国家电网</w:t>
      </w:r>
      <w:r>
        <w:rPr>
          <w:spacing w:val="-8"/>
        </w:rPr>
        <w:t>授权专利累计超过</w:t>
      </w:r>
      <w:r>
        <w:rPr>
          <w:spacing w:val="-37"/>
        </w:rPr>
        <w:t xml:space="preserve"> </w:t>
      </w:r>
      <w:r>
        <w:rPr>
          <w:rFonts w:ascii="Times New Roman" w:hAnsi="Times New Roman" w:eastAsia="Times New Roman" w:cs="Times New Roman"/>
          <w:spacing w:val="-8"/>
        </w:rPr>
        <w:t>11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spacing w:val="-8"/>
        </w:rPr>
        <w:t>万件，连续 </w:t>
      </w:r>
      <w:r>
        <w:rPr>
          <w:rFonts w:ascii="Times New Roman" w:hAnsi="Times New Roman" w:eastAsia="Times New Roman" w:cs="Times New Roman"/>
          <w:spacing w:val="-8"/>
        </w:rPr>
        <w:t>11</w:t>
      </w:r>
      <w:r>
        <w:rPr>
          <w:rFonts w:ascii="Times New Roman" w:hAnsi="Times New Roman" w:eastAsia="Times New Roman" w:cs="Times New Roman"/>
          <w:spacing w:val="16"/>
        </w:rPr>
        <w:t xml:space="preserve"> </w:t>
      </w:r>
      <w:r>
        <w:rPr>
          <w:spacing w:val="-8"/>
        </w:rPr>
        <w:t>年排名央企第一，</w:t>
      </w:r>
      <w:r>
        <w:rPr>
          <w:rFonts w:ascii="Times New Roman" w:hAnsi="Times New Roman" w:eastAsia="Times New Roman" w:cs="Times New Roman"/>
          <w:spacing w:val="-8"/>
        </w:rPr>
        <w:t>20</w:t>
      </w:r>
      <w:r>
        <w:rPr>
          <w:rFonts w:ascii="Times New Roman" w:hAnsi="Times New Roman" w:eastAsia="Times New Roman" w:cs="Times New Roman"/>
          <w:spacing w:val="-9"/>
        </w:rPr>
        <w:t>22</w:t>
      </w:r>
      <w:r>
        <w:rPr>
          <w:rFonts w:ascii="Times New Roman" w:hAnsi="Times New Roman" w:eastAsia="Times New Roman" w:cs="Times New Roman"/>
          <w:spacing w:val="17"/>
        </w:rPr>
        <w:t xml:space="preserve"> </w:t>
      </w:r>
      <w:r>
        <w:rPr>
          <w:spacing w:val="-9"/>
        </w:rPr>
        <w:t>年，</w:t>
      </w:r>
      <w:r>
        <w:rPr>
          <w:spacing w:val="-4"/>
        </w:rPr>
        <w:t>国家电网申请专利</w:t>
      </w:r>
      <w:r>
        <w:rPr>
          <w:spacing w:val="-68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24928 </w:t>
      </w:r>
      <w:r>
        <w:rPr>
          <w:spacing w:val="-4"/>
        </w:rPr>
        <w:t>件，其中发明专利</w:t>
      </w:r>
      <w:r>
        <w:rPr>
          <w:spacing w:val="-40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18356 </w:t>
      </w:r>
      <w:r>
        <w:rPr>
          <w:spacing w:val="-5"/>
        </w:rPr>
        <w:t>件；获得专利</w:t>
      </w:r>
      <w:r>
        <w:rPr>
          <w:spacing w:val="-4"/>
        </w:rPr>
        <w:t>授权</w:t>
      </w:r>
      <w:r>
        <w:rPr>
          <w:spacing w:val="-41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12561 </w:t>
      </w:r>
      <w:r>
        <w:rPr>
          <w:spacing w:val="-4"/>
        </w:rPr>
        <w:t>件，其中发明专利</w:t>
      </w:r>
      <w:r>
        <w:rPr>
          <w:spacing w:val="-62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6043 </w:t>
      </w:r>
      <w:r>
        <w:rPr>
          <w:spacing w:val="-4"/>
        </w:rPr>
        <w:t>件。华为在鸿蒙系统、</w:t>
      </w:r>
      <w:r>
        <w:rPr>
          <w:rFonts w:ascii="Times New Roman" w:hAnsi="Times New Roman" w:eastAsia="Times New Roman" w:cs="Times New Roman"/>
          <w:spacing w:val="-4"/>
        </w:rPr>
        <w:t>5</w:t>
      </w:r>
      <w:r>
        <w:rPr>
          <w:rFonts w:ascii="Times New Roman" w:hAnsi="Times New Roman" w:eastAsia="Times New Roman" w:cs="Times New Roman"/>
          <w:spacing w:val="-5"/>
        </w:rPr>
        <w:t>G </w:t>
      </w:r>
      <w:r>
        <w:rPr>
          <w:spacing w:val="-5"/>
        </w:rPr>
        <w:t>技</w:t>
      </w:r>
      <w:r>
        <w:rPr>
          <w:spacing w:val="-6"/>
        </w:rPr>
        <w:t>术、芯片等方面拥有自主知识产权的核心技术和专利。截至</w:t>
      </w:r>
      <w:r>
        <w:rPr>
          <w:spacing w:val="-69"/>
        </w:rPr>
        <w:t xml:space="preserve"> </w:t>
      </w:r>
      <w:r>
        <w:rPr>
          <w:rFonts w:ascii="Times New Roman" w:hAnsi="Times New Roman" w:eastAsia="Times New Roman" w:cs="Times New Roman"/>
          <w:spacing w:val="-7"/>
        </w:rPr>
        <w:t>2022</w:t>
      </w:r>
      <w:r>
        <w:rPr>
          <w:spacing w:val="-3"/>
        </w:rPr>
        <w:t>年底，华为全球累计拥有有效授权专利超过</w:t>
      </w:r>
      <w:r>
        <w:rPr>
          <w:spacing w:val="-28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12</w:t>
      </w:r>
      <w:r>
        <w:rPr>
          <w:rFonts w:ascii="Times New Roman" w:hAnsi="Times New Roman" w:eastAsia="Times New Roman" w:cs="Times New Roman"/>
          <w:spacing w:val="19"/>
          <w:w w:val="101"/>
        </w:rPr>
        <w:t xml:space="preserve"> </w:t>
      </w:r>
      <w:r>
        <w:rPr>
          <w:spacing w:val="-3"/>
        </w:rPr>
        <w:t>万件，</w:t>
      </w:r>
      <w:r>
        <w:rPr>
          <w:rFonts w:ascii="Times New Roman" w:hAnsi="Times New Roman" w:eastAsia="Times New Roman" w:cs="Times New Roman"/>
          <w:spacing w:val="-3"/>
        </w:rPr>
        <w:t>2022 </w:t>
      </w:r>
      <w:r>
        <w:rPr>
          <w:spacing w:val="-3"/>
        </w:rPr>
        <w:t>年华</w:t>
      </w:r>
      <w:r>
        <w:rPr>
          <w:spacing w:val="-2"/>
        </w:rPr>
        <w:t>为</w:t>
      </w:r>
      <w:r>
        <w:rPr>
          <w:spacing w:val="-70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PCT </w:t>
      </w:r>
      <w:r>
        <w:rPr>
          <w:spacing w:val="-2"/>
        </w:rPr>
        <w:t>专利申请数达到</w:t>
      </w:r>
      <w:r>
        <w:rPr>
          <w:spacing w:val="-65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7689 </w:t>
      </w:r>
      <w:r>
        <w:rPr>
          <w:spacing w:val="-2"/>
        </w:rPr>
        <w:t>件，连续六年蝉联国</w:t>
      </w:r>
      <w:r>
        <w:rPr>
          <w:spacing w:val="-3"/>
        </w:rPr>
        <w:t>际专利申请企</w:t>
      </w:r>
      <w:r>
        <w:rPr>
          <w:spacing w:val="-4"/>
        </w:rPr>
        <w:t>业榜首。科大讯飞在声学技术、自然语言理解、机器推理等人工</w:t>
      </w:r>
      <w:r>
        <w:rPr>
          <w:spacing w:val="-4"/>
        </w:rPr>
        <w:t>智能领域具有全球领先地位。特斯拉在电池管理技术、智能辅助</w:t>
      </w:r>
      <w:r>
        <w:rPr>
          <w:spacing w:val="-3"/>
        </w:rPr>
        <w:t>驾驶技术、超充技术等方面具有核心竞争优势。</w:t>
      </w:r>
    </w:p>
    <w:p>
      <w:pPr>
        <w:pStyle w:val="BodyText"/>
        <w:ind w:left="29" w:right="89" w:firstLine="591"/>
        <w:spacing w:before="286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1"/>
        </w:rPr>
        <w:t>3</w:t>
      </w:r>
      <w:r>
        <w:rPr>
          <w:b/>
          <w:bCs/>
          <w:spacing w:val="-1"/>
        </w:rPr>
        <w:t>．持续产生全球影响力的科技创新成果以及</w:t>
      </w:r>
      <w:r>
        <w:rPr>
          <w:b/>
          <w:bCs/>
          <w:spacing w:val="-2"/>
        </w:rPr>
        <w:t>具有产业主导</w:t>
      </w:r>
      <w:r>
        <w:rPr>
          <w:b/>
          <w:bCs/>
          <w:spacing w:val="-4"/>
        </w:rPr>
        <w:t>性的创新产品与应用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left="26" w:right="2" w:firstLine="604"/>
        <w:spacing w:before="98" w:line="264" w:lineRule="auto"/>
        <w:jc w:val="both"/>
        <w:rPr/>
      </w:pPr>
      <w:r>
        <w:rPr>
          <w:spacing w:val="-9"/>
        </w:rPr>
        <w:t>一是拥有全球影响力的重大科技创新成果。例如，</w:t>
      </w:r>
      <w:r>
        <w:rPr>
          <w:spacing w:val="-26"/>
        </w:rPr>
        <w:t xml:space="preserve"> </w:t>
      </w:r>
      <w:r>
        <w:rPr>
          <w:spacing w:val="-9"/>
        </w:rPr>
        <w:t>谷歌通过</w:t>
      </w:r>
      <w:r>
        <w:rPr>
          <w:spacing w:val="-4"/>
        </w:rPr>
        <w:t>增加量子比特的数量实现量子计算纠错重大突破，推出全息视频</w:t>
      </w:r>
      <w:r>
        <w:rPr>
          <w:spacing w:val="-5"/>
        </w:rPr>
        <w:t>通话亭</w:t>
      </w:r>
      <w:r>
        <w:rPr>
          <w:spacing w:val="-22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Starline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spacing w:val="-5"/>
        </w:rPr>
        <w:t>为视频通话创造极其逼真的体验；</w:t>
      </w:r>
      <w:r>
        <w:rPr>
          <w:rFonts w:ascii="Times New Roman" w:hAnsi="Times New Roman" w:eastAsia="Times New Roman" w:cs="Times New Roman"/>
          <w:spacing w:val="-5"/>
        </w:rPr>
        <w:t>2022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spacing w:val="-5"/>
        </w:rPr>
        <w:t>年</w:t>
      </w:r>
      <w:r>
        <w:rPr>
          <w:spacing w:val="-44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6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spacing w:val="-5"/>
        </w:rPr>
        <w:t>月，</w:t>
      </w:r>
    </w:p>
    <w:p>
      <w:pPr>
        <w:spacing w:line="264" w:lineRule="auto"/>
        <w:sectPr>
          <w:pgSz w:w="11907" w:h="16839"/>
          <w:pgMar w:top="1431" w:right="1711" w:bottom="0" w:left="1785" w:header="0" w:footer="0" w:gutter="0"/>
        </w:sectPr>
        <w:rPr/>
      </w:pPr>
    </w:p>
    <w:p>
      <w:pPr>
        <w:pStyle w:val="BodyText"/>
        <w:ind w:left="27"/>
        <w:spacing w:before="87" w:line="258" w:lineRule="auto"/>
        <w:tabs>
          <w:tab w:val="left" w:pos="8622"/>
        </w:tabs>
        <w:jc w:val="both"/>
        <w:rPr/>
      </w:pPr>
      <w:r>
        <w:rPr>
          <w:spacing w:val="-15"/>
        </w:rPr>
        <w:t>华为对外公布“十大发明</w:t>
      </w:r>
      <w:r>
        <w:rPr>
          <w:spacing w:val="-104"/>
        </w:rPr>
        <w:t xml:space="preserve"> </w:t>
      </w:r>
      <w:r>
        <w:rPr>
          <w:spacing w:val="-15"/>
        </w:rPr>
        <w:t>”，在</w:t>
      </w:r>
      <w:r>
        <w:rPr>
          <w:spacing w:val="-44"/>
        </w:rPr>
        <w:t xml:space="preserve"> </w:t>
      </w:r>
      <w:r>
        <w:rPr>
          <w:rFonts w:ascii="Times New Roman" w:hAnsi="Times New Roman" w:eastAsia="Times New Roman" w:cs="Times New Roman"/>
          <w:spacing w:val="-15"/>
        </w:rPr>
        <w:t>5G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spacing w:val="-15"/>
        </w:rPr>
        <w:t>网络、智能驾驶、光信号等技</w:t>
      </w:r>
      <w:r>
        <w:rPr>
          <w:spacing w:val="4"/>
        </w:rPr>
        <w:t>术实现重大突破；国家电网“特高压输电</w:t>
      </w:r>
      <w:r>
        <w:rPr>
          <w:spacing w:val="-106"/>
        </w:rPr>
        <w:t xml:space="preserve"> </w:t>
      </w:r>
      <w:r>
        <w:rPr>
          <w:spacing w:val="4"/>
        </w:rPr>
        <w:t>”和“柔性</w:t>
      </w:r>
      <w:r>
        <w:rPr>
          <w:spacing w:val="3"/>
        </w:rPr>
        <w:t>直流输电</w:t>
      </w:r>
      <w:r>
        <w:rPr>
          <w:spacing w:val="-106"/>
        </w:rPr>
        <w:t xml:space="preserve"> </w:t>
      </w:r>
      <w:r>
        <w:rPr>
          <w:spacing w:val="3"/>
        </w:rPr>
        <w:t>”</w:t>
      </w:r>
      <w:r>
        <w:rPr>
          <w:spacing w:val="-5"/>
        </w:rPr>
        <w:t>两项技术全球遥遥领先。</w:t>
      </w:r>
    </w:p>
    <w:p>
      <w:pPr>
        <w:pStyle w:val="BodyText"/>
        <w:ind w:left="23" w:right="301" w:firstLine="607"/>
        <w:spacing w:before="286" w:line="258" w:lineRule="auto"/>
        <w:jc w:val="both"/>
        <w:rPr/>
      </w:pPr>
      <w:r>
        <w:rPr>
          <w:spacing w:val="-5"/>
        </w:rPr>
        <w:t>二是打造具有产业影响力和主导性的产品和应用。如苹果从</w:t>
      </w:r>
      <w:r>
        <w:rPr>
          <w:rFonts w:ascii="Times New Roman" w:hAnsi="Times New Roman" w:eastAsia="Times New Roman" w:cs="Times New Roman"/>
          <w:spacing w:val="-6"/>
        </w:rPr>
        <w:t>iPod</w:t>
      </w:r>
      <w:r>
        <w:rPr>
          <w:spacing w:val="-6"/>
        </w:rPr>
        <w:t>、</w:t>
      </w:r>
      <w:r>
        <w:rPr>
          <w:rFonts w:ascii="Times New Roman" w:hAnsi="Times New Roman" w:eastAsia="Times New Roman" w:cs="Times New Roman"/>
          <w:spacing w:val="-6"/>
        </w:rPr>
        <w:t>iTouch</w:t>
      </w:r>
      <w:r>
        <w:rPr>
          <w:spacing w:val="-6"/>
        </w:rPr>
        <w:t>，再到</w:t>
      </w:r>
      <w:r>
        <w:rPr>
          <w:spacing w:val="-66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iPhone</w:t>
      </w:r>
      <w:r>
        <w:rPr>
          <w:spacing w:val="-6"/>
        </w:rPr>
        <w:t>、</w:t>
      </w:r>
      <w:r>
        <w:rPr>
          <w:rFonts w:ascii="Times New Roman" w:hAnsi="Times New Roman" w:eastAsia="Times New Roman" w:cs="Times New Roman"/>
          <w:spacing w:val="-6"/>
        </w:rPr>
        <w:t>iPad</w:t>
      </w:r>
      <w:r>
        <w:rPr>
          <w:spacing w:val="-6"/>
        </w:rPr>
        <w:t>，</w:t>
      </w:r>
      <w:r>
        <w:rPr>
          <w:rFonts w:ascii="Times New Roman" w:hAnsi="Times New Roman" w:eastAsia="Times New Roman" w:cs="Times New Roman"/>
          <w:spacing w:val="-6"/>
        </w:rPr>
        <w:t>iWatch</w:t>
      </w:r>
      <w:r>
        <w:rPr>
          <w:spacing w:val="-7"/>
        </w:rPr>
        <w:t>、</w:t>
      </w:r>
      <w:r>
        <w:rPr>
          <w:rFonts w:ascii="Times New Roman" w:hAnsi="Times New Roman" w:eastAsia="Times New Roman" w:cs="Times New Roman"/>
          <w:spacing w:val="-7"/>
        </w:rPr>
        <w:t>airPods</w:t>
      </w:r>
      <w:r>
        <w:rPr>
          <w:rFonts w:ascii="Times New Roman" w:hAnsi="Times New Roman" w:eastAsia="Times New Roman" w:cs="Times New Roman"/>
          <w:spacing w:val="16"/>
        </w:rPr>
        <w:t xml:space="preserve"> </w:t>
      </w:r>
      <w:r>
        <w:rPr>
          <w:spacing w:val="-7"/>
        </w:rPr>
        <w:t>等，</w:t>
      </w:r>
      <w:r>
        <w:rPr>
          <w:rFonts w:ascii="Times New Roman" w:hAnsi="Times New Roman" w:eastAsia="Times New Roman" w:cs="Times New Roman"/>
          <w:spacing w:val="-7"/>
        </w:rPr>
        <w:t>iPhone </w:t>
      </w:r>
      <w:r>
        <w:rPr>
          <w:spacing w:val="-7"/>
        </w:rPr>
        <w:t>开</w:t>
      </w:r>
      <w:r>
        <w:rPr>
          <w:spacing w:val="-4"/>
        </w:rPr>
        <w:t>创了智能手机时代，主导了智能手机的发展；谷歌推出的谷歌搜</w:t>
      </w:r>
      <w:r>
        <w:rPr>
          <w:spacing w:val="-1"/>
        </w:rPr>
        <w:t>素引擎、谷歌地图、</w:t>
      </w:r>
      <w:r>
        <w:rPr>
          <w:rFonts w:ascii="Times New Roman" w:hAnsi="Times New Roman" w:eastAsia="Times New Roman" w:cs="Times New Roman"/>
          <w:spacing w:val="-1"/>
        </w:rPr>
        <w:t>Andriod</w:t>
      </w:r>
      <w:r>
        <w:rPr>
          <w:rFonts w:ascii="Times New Roman" w:hAnsi="Times New Roman" w:eastAsia="Times New Roman" w:cs="Times New Roman"/>
          <w:spacing w:val="53"/>
        </w:rPr>
        <w:t xml:space="preserve"> </w:t>
      </w:r>
      <w:r>
        <w:rPr>
          <w:spacing w:val="-1"/>
        </w:rPr>
        <w:t>操作系统、谷歌浏览器等产品，主</w:t>
      </w:r>
      <w:r>
        <w:rPr>
          <w:spacing w:val="-4"/>
        </w:rPr>
        <w:t>导了互联网产业的发展；腾讯推出的微信在互联网社交领域具有</w:t>
      </w:r>
      <w:r>
        <w:rPr>
          <w:spacing w:val="-4"/>
        </w:rPr>
        <w:t>绝对主导地位；科大讯飞推出的声学成像仪、羚羊工业互联网平</w:t>
      </w:r>
      <w:r>
        <w:rPr>
          <w:spacing w:val="-2"/>
        </w:rPr>
        <w:t>台、讯飞开放平台等产品，成为国内人工智能产业的主导者。</w:t>
      </w:r>
    </w:p>
    <w:p>
      <w:pPr>
        <w:pStyle w:val="BodyText"/>
        <w:ind w:left="624"/>
        <w:spacing w:before="280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4</w:t>
      </w:r>
      <w:r>
        <w:rPr>
          <w:b/>
          <w:bCs/>
          <w:spacing w:val="-3"/>
        </w:rPr>
        <w:t>．打造与科技创新相适应的组织体系，实现可持续的创新</w:t>
      </w:r>
    </w:p>
    <w:p>
      <w:pPr>
        <w:pStyle w:val="BodyText"/>
        <w:ind w:left="25" w:right="151" w:firstLine="601"/>
        <w:spacing w:before="326" w:line="258" w:lineRule="auto"/>
        <w:jc w:val="both"/>
        <w:rPr/>
      </w:pPr>
      <w:r>
        <w:rPr>
          <w:spacing w:val="-2"/>
        </w:rPr>
        <w:t>例如，谷歌组建了专注于研发创新项目的 </w:t>
      </w:r>
      <w:r>
        <w:rPr>
          <w:rFonts w:ascii="Times New Roman" w:hAnsi="Times New Roman" w:eastAsia="Times New Roman" w:cs="Times New Roman"/>
          <w:spacing w:val="-2"/>
        </w:rPr>
        <w:t>Google</w:t>
      </w:r>
      <w:r>
        <w:rPr>
          <w:rFonts w:ascii="Times New Roman" w:hAnsi="Times New Roman" w:eastAsia="Times New Roman" w:cs="Times New Roman"/>
          <w:spacing w:val="49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Labs</w:t>
      </w:r>
      <w:r>
        <w:rPr>
          <w:spacing w:val="-2"/>
        </w:rPr>
        <w:t>，主</w:t>
      </w:r>
      <w:r>
        <w:rPr>
          <w:spacing w:val="-4"/>
        </w:rPr>
        <w:t>要负责</w:t>
      </w:r>
      <w:r>
        <w:rPr>
          <w:spacing w:val="-48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AR</w:t>
      </w:r>
      <w:r>
        <w:rPr>
          <w:spacing w:val="-4"/>
        </w:rPr>
        <w:t>、</w:t>
      </w:r>
      <w:r>
        <w:rPr>
          <w:rFonts w:ascii="Times New Roman" w:hAnsi="Times New Roman" w:eastAsia="Times New Roman" w:cs="Times New Roman"/>
          <w:spacing w:val="-4"/>
        </w:rPr>
        <w:t>VR</w:t>
      </w:r>
      <w:r>
        <w:rPr>
          <w:spacing w:val="-4"/>
        </w:rPr>
        <w:t>、全息视频通话方案</w:t>
      </w:r>
      <w:r>
        <w:rPr>
          <w:spacing w:val="-32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Starline</w:t>
      </w:r>
      <w:r>
        <w:rPr>
          <w:rFonts w:ascii="Times New Roman" w:hAnsi="Times New Roman" w:eastAsia="Times New Roman" w:cs="Times New Roman"/>
          <w:spacing w:val="-43"/>
        </w:rPr>
        <w:t xml:space="preserve"> </w:t>
      </w:r>
      <w:r>
        <w:rPr>
          <w:spacing w:val="-4"/>
        </w:rPr>
        <w:t>、</w:t>
      </w:r>
      <w:r>
        <w:rPr>
          <w:rFonts w:ascii="Times New Roman" w:hAnsi="Times New Roman" w:eastAsia="Times New Roman" w:cs="Times New Roman"/>
          <w:spacing w:val="-4"/>
        </w:rPr>
        <w:t>Area</w:t>
      </w:r>
      <w:r>
        <w:rPr>
          <w:rFonts w:ascii="Times New Roman" w:hAnsi="Times New Roman" w:eastAsia="Times New Roman" w:cs="Times New Roman"/>
          <w:spacing w:val="7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120  </w:t>
      </w:r>
      <w:r>
        <w:rPr>
          <w:spacing w:val="-4"/>
        </w:rPr>
        <w:t>内部孵</w:t>
      </w:r>
      <w:r>
        <w:rPr>
          <w:spacing w:val="-4"/>
        </w:rPr>
        <w:t>化平台等技术研发；成立人工智能实验室、量子通信实验室等实</w:t>
      </w:r>
      <w:r>
        <w:rPr>
          <w:spacing w:val="-3"/>
        </w:rPr>
        <w:t>验室，在法国、印度等成立</w:t>
      </w:r>
      <w:r>
        <w:rPr>
          <w:spacing w:val="-57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AI </w:t>
      </w:r>
      <w:r>
        <w:rPr>
          <w:spacing w:val="-3"/>
        </w:rPr>
        <w:t>研究中心，在世界各地成立</w:t>
      </w:r>
      <w:r>
        <w:rPr>
          <w:rFonts w:ascii="Times New Roman" w:hAnsi="Times New Roman" w:eastAsia="Times New Roman" w:cs="Times New Roman"/>
          <w:spacing w:val="-3"/>
        </w:rPr>
        <w:t>20</w:t>
      </w:r>
      <w:r>
        <w:rPr>
          <w:rFonts w:ascii="Times New Roman" w:hAnsi="Times New Roman" w:eastAsia="Times New Roman" w:cs="Times New Roman"/>
          <w:spacing w:val="26"/>
          <w:w w:val="101"/>
        </w:rPr>
        <w:t xml:space="preserve"> </w:t>
      </w:r>
      <w:r>
        <w:rPr>
          <w:spacing w:val="-3"/>
        </w:rPr>
        <w:t>多</w:t>
      </w:r>
      <w:r>
        <w:rPr>
          <w:spacing w:val="-11"/>
        </w:rPr>
        <w:t>个谷歌研究院；华为在国内北京、上海、南京、西安等成立</w:t>
      </w:r>
      <w:r>
        <w:rPr>
          <w:spacing w:val="-24"/>
        </w:rPr>
        <w:t xml:space="preserve"> </w:t>
      </w:r>
      <w:r>
        <w:rPr>
          <w:rFonts w:ascii="Times New Roman" w:hAnsi="Times New Roman" w:eastAsia="Times New Roman" w:cs="Times New Roman"/>
          <w:spacing w:val="-11"/>
        </w:rPr>
        <w:t>10</w:t>
      </w:r>
      <w:r>
        <w:rPr>
          <w:rFonts w:ascii="Times New Roman" w:hAnsi="Times New Roman" w:eastAsia="Times New Roman" w:cs="Times New Roman"/>
          <w:spacing w:val="16"/>
        </w:rPr>
        <w:t xml:space="preserve"> </w:t>
      </w:r>
      <w:r>
        <w:rPr>
          <w:spacing w:val="-11"/>
        </w:rPr>
        <w:t>大</w:t>
      </w:r>
      <w:r>
        <w:rPr>
          <w:spacing w:val="-5"/>
        </w:rPr>
        <w:t>研究所，在海外拥有</w:t>
      </w:r>
      <w:r>
        <w:rPr>
          <w:spacing w:val="-54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20</w:t>
      </w:r>
      <w:r>
        <w:rPr>
          <w:rFonts w:ascii="Times New Roman" w:hAnsi="Times New Roman" w:eastAsia="Times New Roman" w:cs="Times New Roman"/>
          <w:spacing w:val="26"/>
        </w:rPr>
        <w:t xml:space="preserve"> </w:t>
      </w:r>
      <w:r>
        <w:rPr>
          <w:spacing w:val="-5"/>
        </w:rPr>
        <w:t>多个研发中心，在总部成立</w:t>
      </w:r>
      <w:r>
        <w:rPr>
          <w:spacing w:val="-69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2012 </w:t>
      </w:r>
      <w:r>
        <w:rPr>
          <w:spacing w:val="-5"/>
        </w:rPr>
        <w:t>诺亚方</w:t>
      </w:r>
      <w:r>
        <w:rPr>
          <w:spacing w:val="-9"/>
        </w:rPr>
        <w:t>舟实验室，主要专注基础研究，在全球成立</w:t>
      </w:r>
      <w:r>
        <w:rPr>
          <w:spacing w:val="-48"/>
        </w:rPr>
        <w:t xml:space="preserve"> </w:t>
      </w:r>
      <w:r>
        <w:rPr>
          <w:rFonts w:ascii="Times New Roman" w:hAnsi="Times New Roman" w:eastAsia="Times New Roman" w:cs="Times New Roman"/>
          <w:spacing w:val="-9"/>
        </w:rPr>
        <w:t>36 </w:t>
      </w:r>
      <w:r>
        <w:rPr>
          <w:spacing w:val="-9"/>
        </w:rPr>
        <w:t>个联合创新中心，</w:t>
      </w:r>
      <w:r>
        <w:rPr>
          <w:spacing w:val="-4"/>
        </w:rPr>
        <w:t>基础技术实验室达到</w:t>
      </w:r>
      <w:r>
        <w:rPr>
          <w:spacing w:val="-36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86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spacing w:val="-4"/>
        </w:rPr>
        <w:t>个，与高校合作成立了 </w:t>
      </w:r>
      <w:r>
        <w:rPr>
          <w:rFonts w:ascii="Times New Roman" w:hAnsi="Times New Roman" w:eastAsia="Times New Roman" w:cs="Times New Roman"/>
          <w:spacing w:val="-4"/>
        </w:rPr>
        <w:t>172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spacing w:val="-4"/>
        </w:rPr>
        <w:t>个实验室，</w:t>
      </w:r>
      <w:r>
        <w:rPr>
          <w:spacing w:val="-4"/>
        </w:rPr>
        <w:t>形成了职责定位清晰的完整创新组织体系；格力目前拥有制冷技</w:t>
      </w:r>
      <w:r>
        <w:rPr>
          <w:spacing w:val="-6"/>
        </w:rPr>
        <w:t>术研究院、家电技术研究院等</w:t>
      </w:r>
      <w:r>
        <w:rPr>
          <w:spacing w:val="-39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16 </w:t>
      </w:r>
      <w:r>
        <w:rPr>
          <w:spacing w:val="-6"/>
        </w:rPr>
        <w:t>个研究院，</w:t>
      </w:r>
      <w:r>
        <w:rPr>
          <w:rFonts w:ascii="Times New Roman" w:hAnsi="Times New Roman" w:eastAsia="Times New Roman" w:cs="Times New Roman"/>
          <w:spacing w:val="-6"/>
        </w:rPr>
        <w:t>152</w:t>
      </w:r>
      <w:r>
        <w:rPr>
          <w:rFonts w:ascii="Times New Roman" w:hAnsi="Times New Roman" w:eastAsia="Times New Roman" w:cs="Times New Roman"/>
          <w:spacing w:val="-7"/>
        </w:rPr>
        <w:t xml:space="preserve"> </w:t>
      </w:r>
      <w:r>
        <w:rPr>
          <w:spacing w:val="-7"/>
        </w:rPr>
        <w:t>个研究所，</w:t>
      </w:r>
      <w:r>
        <w:rPr>
          <w:rFonts w:ascii="Times New Roman" w:hAnsi="Times New Roman" w:eastAsia="Times New Roman" w:cs="Times New Roman"/>
          <w:spacing w:val="-7"/>
        </w:rPr>
        <w:t>1411</w:t>
      </w:r>
      <w:r>
        <w:rPr>
          <w:spacing w:val="-6"/>
        </w:rPr>
        <w:t>个实验室，</w:t>
      </w:r>
      <w:r>
        <w:rPr>
          <w:rFonts w:ascii="Times New Roman" w:hAnsi="Times New Roman" w:eastAsia="Times New Roman" w:cs="Times New Roman"/>
          <w:spacing w:val="-6"/>
        </w:rPr>
        <w:t>1 </w:t>
      </w:r>
      <w:r>
        <w:rPr>
          <w:spacing w:val="-6"/>
        </w:rPr>
        <w:t>个院士工作站，</w:t>
      </w:r>
      <w:r>
        <w:rPr>
          <w:rFonts w:ascii="Times New Roman" w:hAnsi="Times New Roman" w:eastAsia="Times New Roman" w:cs="Times New Roman"/>
          <w:spacing w:val="-6"/>
        </w:rPr>
        <w:t>1 </w:t>
      </w:r>
      <w:r>
        <w:rPr>
          <w:spacing w:val="-6"/>
        </w:rPr>
        <w:t>个国家重点实验室，</w:t>
      </w:r>
      <w:r>
        <w:rPr>
          <w:rFonts w:ascii="Times New Roman" w:hAnsi="Times New Roman" w:eastAsia="Times New Roman" w:cs="Times New Roman"/>
          <w:spacing w:val="-6"/>
        </w:rPr>
        <w:t>1 </w:t>
      </w:r>
      <w:r>
        <w:rPr>
          <w:spacing w:val="-6"/>
        </w:rPr>
        <w:t>个国家工程</w:t>
      </w:r>
      <w:r>
        <w:rPr>
          <w:spacing w:val="-4"/>
        </w:rPr>
        <w:t>技术研究中心；国家电网建立了高效协同的创新组织体系，构建</w:t>
      </w:r>
      <w:r>
        <w:rPr>
          <w:spacing w:val="-6"/>
        </w:rPr>
        <w:t>了层次清晰、职责明确的“直属科研</w:t>
      </w:r>
      <w:r>
        <w:rPr>
          <w:rFonts w:ascii="Times New Roman" w:hAnsi="Times New Roman" w:eastAsia="Times New Roman" w:cs="Times New Roman"/>
          <w:spacing w:val="-6"/>
        </w:rPr>
        <w:t>+</w:t>
      </w:r>
      <w:r>
        <w:rPr>
          <w:spacing w:val="-6"/>
        </w:rPr>
        <w:t>省级电力</w:t>
      </w:r>
      <w:r>
        <w:rPr>
          <w:rFonts w:ascii="Times New Roman" w:hAnsi="Times New Roman" w:eastAsia="Times New Roman" w:cs="Times New Roman"/>
          <w:spacing w:val="-6"/>
        </w:rPr>
        <w:t>+</w:t>
      </w:r>
      <w:r>
        <w:rPr>
          <w:spacing w:val="-7"/>
        </w:rPr>
        <w:t>基层力量</w:t>
      </w:r>
      <w:r>
        <w:rPr>
          <w:spacing w:val="-109"/>
        </w:rPr>
        <w:t xml:space="preserve"> </w:t>
      </w:r>
      <w:r>
        <w:rPr>
          <w:spacing w:val="-7"/>
        </w:rPr>
        <w:t>”三级</w:t>
      </w:r>
      <w:r>
        <w:rPr>
          <w:spacing w:val="-10"/>
        </w:rPr>
        <w:t>创新体系，建立了功能完备的“国家级、国网公司级、</w:t>
      </w:r>
      <w:r>
        <w:rPr>
          <w:spacing w:val="-11"/>
        </w:rPr>
        <w:t>各单位级</w:t>
      </w:r>
      <w:r>
        <w:rPr>
          <w:spacing w:val="-109"/>
        </w:rPr>
        <w:t xml:space="preserve"> </w:t>
      </w:r>
      <w:r>
        <w:rPr>
          <w:spacing w:val="-11"/>
        </w:rPr>
        <w:t>”</w:t>
      </w:r>
      <w:r>
        <w:rPr>
          <w:spacing w:val="-1"/>
        </w:rPr>
        <w:t>三级实验研究体系，拥有</w:t>
      </w:r>
      <w:r>
        <w:rPr>
          <w:spacing w:val="-70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20 </w:t>
      </w:r>
      <w:r>
        <w:rPr>
          <w:spacing w:val="-1"/>
        </w:rPr>
        <w:t>个国家级实验平台、</w:t>
      </w:r>
      <w:r>
        <w:rPr>
          <w:rFonts w:ascii="Times New Roman" w:hAnsi="Times New Roman" w:eastAsia="Times New Roman" w:cs="Times New Roman"/>
          <w:spacing w:val="-1"/>
        </w:rPr>
        <w:t>97 </w:t>
      </w:r>
      <w:r>
        <w:rPr>
          <w:spacing w:val="-1"/>
        </w:rPr>
        <w:t>个</w:t>
      </w:r>
      <w:r>
        <w:rPr>
          <w:spacing w:val="-2"/>
        </w:rPr>
        <w:t>公司级实</w:t>
      </w:r>
      <w:r>
        <w:rPr>
          <w:spacing w:val="-2"/>
        </w:rPr>
        <w:t>验室和</w:t>
      </w:r>
      <w:r>
        <w:rPr>
          <w:rFonts w:ascii="Times New Roman" w:hAnsi="Times New Roman" w:eastAsia="Times New Roman" w:cs="Times New Roman"/>
          <w:spacing w:val="-2"/>
        </w:rPr>
        <w:t>400</w:t>
      </w:r>
      <w:r>
        <w:rPr>
          <w:rFonts w:ascii="Times New Roman" w:hAnsi="Times New Roman" w:eastAsia="Times New Roman" w:cs="Times New Roman"/>
          <w:spacing w:val="26"/>
        </w:rPr>
        <w:t xml:space="preserve"> </w:t>
      </w:r>
      <w:r>
        <w:rPr>
          <w:spacing w:val="-2"/>
        </w:rPr>
        <w:t>多个省市公司级实验室。同时，国家电网设立了海外</w:t>
      </w:r>
      <w:r>
        <w:rPr>
          <w:spacing w:val="-2"/>
        </w:rPr>
        <w:t>研发机构（如国家电网在葡萄牙联合成立了能源研发中心</w:t>
      </w:r>
      <w:r>
        <w:rPr>
          <w:spacing w:val="-37"/>
        </w:rPr>
        <w:t>），</w:t>
      </w:r>
      <w:r>
        <w:rPr>
          <w:spacing w:val="-2"/>
        </w:rPr>
        <w:t>构</w:t>
      </w:r>
      <w:r>
        <w:rPr>
          <w:spacing w:val="-3"/>
        </w:rPr>
        <w:t>建了与外部科技力量的创新协同机制。</w:t>
      </w:r>
    </w:p>
    <w:p>
      <w:pPr>
        <w:pStyle w:val="BodyText"/>
        <w:ind w:left="627"/>
        <w:spacing w:before="289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5</w:t>
      </w:r>
      <w:r>
        <w:rPr>
          <w:b/>
          <w:bCs/>
          <w:spacing w:val="-3"/>
        </w:rPr>
        <w:t>．研发人员占比较高，拥有顶尖的科技领军人才</w:t>
      </w:r>
    </w:p>
    <w:p>
      <w:pPr>
        <w:spacing w:line="233" w:lineRule="auto"/>
        <w:sectPr>
          <w:pgSz w:w="11907" w:h="16839"/>
          <w:pgMar w:top="1431" w:right="1496" w:bottom="0" w:left="1785" w:header="0" w:footer="0" w:gutter="0"/>
        </w:sectPr>
        <w:rPr/>
      </w:pPr>
    </w:p>
    <w:p>
      <w:pPr>
        <w:ind w:left="722"/>
        <w:spacing w:before="70" w:line="209" w:lineRule="auto"/>
        <w:outlineLvl w:val="2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1"/>
        </w:rPr>
        <w:t>表</w:t>
      </w:r>
      <w:r>
        <w:rPr>
          <w:rFonts w:ascii="KaiTi" w:hAnsi="KaiTi" w:eastAsia="KaiTi" w:cs="KaiTi"/>
          <w:sz w:val="30"/>
          <w:szCs w:val="30"/>
          <w:spacing w:val="-64"/>
        </w:rPr>
        <w:t xml:space="preserve"> </w:t>
      </w:r>
      <w:r>
        <w:rPr>
          <w:rFonts w:ascii="KaiTi" w:hAnsi="KaiTi" w:eastAsia="KaiTi" w:cs="KaiTi"/>
          <w:sz w:val="30"/>
          <w:szCs w:val="30"/>
          <w:spacing w:val="-1"/>
        </w:rPr>
        <w:t>2</w:t>
      </w:r>
      <w:r>
        <w:rPr>
          <w:rFonts w:ascii="KaiTi" w:hAnsi="KaiTi" w:eastAsia="KaiTi" w:cs="KaiTi"/>
          <w:sz w:val="30"/>
          <w:szCs w:val="30"/>
          <w:spacing w:val="-1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1"/>
        </w:rPr>
        <w:t>2022</w:t>
      </w:r>
      <w:r>
        <w:rPr>
          <w:rFonts w:ascii="KaiTi" w:hAnsi="KaiTi" w:eastAsia="KaiTi" w:cs="KaiTi"/>
          <w:sz w:val="30"/>
          <w:szCs w:val="30"/>
          <w:spacing w:val="-62"/>
        </w:rPr>
        <w:t xml:space="preserve"> </w:t>
      </w:r>
      <w:r>
        <w:rPr>
          <w:rFonts w:ascii="KaiTi" w:hAnsi="KaiTi" w:eastAsia="KaiTi" w:cs="KaiTi"/>
          <w:sz w:val="30"/>
          <w:szCs w:val="30"/>
          <w:spacing w:val="-1"/>
        </w:rPr>
        <w:t>年世界领先科技公司研发人员及占</w:t>
      </w:r>
      <w:r>
        <w:rPr>
          <w:rFonts w:ascii="KaiTi" w:hAnsi="KaiTi" w:eastAsia="KaiTi" w:cs="KaiTi"/>
          <w:sz w:val="30"/>
          <w:szCs w:val="30"/>
          <w:spacing w:val="-2"/>
        </w:rPr>
        <w:t>比情况</w:t>
      </w:r>
    </w:p>
    <w:tbl>
      <w:tblPr>
        <w:tblStyle w:val="TableNormal"/>
        <w:tblW w:w="8302" w:type="dxa"/>
        <w:tblInd w:w="1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700"/>
        <w:gridCol w:w="850"/>
        <w:gridCol w:w="1276"/>
        <w:gridCol w:w="991"/>
        <w:gridCol w:w="1276"/>
        <w:gridCol w:w="991"/>
        <w:gridCol w:w="1218"/>
      </w:tblGrid>
      <w:tr>
        <w:trPr>
          <w:trHeight w:val="608" w:hRule="atLeast"/>
        </w:trPr>
        <w:tc>
          <w:tcPr>
            <w:tcW w:w="1700" w:type="dxa"/>
            <w:vAlign w:val="top"/>
          </w:tcPr>
          <w:p>
            <w:pPr>
              <w:pStyle w:val="TableText"/>
              <w:ind w:left="379" w:right="368" w:firstLine="132"/>
              <w:spacing w:before="53" w:line="187" w:lineRule="auto"/>
              <w:rPr/>
            </w:pPr>
            <w:r>
              <w:rPr>
                <w:b/>
                <w:bCs/>
                <w:color w:val="333333"/>
                <w:spacing w:val="-11"/>
              </w:rPr>
              <w:t>第Ⅰ类</w:t>
            </w:r>
            <w:r>
              <w:rPr>
                <w:b/>
                <w:bCs/>
                <w:color w:val="333333"/>
                <w:spacing w:val="-6"/>
              </w:rPr>
              <w:t>科技公司</w:t>
            </w:r>
          </w:p>
        </w:tc>
        <w:tc>
          <w:tcPr>
            <w:tcW w:w="850" w:type="dxa"/>
            <w:vAlign w:val="top"/>
          </w:tcPr>
          <w:p>
            <w:pPr>
              <w:pStyle w:val="TableText"/>
              <w:ind w:left="201"/>
              <w:spacing w:before="201" w:line="205" w:lineRule="auto"/>
              <w:rPr/>
            </w:pPr>
            <w:r>
              <w:rPr>
                <w:b/>
                <w:bCs/>
                <w:color w:val="333333"/>
                <w:spacing w:val="-8"/>
              </w:rPr>
              <w:t>华为</w:t>
            </w:r>
          </w:p>
        </w:tc>
        <w:tc>
          <w:tcPr>
            <w:tcW w:w="1276" w:type="dxa"/>
            <w:vAlign w:val="top"/>
          </w:tcPr>
          <w:p>
            <w:pPr>
              <w:pStyle w:val="TableText"/>
              <w:ind w:left="405"/>
              <w:spacing w:before="200" w:line="207" w:lineRule="auto"/>
              <w:rPr/>
            </w:pPr>
            <w:r>
              <w:rPr>
                <w:b/>
                <w:bCs/>
                <w:color w:val="333333"/>
                <w:spacing w:val="-6"/>
              </w:rPr>
              <w:t>腾讯</w:t>
            </w:r>
          </w:p>
        </w:tc>
        <w:tc>
          <w:tcPr>
            <w:tcW w:w="991" w:type="dxa"/>
            <w:vAlign w:val="top"/>
          </w:tcPr>
          <w:p>
            <w:pPr>
              <w:pStyle w:val="TableText"/>
              <w:ind w:left="265"/>
              <w:spacing w:before="201" w:line="208" w:lineRule="auto"/>
              <w:rPr/>
            </w:pPr>
            <w:r>
              <w:rPr>
                <w:b/>
                <w:bCs/>
                <w:color w:val="333333"/>
                <w:spacing w:val="-7"/>
              </w:rPr>
              <w:t>微软</w:t>
            </w:r>
          </w:p>
        </w:tc>
        <w:tc>
          <w:tcPr>
            <w:tcW w:w="1276" w:type="dxa"/>
            <w:vAlign w:val="top"/>
          </w:tcPr>
          <w:p>
            <w:pPr>
              <w:pStyle w:val="TableText"/>
              <w:ind w:left="175"/>
              <w:spacing w:before="201" w:line="206" w:lineRule="auto"/>
              <w:rPr/>
            </w:pPr>
            <w:r>
              <w:rPr>
                <w:b/>
                <w:bCs/>
                <w:color w:val="333333"/>
                <w:spacing w:val="-7"/>
              </w:rPr>
              <w:t>海康威视</w:t>
            </w:r>
          </w:p>
        </w:tc>
        <w:tc>
          <w:tcPr>
            <w:tcW w:w="991" w:type="dxa"/>
            <w:vAlign w:val="top"/>
          </w:tcPr>
          <w:p>
            <w:pPr>
              <w:pStyle w:val="TableText"/>
              <w:ind w:left="152"/>
              <w:spacing w:before="200" w:line="207" w:lineRule="auto"/>
              <w:rPr/>
            </w:pPr>
            <w:r>
              <w:rPr>
                <w:b/>
                <w:bCs/>
                <w:color w:val="333333"/>
                <w:spacing w:val="-7"/>
              </w:rPr>
              <w:t>英特尔</w:t>
            </w:r>
          </w:p>
        </w:tc>
        <w:tc>
          <w:tcPr>
            <w:tcW w:w="1218" w:type="dxa"/>
            <w:vAlign w:val="top"/>
          </w:tcPr>
          <w:p>
            <w:pPr>
              <w:pStyle w:val="TableText"/>
              <w:ind w:left="263"/>
              <w:spacing w:before="201" w:line="206" w:lineRule="auto"/>
              <w:rPr/>
            </w:pPr>
            <w:r>
              <w:rPr>
                <w:b/>
                <w:bCs/>
                <w:color w:val="333333"/>
                <w:spacing w:val="-7"/>
              </w:rPr>
              <w:t>京东方</w:t>
            </w:r>
          </w:p>
        </w:tc>
      </w:tr>
      <w:tr>
        <w:trPr>
          <w:trHeight w:val="604" w:hRule="atLeast"/>
        </w:trPr>
        <w:tc>
          <w:tcPr>
            <w:tcW w:w="1700" w:type="dxa"/>
            <w:vAlign w:val="top"/>
          </w:tcPr>
          <w:p>
            <w:pPr>
              <w:pStyle w:val="TableText"/>
              <w:ind w:left="379"/>
              <w:spacing w:before="49" w:line="206" w:lineRule="auto"/>
              <w:rPr/>
            </w:pPr>
            <w:r>
              <w:rPr>
                <w:color w:val="333333"/>
                <w:spacing w:val="-3"/>
              </w:rPr>
              <w:t>研发人员</w:t>
            </w:r>
          </w:p>
          <w:p>
            <w:pPr>
              <w:pStyle w:val="TableText"/>
              <w:ind w:left="395"/>
              <w:spacing w:line="168" w:lineRule="auto"/>
              <w:rPr/>
            </w:pPr>
            <w:r>
              <w:rPr>
                <w:color w:val="333333"/>
                <w:spacing w:val="-13"/>
              </w:rPr>
              <w:t>（万人）</w:t>
            </w:r>
          </w:p>
        </w:tc>
        <w:tc>
          <w:tcPr>
            <w:tcW w:w="850" w:type="dxa"/>
            <w:vAlign w:val="top"/>
          </w:tcPr>
          <w:p>
            <w:pPr>
              <w:pStyle w:val="TableText"/>
              <w:ind w:left="245"/>
              <w:spacing w:before="200" w:line="233" w:lineRule="auto"/>
              <w:rPr/>
            </w:pPr>
            <w:r>
              <w:rPr>
                <w:color w:val="333333"/>
                <w:spacing w:val="-5"/>
              </w:rPr>
              <w:t>11.4</w:t>
            </w:r>
          </w:p>
        </w:tc>
        <w:tc>
          <w:tcPr>
            <w:tcW w:w="1276" w:type="dxa"/>
            <w:vAlign w:val="top"/>
          </w:tcPr>
          <w:p>
            <w:pPr>
              <w:pStyle w:val="TableText"/>
              <w:ind w:left="593"/>
              <w:spacing w:before="200" w:line="233" w:lineRule="auto"/>
              <w:rPr/>
            </w:pPr>
            <w:r>
              <w:rPr>
                <w:color w:val="333333"/>
              </w:rPr>
              <w:t>8</w:t>
            </w:r>
          </w:p>
        </w:tc>
        <w:tc>
          <w:tcPr>
            <w:tcW w:w="991" w:type="dxa"/>
            <w:vAlign w:val="top"/>
          </w:tcPr>
          <w:p>
            <w:pPr>
              <w:pStyle w:val="TableText"/>
              <w:ind w:left="372"/>
              <w:spacing w:before="200" w:line="233" w:lineRule="auto"/>
              <w:rPr/>
            </w:pPr>
            <w:r>
              <w:rPr>
                <w:color w:val="333333"/>
                <w:spacing w:val="-9"/>
              </w:rPr>
              <w:t>&gt;6</w:t>
            </w:r>
          </w:p>
        </w:tc>
        <w:tc>
          <w:tcPr>
            <w:tcW w:w="1276" w:type="dxa"/>
            <w:vAlign w:val="top"/>
          </w:tcPr>
          <w:p>
            <w:pPr>
              <w:pStyle w:val="TableText"/>
              <w:ind w:left="502"/>
              <w:spacing w:before="200" w:line="233" w:lineRule="auto"/>
              <w:rPr/>
            </w:pPr>
            <w:r>
              <w:rPr>
                <w:color w:val="333333"/>
                <w:spacing w:val="-2"/>
              </w:rPr>
              <w:t>2.8</w:t>
            </w:r>
          </w:p>
        </w:tc>
        <w:tc>
          <w:tcPr>
            <w:tcW w:w="991" w:type="dxa"/>
            <w:vAlign w:val="top"/>
          </w:tcPr>
          <w:p>
            <w:pPr>
              <w:pStyle w:val="TableText"/>
              <w:ind w:left="373"/>
              <w:spacing w:before="200" w:line="233" w:lineRule="auto"/>
              <w:rPr/>
            </w:pPr>
            <w:r>
              <w:rPr>
                <w:color w:val="333333"/>
                <w:spacing w:val="-9"/>
              </w:rPr>
              <w:t>&gt;5</w:t>
            </w:r>
          </w:p>
        </w:tc>
        <w:tc>
          <w:tcPr>
            <w:tcW w:w="1218" w:type="dxa"/>
            <w:vAlign w:val="top"/>
          </w:tcPr>
          <w:p>
            <w:pPr>
              <w:pStyle w:val="TableText"/>
              <w:ind w:left="470"/>
              <w:spacing w:before="200" w:line="233" w:lineRule="auto"/>
              <w:rPr/>
            </w:pPr>
            <w:r>
              <w:rPr>
                <w:color w:val="333333"/>
                <w:spacing w:val="-2"/>
              </w:rPr>
              <w:t>2.1</w:t>
            </w:r>
          </w:p>
        </w:tc>
      </w:tr>
      <w:tr>
        <w:trPr>
          <w:trHeight w:val="304" w:hRule="atLeast"/>
        </w:trPr>
        <w:tc>
          <w:tcPr>
            <w:tcW w:w="1700" w:type="dxa"/>
            <w:vAlign w:val="top"/>
          </w:tcPr>
          <w:p>
            <w:pPr>
              <w:pStyle w:val="TableText"/>
              <w:ind w:left="139"/>
              <w:spacing w:before="49" w:line="168" w:lineRule="auto"/>
              <w:rPr/>
            </w:pPr>
            <w:r>
              <w:rPr>
                <w:color w:val="333333"/>
                <w:spacing w:val="-2"/>
              </w:rPr>
              <w:t>研发人员占比</w:t>
            </w:r>
          </w:p>
        </w:tc>
        <w:tc>
          <w:tcPr>
            <w:tcW w:w="850" w:type="dxa"/>
            <w:vAlign w:val="top"/>
          </w:tcPr>
          <w:p>
            <w:pPr>
              <w:pStyle w:val="TableText"/>
              <w:ind w:left="143"/>
              <w:spacing w:before="49" w:line="168" w:lineRule="auto"/>
              <w:rPr/>
            </w:pPr>
            <w:r>
              <w:rPr>
                <w:color w:val="333333"/>
                <w:spacing w:val="-3"/>
              </w:rPr>
              <w:t>55.4%</w:t>
            </w:r>
          </w:p>
        </w:tc>
        <w:tc>
          <w:tcPr>
            <w:tcW w:w="1276" w:type="dxa"/>
            <w:vAlign w:val="top"/>
          </w:tcPr>
          <w:p>
            <w:pPr>
              <w:pStyle w:val="TableText"/>
              <w:ind w:left="434"/>
              <w:spacing w:before="49" w:line="168" w:lineRule="auto"/>
              <w:rPr/>
            </w:pPr>
            <w:r>
              <w:rPr>
                <w:color w:val="333333"/>
                <w:spacing w:val="-4"/>
              </w:rPr>
              <w:t>74%</w:t>
            </w:r>
          </w:p>
        </w:tc>
        <w:tc>
          <w:tcPr>
            <w:tcW w:w="991" w:type="dxa"/>
            <w:vAlign w:val="top"/>
          </w:tcPr>
          <w:p>
            <w:pPr>
              <w:pStyle w:val="TableText"/>
              <w:ind w:left="292"/>
              <w:spacing w:before="49" w:line="168" w:lineRule="auto"/>
              <w:rPr/>
            </w:pPr>
            <w:r>
              <w:rPr>
                <w:color w:val="333333"/>
                <w:spacing w:val="-4"/>
              </w:rPr>
              <w:t>35%</w:t>
            </w:r>
          </w:p>
        </w:tc>
        <w:tc>
          <w:tcPr>
            <w:tcW w:w="1276" w:type="dxa"/>
            <w:vAlign w:val="top"/>
          </w:tcPr>
          <w:p>
            <w:pPr>
              <w:pStyle w:val="TableText"/>
              <w:ind w:left="440"/>
              <w:spacing w:before="49" w:line="168" w:lineRule="auto"/>
              <w:rPr/>
            </w:pPr>
            <w:r>
              <w:rPr>
                <w:color w:val="333333"/>
                <w:spacing w:val="-5"/>
              </w:rPr>
              <w:t>50%</w:t>
            </w:r>
          </w:p>
        </w:tc>
        <w:tc>
          <w:tcPr>
            <w:tcW w:w="991" w:type="dxa"/>
            <w:vAlign w:val="top"/>
          </w:tcPr>
          <w:p>
            <w:pPr>
              <w:pStyle w:val="TableText"/>
              <w:ind w:left="220"/>
              <w:spacing w:before="49" w:line="168" w:lineRule="auto"/>
              <w:rPr/>
            </w:pPr>
            <w:r>
              <w:rPr>
                <w:color w:val="333333"/>
                <w:spacing w:val="-5"/>
              </w:rPr>
              <w:t>&gt;50%</w:t>
            </w:r>
          </w:p>
        </w:tc>
        <w:tc>
          <w:tcPr>
            <w:tcW w:w="1218" w:type="dxa"/>
            <w:vAlign w:val="top"/>
          </w:tcPr>
          <w:p>
            <w:pPr>
              <w:pStyle w:val="TableText"/>
              <w:ind w:left="259"/>
              <w:spacing w:before="49" w:line="168" w:lineRule="auto"/>
              <w:rPr/>
            </w:pPr>
            <w:r>
              <w:rPr>
                <w:color w:val="333333"/>
                <w:spacing w:val="-1"/>
              </w:rPr>
              <w:t>23.86%</w:t>
            </w:r>
          </w:p>
        </w:tc>
      </w:tr>
      <w:tr>
        <w:trPr>
          <w:trHeight w:val="604" w:hRule="atLeast"/>
        </w:trPr>
        <w:tc>
          <w:tcPr>
            <w:tcW w:w="1700" w:type="dxa"/>
            <w:vAlign w:val="top"/>
          </w:tcPr>
          <w:p>
            <w:pPr>
              <w:pStyle w:val="TableText"/>
              <w:ind w:left="379" w:right="368" w:firstLine="132"/>
              <w:spacing w:before="49" w:line="187" w:lineRule="auto"/>
              <w:rPr/>
            </w:pPr>
            <w:r>
              <w:rPr>
                <w:b/>
                <w:bCs/>
                <w:color w:val="333333"/>
                <w:spacing w:val="-11"/>
              </w:rPr>
              <w:t>第Ⅱ类</w:t>
            </w:r>
            <w:r>
              <w:rPr>
                <w:b/>
                <w:bCs/>
                <w:color w:val="333333"/>
                <w:spacing w:val="-6"/>
              </w:rPr>
              <w:t>科技公司</w:t>
            </w:r>
          </w:p>
        </w:tc>
        <w:tc>
          <w:tcPr>
            <w:tcW w:w="850" w:type="dxa"/>
            <w:vAlign w:val="top"/>
          </w:tcPr>
          <w:p>
            <w:pPr>
              <w:pStyle w:val="TableText"/>
              <w:ind w:left="277"/>
              <w:spacing w:before="201" w:line="233" w:lineRule="auto"/>
              <w:rPr/>
            </w:pPr>
            <w:r>
              <w:rPr>
                <w:b/>
                <w:bCs/>
                <w:color w:val="333333"/>
                <w:spacing w:val="-9"/>
              </w:rPr>
              <w:t>3M</w:t>
            </w:r>
          </w:p>
        </w:tc>
        <w:tc>
          <w:tcPr>
            <w:tcW w:w="1276" w:type="dxa"/>
            <w:vAlign w:val="top"/>
          </w:tcPr>
          <w:p>
            <w:pPr>
              <w:pStyle w:val="TableText"/>
              <w:ind w:left="186"/>
              <w:spacing w:before="201" w:line="207" w:lineRule="auto"/>
              <w:rPr/>
            </w:pPr>
            <w:r>
              <w:rPr>
                <w:b/>
                <w:bCs/>
                <w:color w:val="333333"/>
                <w:spacing w:val="-9"/>
              </w:rPr>
              <w:t>宁德时代</w:t>
            </w:r>
          </w:p>
        </w:tc>
        <w:tc>
          <w:tcPr>
            <w:tcW w:w="991" w:type="dxa"/>
            <w:vAlign w:val="top"/>
          </w:tcPr>
          <w:p>
            <w:pPr>
              <w:pStyle w:val="TableText"/>
              <w:ind w:left="171"/>
              <w:spacing w:before="201" w:line="209" w:lineRule="auto"/>
              <w:rPr/>
            </w:pPr>
            <w:r>
              <w:rPr>
                <w:b/>
                <w:bCs/>
                <w:color w:val="333333"/>
                <w:spacing w:val="-12"/>
              </w:rPr>
              <w:t>比亚迪</w:t>
            </w:r>
          </w:p>
        </w:tc>
        <w:tc>
          <w:tcPr>
            <w:tcW w:w="1276" w:type="dxa"/>
            <w:vAlign w:val="top"/>
          </w:tcPr>
          <w:p>
            <w:pPr>
              <w:pStyle w:val="TableText"/>
              <w:ind w:left="408"/>
              <w:spacing w:before="201" w:line="208" w:lineRule="auto"/>
              <w:rPr/>
            </w:pPr>
            <w:r>
              <w:rPr>
                <w:b/>
                <w:bCs/>
                <w:color w:val="333333"/>
                <w:spacing w:val="-6"/>
              </w:rPr>
              <w:t>格力</w:t>
            </w:r>
          </w:p>
        </w:tc>
        <w:tc>
          <w:tcPr>
            <w:tcW w:w="991" w:type="dxa"/>
            <w:vAlign w:val="top"/>
          </w:tcPr>
          <w:p>
            <w:pPr>
              <w:pStyle w:val="TableText"/>
              <w:ind w:left="272"/>
              <w:spacing w:before="201" w:line="208" w:lineRule="auto"/>
              <w:rPr/>
            </w:pPr>
            <w:r>
              <w:rPr>
                <w:b/>
                <w:bCs/>
                <w:color w:val="333333"/>
                <w:spacing w:val="-8"/>
              </w:rPr>
              <w:t>海尔</w:t>
            </w:r>
          </w:p>
        </w:tc>
        <w:tc>
          <w:tcPr>
            <w:tcW w:w="1218" w:type="dxa"/>
            <w:vAlign w:val="top"/>
          </w:tcPr>
          <w:p>
            <w:pPr>
              <w:pStyle w:val="TableText"/>
              <w:ind w:left="164"/>
              <w:spacing w:before="202" w:line="208" w:lineRule="auto"/>
              <w:rPr/>
            </w:pPr>
            <w:r>
              <w:rPr>
                <w:b/>
                <w:bCs/>
                <w:color w:val="333333"/>
                <w:spacing w:val="-11"/>
              </w:rPr>
              <w:t>国家电网</w:t>
            </w:r>
          </w:p>
        </w:tc>
      </w:tr>
      <w:tr>
        <w:trPr>
          <w:trHeight w:val="606" w:hRule="atLeast"/>
        </w:trPr>
        <w:tc>
          <w:tcPr>
            <w:tcW w:w="1700" w:type="dxa"/>
            <w:vAlign w:val="top"/>
          </w:tcPr>
          <w:p>
            <w:pPr>
              <w:pStyle w:val="TableText"/>
              <w:ind w:left="379"/>
              <w:spacing w:before="53" w:line="206" w:lineRule="auto"/>
              <w:rPr/>
            </w:pPr>
            <w:r>
              <w:rPr>
                <w:color w:val="333333"/>
                <w:spacing w:val="-3"/>
              </w:rPr>
              <w:t>研发人员</w:t>
            </w:r>
          </w:p>
          <w:p>
            <w:pPr>
              <w:pStyle w:val="TableText"/>
              <w:ind w:left="395"/>
              <w:spacing w:line="166" w:lineRule="auto"/>
              <w:rPr/>
            </w:pPr>
            <w:r>
              <w:rPr>
                <w:color w:val="333333"/>
                <w:spacing w:val="-13"/>
              </w:rPr>
              <w:t>（万人）</w:t>
            </w:r>
          </w:p>
        </w:tc>
        <w:tc>
          <w:tcPr>
            <w:tcW w:w="850" w:type="dxa"/>
            <w:vAlign w:val="top"/>
          </w:tcPr>
          <w:p>
            <w:pPr>
              <w:pStyle w:val="TableText"/>
              <w:ind w:left="302"/>
              <w:spacing w:before="202" w:line="235" w:lineRule="auto"/>
              <w:rPr/>
            </w:pPr>
            <w:r>
              <w:rPr>
                <w:color w:val="333333"/>
                <w:spacing w:val="-9"/>
              </w:rPr>
              <w:t>&gt;1</w:t>
            </w:r>
          </w:p>
        </w:tc>
        <w:tc>
          <w:tcPr>
            <w:tcW w:w="1276" w:type="dxa"/>
            <w:vAlign w:val="top"/>
          </w:tcPr>
          <w:p>
            <w:pPr>
              <w:pStyle w:val="TableText"/>
              <w:ind w:left="456"/>
              <w:spacing w:before="201" w:line="233" w:lineRule="auto"/>
              <w:rPr/>
            </w:pPr>
            <w:r>
              <w:rPr>
                <w:color w:val="333333"/>
                <w:spacing w:val="-5"/>
              </w:rPr>
              <w:t>1.63</w:t>
            </w:r>
          </w:p>
        </w:tc>
        <w:tc>
          <w:tcPr>
            <w:tcW w:w="991" w:type="dxa"/>
            <w:vAlign w:val="top"/>
          </w:tcPr>
          <w:p>
            <w:pPr>
              <w:pStyle w:val="TableText"/>
              <w:ind w:left="447"/>
              <w:spacing w:before="202" w:line="235" w:lineRule="auto"/>
              <w:rPr/>
            </w:pPr>
            <w:r>
              <w:rPr>
                <w:color w:val="333333"/>
              </w:rPr>
              <w:t>7</w:t>
            </w:r>
          </w:p>
        </w:tc>
        <w:tc>
          <w:tcPr>
            <w:tcW w:w="1276" w:type="dxa"/>
            <w:vAlign w:val="top"/>
          </w:tcPr>
          <w:p>
            <w:pPr>
              <w:pStyle w:val="TableText"/>
              <w:ind w:left="515"/>
              <w:spacing w:before="201" w:line="233" w:lineRule="auto"/>
              <w:rPr/>
            </w:pPr>
            <w:r>
              <w:rPr>
                <w:color w:val="333333"/>
                <w:spacing w:val="-6"/>
              </w:rPr>
              <w:t>1.6</w:t>
            </w:r>
          </w:p>
        </w:tc>
        <w:tc>
          <w:tcPr>
            <w:tcW w:w="991" w:type="dxa"/>
            <w:vAlign w:val="top"/>
          </w:tcPr>
          <w:p>
            <w:pPr>
              <w:pStyle w:val="TableText"/>
              <w:ind w:left="304"/>
              <w:spacing w:before="201" w:line="233" w:lineRule="auto"/>
              <w:rPr/>
            </w:pPr>
            <w:r>
              <w:rPr>
                <w:color w:val="333333"/>
                <w:spacing w:val="-1"/>
              </w:rPr>
              <w:t>2.46</w:t>
            </w:r>
          </w:p>
        </w:tc>
        <w:tc>
          <w:tcPr>
            <w:tcW w:w="1218" w:type="dxa"/>
            <w:vAlign w:val="top"/>
          </w:tcPr>
          <w:p>
            <w:pPr>
              <w:pStyle w:val="TableText"/>
              <w:ind w:left="485"/>
              <w:spacing w:before="201" w:line="233" w:lineRule="auto"/>
              <w:rPr/>
            </w:pPr>
            <w:r>
              <w:rPr>
                <w:color w:val="333333"/>
                <w:spacing w:val="-9"/>
              </w:rPr>
              <w:t>&gt;4</w:t>
            </w:r>
          </w:p>
        </w:tc>
      </w:tr>
      <w:tr>
        <w:trPr>
          <w:trHeight w:val="309" w:hRule="atLeast"/>
        </w:trPr>
        <w:tc>
          <w:tcPr>
            <w:tcW w:w="1700" w:type="dxa"/>
            <w:vAlign w:val="top"/>
          </w:tcPr>
          <w:p>
            <w:pPr>
              <w:pStyle w:val="TableText"/>
              <w:ind w:left="139"/>
              <w:spacing w:before="52" w:line="169" w:lineRule="auto"/>
              <w:rPr/>
            </w:pPr>
            <w:r>
              <w:rPr>
                <w:color w:val="333333"/>
                <w:spacing w:val="-2"/>
              </w:rPr>
              <w:t>研发人员占比</w:t>
            </w:r>
          </w:p>
        </w:tc>
        <w:tc>
          <w:tcPr>
            <w:tcW w:w="850" w:type="dxa"/>
            <w:vAlign w:val="top"/>
          </w:tcPr>
          <w:p>
            <w:pPr>
              <w:pStyle w:val="TableText"/>
              <w:ind w:left="146"/>
              <w:spacing w:before="52" w:line="169" w:lineRule="auto"/>
              <w:rPr/>
            </w:pPr>
            <w:r>
              <w:rPr>
                <w:color w:val="333333"/>
                <w:spacing w:val="-4"/>
              </w:rPr>
              <w:t>11.2%</w:t>
            </w:r>
          </w:p>
        </w:tc>
        <w:tc>
          <w:tcPr>
            <w:tcW w:w="1276" w:type="dxa"/>
            <w:vAlign w:val="top"/>
          </w:tcPr>
          <w:p>
            <w:pPr>
              <w:pStyle w:val="TableText"/>
              <w:ind w:left="302"/>
              <w:spacing w:before="52" w:line="169" w:lineRule="auto"/>
              <w:rPr/>
            </w:pPr>
            <w:r>
              <w:rPr>
                <w:color w:val="333333"/>
                <w:spacing w:val="-3"/>
              </w:rPr>
              <w:t>13.73%</w:t>
            </w:r>
          </w:p>
        </w:tc>
        <w:tc>
          <w:tcPr>
            <w:tcW w:w="991" w:type="dxa"/>
            <w:vAlign w:val="top"/>
          </w:tcPr>
          <w:p>
            <w:pPr>
              <w:pStyle w:val="TableText"/>
              <w:ind w:left="217"/>
              <w:spacing w:before="52" w:line="169" w:lineRule="auto"/>
              <w:rPr/>
            </w:pPr>
            <w:r>
              <w:rPr>
                <w:color w:val="333333"/>
                <w:spacing w:val="-4"/>
              </w:rPr>
              <w:t>12.2%</w:t>
            </w:r>
          </w:p>
        </w:tc>
        <w:tc>
          <w:tcPr>
            <w:tcW w:w="1276" w:type="dxa"/>
            <w:vAlign w:val="top"/>
          </w:tcPr>
          <w:p>
            <w:pPr>
              <w:pStyle w:val="TableText"/>
              <w:ind w:left="359"/>
              <w:spacing w:before="52" w:line="169" w:lineRule="auto"/>
              <w:rPr/>
            </w:pPr>
            <w:r>
              <w:rPr>
                <w:color w:val="333333"/>
                <w:spacing w:val="-4"/>
              </w:rPr>
              <w:t>19.5%</w:t>
            </w:r>
          </w:p>
        </w:tc>
        <w:tc>
          <w:tcPr>
            <w:tcW w:w="991" w:type="dxa"/>
            <w:vAlign w:val="top"/>
          </w:tcPr>
          <w:p>
            <w:pPr>
              <w:pStyle w:val="TableText"/>
              <w:ind w:left="287"/>
              <w:spacing w:before="52" w:line="169" w:lineRule="auto"/>
              <w:rPr/>
            </w:pPr>
            <w:r>
              <w:rPr>
                <w:color w:val="333333"/>
                <w:spacing w:val="-1"/>
              </w:rPr>
              <w:t>22%</w:t>
            </w:r>
          </w:p>
        </w:tc>
        <w:tc>
          <w:tcPr>
            <w:tcW w:w="1218" w:type="dxa"/>
            <w:vAlign w:val="top"/>
          </w:tcPr>
          <w:p>
            <w:pPr>
              <w:pStyle w:val="TableText"/>
              <w:ind w:left="373"/>
              <w:spacing w:before="52" w:line="169" w:lineRule="auto"/>
              <w:rPr/>
            </w:pPr>
            <w:r>
              <w:rPr>
                <w:color w:val="333333"/>
                <w:spacing w:val="-2"/>
              </w:rPr>
              <w:t>4.4%</w:t>
            </w:r>
          </w:p>
        </w:tc>
      </w:tr>
    </w:tbl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26" w:right="152" w:firstLine="603"/>
        <w:spacing w:before="97" w:line="257" w:lineRule="auto"/>
        <w:jc w:val="both"/>
        <w:rPr/>
      </w:pPr>
      <w:r>
        <w:rPr>
          <w:spacing w:val="-4"/>
        </w:rPr>
        <w:t>从表</w:t>
      </w:r>
      <w:r>
        <w:rPr>
          <w:spacing w:val="-69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2 </w:t>
      </w:r>
      <w:r>
        <w:rPr>
          <w:spacing w:val="-4"/>
        </w:rPr>
        <w:t>看出，第</w:t>
      </w:r>
      <w:r>
        <w:rPr>
          <w:spacing w:val="-67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I </w:t>
      </w:r>
      <w:r>
        <w:rPr>
          <w:spacing w:val="-4"/>
        </w:rPr>
        <w:t>类科技公司研发人员占</w:t>
      </w:r>
      <w:r>
        <w:rPr>
          <w:spacing w:val="-5"/>
        </w:rPr>
        <w:t>比明显高于第</w:t>
      </w:r>
      <w:r>
        <w:rPr>
          <w:spacing w:val="-68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II </w:t>
      </w:r>
      <w:r>
        <w:rPr>
          <w:spacing w:val="-5"/>
        </w:rPr>
        <w:t>类</w:t>
      </w:r>
      <w:r>
        <w:rPr>
          <w:spacing w:val="-11"/>
        </w:rPr>
        <w:t>科技公司，从世界领先服务型科技公司研发人员占比来看，腾讯、</w:t>
      </w:r>
      <w:r>
        <w:rPr>
          <w:spacing w:val="-5"/>
        </w:rPr>
        <w:t>微软等互联网公司研发人员占比较高，腾讯达到</w:t>
      </w:r>
      <w:r>
        <w:rPr>
          <w:spacing w:val="-61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74%</w:t>
      </w:r>
      <w:r>
        <w:rPr>
          <w:spacing w:val="-5"/>
        </w:rPr>
        <w:t>，微软达到</w:t>
      </w:r>
      <w:r>
        <w:rPr>
          <w:rFonts w:ascii="Times New Roman" w:hAnsi="Times New Roman" w:eastAsia="Times New Roman" w:cs="Times New Roman"/>
          <w:spacing w:val="-3"/>
        </w:rPr>
        <w:t>35%</w:t>
      </w:r>
      <w:r>
        <w:rPr>
          <w:spacing w:val="-3"/>
        </w:rPr>
        <w:t>，但国家电网目前拥有科技研发人员超过</w:t>
      </w:r>
      <w:r>
        <w:rPr>
          <w:spacing w:val="-63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4</w:t>
      </w:r>
      <w:r>
        <w:rPr>
          <w:rFonts w:ascii="Times New Roman" w:hAnsi="Times New Roman" w:eastAsia="Times New Roman" w:cs="Times New Roman"/>
          <w:spacing w:val="19"/>
        </w:rPr>
        <w:t xml:space="preserve"> </w:t>
      </w:r>
      <w:r>
        <w:rPr>
          <w:spacing w:val="-3"/>
        </w:rPr>
        <w:t>万人，研发人员</w:t>
      </w:r>
      <w:r>
        <w:rPr>
          <w:spacing w:val="-1"/>
        </w:rPr>
        <w:t>占比较低，只有 </w:t>
      </w:r>
      <w:r>
        <w:rPr>
          <w:rFonts w:ascii="Times New Roman" w:hAnsi="Times New Roman" w:eastAsia="Times New Roman" w:cs="Times New Roman"/>
          <w:spacing w:val="-1"/>
        </w:rPr>
        <w:t>4.4%</w:t>
      </w:r>
      <w:r>
        <w:rPr>
          <w:rFonts w:ascii="Times New Roman" w:hAnsi="Times New Roman" w:eastAsia="Times New Roman" w:cs="Times New Roman"/>
          <w:spacing w:val="-26"/>
        </w:rPr>
        <w:t xml:space="preserve"> </w:t>
      </w:r>
      <w:r>
        <w:rPr>
          <w:spacing w:val="-1"/>
        </w:rPr>
        <w:t>，但国家电网科技创新取得巨大成就值得</w:t>
      </w:r>
      <w:r>
        <w:rPr>
          <w:spacing w:val="-5"/>
        </w:rPr>
        <w:t>中国电信学习和借鉴。</w:t>
      </w:r>
    </w:p>
    <w:p>
      <w:pPr>
        <w:pStyle w:val="BodyText"/>
        <w:ind w:left="26" w:right="254" w:firstLine="603"/>
        <w:spacing w:before="292" w:line="259" w:lineRule="auto"/>
        <w:jc w:val="both"/>
        <w:rPr/>
      </w:pPr>
      <w:r>
        <w:rPr>
          <w:spacing w:val="-4"/>
        </w:rPr>
        <w:t>更为重要的是，世界领先科技公司一个共同特</w:t>
      </w:r>
      <w:r>
        <w:rPr>
          <w:spacing w:val="-5"/>
        </w:rPr>
        <w:t>点就是都拥有</w:t>
      </w:r>
      <w:r>
        <w:rPr>
          <w:spacing w:val="-2"/>
        </w:rPr>
        <w:t>顶尖研发科技人才。如华为拥有</w:t>
      </w:r>
      <w:r>
        <w:rPr>
          <w:spacing w:val="-23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700</w:t>
      </w:r>
      <w:r>
        <w:rPr>
          <w:rFonts w:ascii="Times New Roman" w:hAnsi="Times New Roman" w:eastAsia="Times New Roman" w:cs="Times New Roman"/>
          <w:spacing w:val="54"/>
        </w:rPr>
        <w:t xml:space="preserve"> </w:t>
      </w:r>
      <w:r>
        <w:rPr>
          <w:spacing w:val="-2"/>
        </w:rPr>
        <w:t>多名顶级应用数学家、</w:t>
      </w:r>
      <w:r>
        <w:rPr>
          <w:rFonts w:ascii="Times New Roman" w:hAnsi="Times New Roman" w:eastAsia="Times New Roman" w:cs="Times New Roman"/>
          <w:spacing w:val="-2"/>
        </w:rPr>
        <w:t>120</w:t>
      </w:r>
      <w:r>
        <w:rPr>
          <w:spacing w:val="-3"/>
        </w:rPr>
        <w:t>多名化学家、</w:t>
      </w:r>
      <w:r>
        <w:rPr>
          <w:rFonts w:ascii="Times New Roman" w:hAnsi="Times New Roman" w:eastAsia="Times New Roman" w:cs="Times New Roman"/>
          <w:spacing w:val="-3"/>
        </w:rPr>
        <w:t>800</w:t>
      </w:r>
      <w:r>
        <w:rPr>
          <w:rFonts w:ascii="Times New Roman" w:hAnsi="Times New Roman" w:eastAsia="Times New Roman" w:cs="Times New Roman"/>
          <w:spacing w:val="68"/>
        </w:rPr>
        <w:t xml:space="preserve"> </w:t>
      </w:r>
      <w:r>
        <w:rPr>
          <w:spacing w:val="-3"/>
        </w:rPr>
        <w:t>多名物理学家和 </w:t>
      </w:r>
      <w:r>
        <w:rPr>
          <w:rFonts w:ascii="Times New Roman" w:hAnsi="Times New Roman" w:eastAsia="Times New Roman" w:cs="Times New Roman"/>
          <w:spacing w:val="-3"/>
        </w:rPr>
        <w:t>6000</w:t>
      </w:r>
      <w:r>
        <w:rPr>
          <w:rFonts w:ascii="Times New Roman" w:hAnsi="Times New Roman" w:eastAsia="Times New Roman" w:cs="Times New Roman"/>
          <w:spacing w:val="69"/>
        </w:rPr>
        <w:t xml:space="preserve"> </w:t>
      </w:r>
      <w:r>
        <w:rPr>
          <w:spacing w:val="-3"/>
        </w:rPr>
        <w:t>多名专门从事基础研究</w:t>
      </w:r>
      <w:r>
        <w:rPr>
          <w:spacing w:val="-11"/>
        </w:rPr>
        <w:t>的专家；目前，国家电网拥有两院院士</w:t>
      </w:r>
      <w:r>
        <w:rPr>
          <w:spacing w:val="-64"/>
        </w:rPr>
        <w:t xml:space="preserve"> </w:t>
      </w:r>
      <w:r>
        <w:rPr>
          <w:rFonts w:ascii="Times New Roman" w:hAnsi="Times New Roman" w:eastAsia="Times New Roman" w:cs="Times New Roman"/>
          <w:spacing w:val="-11"/>
        </w:rPr>
        <w:t>7 </w:t>
      </w:r>
      <w:r>
        <w:rPr>
          <w:spacing w:val="-11"/>
        </w:rPr>
        <w:t>人</w:t>
      </w:r>
      <w:r>
        <w:rPr>
          <w:spacing w:val="-12"/>
        </w:rPr>
        <w:t>、国家级专家人才</w:t>
      </w:r>
      <w:r>
        <w:rPr>
          <w:spacing w:val="-63"/>
        </w:rPr>
        <w:t xml:space="preserve"> </w:t>
      </w:r>
      <w:r>
        <w:rPr>
          <w:rFonts w:ascii="Times New Roman" w:hAnsi="Times New Roman" w:eastAsia="Times New Roman" w:cs="Times New Roman"/>
          <w:spacing w:val="-12"/>
        </w:rPr>
        <w:t>382</w:t>
      </w:r>
      <w:r>
        <w:rPr>
          <w:spacing w:val="-3"/>
        </w:rPr>
        <w:t>人、享受国务院政府特殊津贴人员</w:t>
      </w:r>
      <w:r>
        <w:rPr>
          <w:spacing w:val="-37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141 </w:t>
      </w:r>
      <w:r>
        <w:rPr>
          <w:spacing w:val="-3"/>
        </w:rPr>
        <w:t>人。</w:t>
      </w:r>
    </w:p>
    <w:p>
      <w:pPr>
        <w:pStyle w:val="BodyText"/>
        <w:ind w:left="627"/>
        <w:spacing w:before="272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6</w:t>
      </w:r>
      <w:r>
        <w:rPr>
          <w:b/>
          <w:bCs/>
          <w:spacing w:val="-3"/>
        </w:rPr>
        <w:t>．形成良好的创新激励机制与创新文化</w:t>
      </w:r>
    </w:p>
    <w:p>
      <w:pPr>
        <w:pStyle w:val="BodyText"/>
        <w:ind w:left="25" w:firstLine="601"/>
        <w:spacing w:before="324" w:line="259" w:lineRule="auto"/>
        <w:rPr/>
      </w:pPr>
      <w:r>
        <w:rPr>
          <w:rFonts w:ascii="Times New Roman" w:hAnsi="Times New Roman" w:eastAsia="Times New Roman" w:cs="Times New Roman"/>
          <w:spacing w:val="-10"/>
        </w:rPr>
        <w:t>3M</w:t>
      </w:r>
      <w:r>
        <w:rPr>
          <w:rFonts w:ascii="Times New Roman" w:hAnsi="Times New Roman" w:eastAsia="Times New Roman" w:cs="Times New Roman"/>
          <w:spacing w:val="32"/>
        </w:rPr>
        <w:t xml:space="preserve"> </w:t>
      </w:r>
      <w:r>
        <w:rPr>
          <w:spacing w:val="-10"/>
        </w:rPr>
        <w:t>公司有一个著名的“</w:t>
      </w:r>
      <w:r>
        <w:rPr>
          <w:rFonts w:ascii="Times New Roman" w:hAnsi="Times New Roman" w:eastAsia="Times New Roman" w:cs="Times New Roman"/>
          <w:spacing w:val="-10"/>
        </w:rPr>
        <w:t>15%</w:t>
      </w:r>
      <w:r>
        <w:rPr>
          <w:spacing w:val="-10"/>
        </w:rPr>
        <w:t>法则”，创造一个允许失败，宽</w:t>
      </w:r>
      <w:r>
        <w:rPr>
          <w:spacing w:val="1"/>
        </w:rPr>
        <w:t>容失败的创新环境。华为打造了“以奋斗者为本”的价值理念，</w:t>
      </w:r>
      <w:r>
        <w:rPr/>
        <w:t>实施员工持股计划，考核激励向优秀的奋斗者、有成功实践者、</w:t>
      </w:r>
      <w:r>
        <w:rPr>
          <w:spacing w:val="-4"/>
        </w:rPr>
        <w:t>有贡献者倾斜，从而激励员工不断保持奋斗精神。格力建立了完</w:t>
      </w:r>
      <w:r>
        <w:rPr>
          <w:spacing w:val="-4"/>
        </w:rPr>
        <w:t>备的创新体系，设立诸多奖项，通过物质和精神的多种方式激励</w:t>
      </w:r>
      <w:r>
        <w:rPr>
          <w:spacing w:val="-4"/>
        </w:rPr>
        <w:t>员工不断创新。国家电网建成领导职务、职员职级、专家人才三</w:t>
      </w:r>
      <w:r>
        <w:rPr>
          <w:spacing w:val="-4"/>
        </w:rPr>
        <w:t>通道并行、员工多元发展的职业成长体系，建立了学术聘任、津</w:t>
      </w:r>
      <w:r>
        <w:rPr>
          <w:spacing w:val="-4"/>
        </w:rPr>
        <w:t>补贴、创新科研支持三项人才激励制度，在直属科研单位全面实</w:t>
      </w:r>
      <w:r>
        <w:rPr>
          <w:spacing w:val="-5"/>
        </w:rPr>
        <w:t>施股权和分红激励，激发了广大员工尤其是科研人员的创新</w:t>
      </w:r>
      <w:r>
        <w:rPr>
          <w:spacing w:val="-6"/>
        </w:rPr>
        <w:t>潜能。</w:t>
      </w:r>
    </w:p>
    <w:p>
      <w:pPr>
        <w:spacing w:line="259" w:lineRule="auto"/>
        <w:sectPr>
          <w:pgSz w:w="11907" w:h="16839"/>
          <w:pgMar w:top="1431" w:right="1542" w:bottom="0" w:left="1785" w:header="0" w:footer="0" w:gutter="0"/>
        </w:sectPr>
        <w:rPr/>
      </w:pPr>
    </w:p>
    <w:p>
      <w:pPr>
        <w:ind w:left="676"/>
        <w:spacing w:before="70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7"/>
        </w:rPr>
        <w:t>三、中国电信与世界领先科技公司存在主要</w:t>
      </w: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差距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ind w:left="26" w:right="237" w:firstLine="598"/>
        <w:spacing w:before="97" w:line="260" w:lineRule="auto"/>
        <w:rPr/>
      </w:pPr>
      <w:r>
        <w:rPr>
          <w:spacing w:val="-4"/>
        </w:rPr>
        <w:t>对照世界领先科技公司创新实践，中国电信离打造世界</w:t>
      </w:r>
      <w:r>
        <w:rPr>
          <w:spacing w:val="-5"/>
        </w:rPr>
        <w:t>一流</w:t>
      </w:r>
      <w:r>
        <w:rPr>
          <w:spacing w:val="-4"/>
        </w:rPr>
        <w:t>科技型企业差距较大，主要体现在以下几个方面：</w:t>
      </w:r>
    </w:p>
    <w:p>
      <w:pPr>
        <w:pStyle w:val="BodyText"/>
        <w:ind w:left="636"/>
        <w:spacing w:before="273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1</w:t>
      </w:r>
      <w:r>
        <w:rPr>
          <w:b/>
          <w:bCs/>
          <w:spacing w:val="-3"/>
        </w:rPr>
        <w:t>．研发投入规模较小，研发投入需要进一步聚焦</w:t>
      </w:r>
    </w:p>
    <w:p>
      <w:pPr>
        <w:pStyle w:val="BodyText"/>
        <w:ind w:left="26" w:firstLine="594"/>
        <w:spacing w:before="317" w:line="259" w:lineRule="auto"/>
        <w:jc w:val="both"/>
        <w:rPr/>
      </w:pPr>
      <w:r>
        <w:rPr>
          <w:rFonts w:ascii="Times New Roman" w:hAnsi="Times New Roman" w:eastAsia="Times New Roman" w:cs="Times New Roman"/>
          <w:spacing w:val="-10"/>
        </w:rPr>
        <w:t>2022 </w:t>
      </w:r>
      <w:r>
        <w:rPr>
          <w:spacing w:val="-10"/>
        </w:rPr>
        <w:t>年，中国电信研发费用达到</w:t>
      </w:r>
      <w:r>
        <w:rPr>
          <w:spacing w:val="-49"/>
        </w:rPr>
        <w:t xml:space="preserve"> </w:t>
      </w:r>
      <w:r>
        <w:rPr>
          <w:rFonts w:ascii="Times New Roman" w:hAnsi="Times New Roman" w:eastAsia="Times New Roman" w:cs="Times New Roman"/>
          <w:spacing w:val="-10"/>
        </w:rPr>
        <w:t>105.6 </w:t>
      </w:r>
      <w:r>
        <w:rPr>
          <w:spacing w:val="-10"/>
        </w:rPr>
        <w:t>亿元，同比增长</w:t>
      </w:r>
      <w:r>
        <w:rPr>
          <w:rFonts w:ascii="Times New Roman" w:hAnsi="Times New Roman" w:eastAsia="Times New Roman" w:cs="Times New Roman"/>
          <w:spacing w:val="-10"/>
        </w:rPr>
        <w:t>5</w:t>
      </w:r>
      <w:r>
        <w:rPr>
          <w:rFonts w:ascii="Times New Roman" w:hAnsi="Times New Roman" w:eastAsia="Times New Roman" w:cs="Times New Roman"/>
          <w:spacing w:val="-11"/>
        </w:rPr>
        <w:t>2.3%</w:t>
      </w:r>
      <w:r>
        <w:rPr>
          <w:spacing w:val="-11"/>
        </w:rPr>
        <w:t>，</w:t>
      </w:r>
      <w:r>
        <w:rPr>
          <w:spacing w:val="-2"/>
        </w:rPr>
        <w:t>研发费用主营收入占比达到</w:t>
      </w:r>
      <w:r>
        <w:rPr>
          <w:spacing w:val="-69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2.43%</w:t>
      </w:r>
      <w:r>
        <w:rPr>
          <w:spacing w:val="-2"/>
        </w:rPr>
        <w:t>。研发投入规模与世界领</w:t>
      </w:r>
      <w:r>
        <w:rPr>
          <w:spacing w:val="-3"/>
        </w:rPr>
        <w:t>先科</w:t>
      </w:r>
      <w:r>
        <w:rPr>
          <w:spacing w:val="-4"/>
        </w:rPr>
        <w:t>技公司差距较大，研发投入收入占比有差距，但与格力、特斯拉</w:t>
      </w:r>
      <w:r>
        <w:rPr>
          <w:spacing w:val="-4"/>
        </w:rPr>
        <w:t>等制造企业相比差距并不大，而且高于国家电网。中国电信是一</w:t>
      </w:r>
      <w:r>
        <w:rPr>
          <w:spacing w:val="-4"/>
        </w:rPr>
        <w:t>个新兴的科技型全业务服务企业，随着转型的深入，经营领域范</w:t>
      </w:r>
      <w:r>
        <w:rPr>
          <w:spacing w:val="-4"/>
        </w:rPr>
        <w:t>围不断扩大，导致中国电信研发投入领域相对分散，研发投入效</w:t>
      </w:r>
      <w:r>
        <w:rPr>
          <w:spacing w:val="-6"/>
        </w:rPr>
        <w:t>率和效益相对较低。</w:t>
      </w:r>
    </w:p>
    <w:p>
      <w:pPr>
        <w:pStyle w:val="BodyText"/>
        <w:ind w:left="624"/>
        <w:spacing w:before="277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2</w:t>
      </w:r>
      <w:r>
        <w:rPr>
          <w:b/>
          <w:bCs/>
          <w:spacing w:val="-3"/>
        </w:rPr>
        <w:t>．关键核心技术缺乏话语权，自主创新能力不强</w:t>
      </w:r>
    </w:p>
    <w:p>
      <w:pPr>
        <w:pStyle w:val="BodyText"/>
        <w:ind w:left="23" w:right="233" w:firstLine="605"/>
        <w:spacing w:before="323" w:line="256" w:lineRule="auto"/>
        <w:jc w:val="both"/>
        <w:rPr/>
      </w:pPr>
      <w:r>
        <w:rPr>
          <w:spacing w:val="-4"/>
        </w:rPr>
        <w:t>从专利来看，截至</w:t>
      </w:r>
      <w:r>
        <w:rPr>
          <w:spacing w:val="-67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2021 </w:t>
      </w:r>
      <w:r>
        <w:rPr>
          <w:spacing w:val="-4"/>
        </w:rPr>
        <w:t>年底，中国电信拥有</w:t>
      </w:r>
      <w:r>
        <w:rPr>
          <w:spacing w:val="-60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5444</w:t>
      </w:r>
      <w:r>
        <w:rPr>
          <w:rFonts w:ascii="Times New Roman" w:hAnsi="Times New Roman" w:eastAsia="Times New Roman" w:cs="Times New Roman"/>
          <w:spacing w:val="-5"/>
        </w:rPr>
        <w:t xml:space="preserve"> </w:t>
      </w:r>
      <w:r>
        <w:rPr>
          <w:spacing w:val="-5"/>
        </w:rPr>
        <w:t>件专利申</w:t>
      </w:r>
      <w:r>
        <w:rPr>
          <w:spacing w:val="-1"/>
        </w:rPr>
        <w:t>请，其中有效专利为</w:t>
      </w:r>
      <w:r>
        <w:rPr>
          <w:spacing w:val="-34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3152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spacing w:val="-1"/>
        </w:rPr>
        <w:t>件，这与世界领先科技</w:t>
      </w:r>
      <w:r>
        <w:rPr>
          <w:spacing w:val="-2"/>
        </w:rPr>
        <w:t>公司相比差距</w:t>
      </w:r>
      <w:r>
        <w:rPr>
          <w:spacing w:val="-12"/>
        </w:rPr>
        <w:t>甚远。</w:t>
      </w:r>
    </w:p>
    <w:p>
      <w:pPr>
        <w:pStyle w:val="BodyText"/>
        <w:ind w:left="621"/>
        <w:spacing w:before="291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3</w:t>
      </w:r>
      <w:r>
        <w:rPr>
          <w:b/>
          <w:bCs/>
          <w:spacing w:val="-3"/>
        </w:rPr>
        <w:t>．缺乏重大影响力的科技创新成果和创新产品</w:t>
      </w:r>
    </w:p>
    <w:p>
      <w:pPr>
        <w:pStyle w:val="BodyText"/>
        <w:ind w:left="25" w:right="237" w:firstLine="599"/>
        <w:spacing w:before="321" w:line="260" w:lineRule="auto"/>
        <w:jc w:val="both"/>
        <w:rPr/>
      </w:pPr>
      <w:r>
        <w:rPr>
          <w:spacing w:val="-4"/>
        </w:rPr>
        <w:t>近年来，虽然中国电信突破了云操作系统、超大规模</w:t>
      </w:r>
      <w:r>
        <w:rPr>
          <w:spacing w:val="-5"/>
        </w:rPr>
        <w:t>计算调</w:t>
      </w:r>
      <w:r>
        <w:rPr>
          <w:spacing w:val="-9"/>
        </w:rPr>
        <w:t>度、存储引擎、分布式数据库、大数据平台等关键技术， 但引领</w:t>
      </w:r>
      <w:r>
        <w:rPr>
          <w:spacing w:val="-4"/>
        </w:rPr>
        <w:t>行业发展和具有全球影响力的重大技术突破基本没有，而且打造</w:t>
      </w:r>
      <w:r>
        <w:rPr>
          <w:spacing w:val="-3"/>
        </w:rPr>
        <w:t>具有影响力的叫得响的数字平台和创新应用不多。</w:t>
      </w:r>
    </w:p>
    <w:p>
      <w:pPr>
        <w:pStyle w:val="BodyText"/>
        <w:ind w:left="624"/>
        <w:spacing w:before="271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4</w:t>
      </w:r>
      <w:r>
        <w:rPr>
          <w:b/>
          <w:bCs/>
          <w:spacing w:val="-3"/>
        </w:rPr>
        <w:t>．科技创新组织体系与打造世界领先科技公司还有差距</w:t>
      </w:r>
    </w:p>
    <w:p>
      <w:pPr>
        <w:pStyle w:val="BodyText"/>
        <w:ind w:left="26" w:right="236" w:firstLine="598"/>
        <w:spacing w:before="325" w:line="257" w:lineRule="auto"/>
        <w:jc w:val="both"/>
        <w:rPr/>
      </w:pPr>
      <w:r>
        <w:rPr>
          <w:spacing w:val="-1"/>
        </w:rPr>
        <w:t>近些年，中国电信建成了</w:t>
      </w:r>
      <w:r>
        <w:rPr>
          <w:spacing w:val="-58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RDO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spacing w:val="-1"/>
        </w:rPr>
        <w:t>协同的科研体系，为</w:t>
      </w:r>
      <w:r>
        <w:rPr>
          <w:spacing w:val="-2"/>
        </w:rPr>
        <w:t>科技成</w:t>
      </w:r>
      <w:r>
        <w:rPr>
          <w:spacing w:val="-8"/>
        </w:rPr>
        <w:t>果的研发转化提供了强大的组织保障。然而，</w:t>
      </w:r>
      <w:r>
        <w:rPr>
          <w:spacing w:val="-33"/>
        </w:rPr>
        <w:t xml:space="preserve"> </w:t>
      </w:r>
      <w:r>
        <w:rPr>
          <w:spacing w:val="-8"/>
        </w:rPr>
        <w:t>我们注意到科研的</w:t>
      </w:r>
      <w:r>
        <w:rPr>
          <w:spacing w:val="-4"/>
        </w:rPr>
        <w:t>前瞻性布局还较弱，实验室建设相对滞后，缺乏有影响力的科技</w:t>
      </w:r>
      <w:r>
        <w:rPr>
          <w:spacing w:val="-30"/>
        </w:rPr>
        <w:t>研发创新平台。打个比喻，</w:t>
      </w:r>
      <w:r>
        <w:rPr>
          <w:spacing w:val="81"/>
        </w:rPr>
        <w:t xml:space="preserve"> </w:t>
      </w:r>
      <w:r>
        <w:rPr>
          <w:rFonts w:ascii="Times New Roman" w:hAnsi="Times New Roman" w:eastAsia="Times New Roman" w:cs="Times New Roman"/>
          <w:spacing w:val="-30"/>
        </w:rPr>
        <w:t>R</w:t>
      </w:r>
      <w:r>
        <w:rPr>
          <w:rFonts w:ascii="Times New Roman" w:hAnsi="Times New Roman" w:eastAsia="Times New Roman" w:cs="Times New Roman"/>
          <w:spacing w:val="12"/>
        </w:rPr>
        <w:t xml:space="preserve"> </w:t>
      </w:r>
      <w:r>
        <w:rPr>
          <w:spacing w:val="-30"/>
        </w:rPr>
        <w:t>是“</w:t>
      </w:r>
      <w:r>
        <w:rPr>
          <w:spacing w:val="-114"/>
        </w:rPr>
        <w:t xml:space="preserve"> </w:t>
      </w:r>
      <w:r>
        <w:rPr>
          <w:rFonts w:ascii="Times New Roman" w:hAnsi="Times New Roman" w:eastAsia="Times New Roman" w:cs="Times New Roman"/>
          <w:spacing w:val="-30"/>
        </w:rPr>
        <w:t>1</w:t>
      </w:r>
      <w:r>
        <w:rPr>
          <w:rFonts w:ascii="Times New Roman" w:hAnsi="Times New Roman" w:eastAsia="Times New Roman" w:cs="Times New Roman"/>
          <w:spacing w:val="-34"/>
        </w:rPr>
        <w:t xml:space="preserve"> </w:t>
      </w:r>
      <w:r>
        <w:rPr>
          <w:spacing w:val="-30"/>
        </w:rPr>
        <w:t>”，</w:t>
      </w:r>
      <w:r>
        <w:rPr>
          <w:rFonts w:ascii="Times New Roman" w:hAnsi="Times New Roman" w:eastAsia="Times New Roman" w:cs="Times New Roman"/>
          <w:spacing w:val="-30"/>
        </w:rPr>
        <w:t>D</w:t>
      </w:r>
      <w:r>
        <w:rPr>
          <w:rFonts w:ascii="Times New Roman" w:hAnsi="Times New Roman" w:eastAsia="Times New Roman" w:cs="Times New Roman"/>
          <w:spacing w:val="15"/>
        </w:rPr>
        <w:t xml:space="preserve"> </w:t>
      </w:r>
      <w:r>
        <w:rPr>
          <w:spacing w:val="-30"/>
        </w:rPr>
        <w:t>是“</w:t>
      </w:r>
      <w:r>
        <w:rPr>
          <w:rFonts w:ascii="Times New Roman" w:hAnsi="Times New Roman" w:eastAsia="Times New Roman" w:cs="Times New Roman"/>
          <w:spacing w:val="-30"/>
        </w:rPr>
        <w:t>0</w:t>
      </w:r>
      <w:r>
        <w:rPr>
          <w:spacing w:val="-30"/>
        </w:rPr>
        <w:t>”，</w:t>
      </w:r>
      <w:r>
        <w:rPr>
          <w:rFonts w:ascii="Times New Roman" w:hAnsi="Times New Roman" w:eastAsia="Times New Roman" w:cs="Times New Roman"/>
          <w:spacing w:val="-30"/>
        </w:rPr>
        <w:t>O</w:t>
      </w:r>
      <w:r>
        <w:rPr>
          <w:rFonts w:ascii="Times New Roman" w:hAnsi="Times New Roman" w:eastAsia="Times New Roman" w:cs="Times New Roman"/>
          <w:spacing w:val="16"/>
        </w:rPr>
        <w:t xml:space="preserve"> </w:t>
      </w:r>
      <w:r>
        <w:rPr>
          <w:spacing w:val="-30"/>
        </w:rPr>
        <w:t>是“</w:t>
      </w:r>
      <w:r>
        <w:rPr>
          <w:rFonts w:ascii="Times New Roman" w:hAnsi="Times New Roman" w:eastAsia="Times New Roman" w:cs="Times New Roman"/>
          <w:spacing w:val="-30"/>
        </w:rPr>
        <w:t>0</w:t>
      </w:r>
      <w:r>
        <w:rPr>
          <w:rFonts w:ascii="Times New Roman" w:hAnsi="Times New Roman" w:eastAsia="Times New Roman" w:cs="Times New Roman"/>
          <w:spacing w:val="-34"/>
        </w:rPr>
        <w:t xml:space="preserve"> </w:t>
      </w:r>
      <w:r>
        <w:rPr>
          <w:spacing w:val="-30"/>
        </w:rPr>
        <w:t>”，如</w:t>
      </w:r>
      <w:r>
        <w:rPr>
          <w:spacing w:val="-7"/>
        </w:rPr>
        <w:t>果</w:t>
      </w:r>
      <w:r>
        <w:rPr>
          <w:spacing w:val="-65"/>
        </w:rPr>
        <w:t xml:space="preserve"> </w:t>
      </w:r>
      <w:r>
        <w:rPr>
          <w:rFonts w:ascii="Times New Roman" w:hAnsi="Times New Roman" w:eastAsia="Times New Roman" w:cs="Times New Roman"/>
          <w:spacing w:val="-7"/>
        </w:rPr>
        <w:t>R</w:t>
      </w:r>
      <w:r>
        <w:rPr>
          <w:rFonts w:ascii="Times New Roman" w:hAnsi="Times New Roman" w:eastAsia="Times New Roman" w:cs="Times New Roman"/>
          <w:spacing w:val="18"/>
        </w:rPr>
        <w:t xml:space="preserve"> </w:t>
      </w:r>
      <w:r>
        <w:rPr>
          <w:spacing w:val="-7"/>
        </w:rPr>
        <w:t>小于</w:t>
      </w:r>
      <w:r>
        <w:rPr>
          <w:spacing w:val="-38"/>
        </w:rPr>
        <w:t xml:space="preserve"> </w:t>
      </w:r>
      <w:r>
        <w:rPr>
          <w:rFonts w:ascii="Times New Roman" w:hAnsi="Times New Roman" w:eastAsia="Times New Roman" w:cs="Times New Roman"/>
          <w:spacing w:val="-7"/>
        </w:rPr>
        <w:t>1</w:t>
      </w:r>
      <w:r>
        <w:rPr>
          <w:spacing w:val="-7"/>
        </w:rPr>
        <w:t>，那么这套科技创新组织体系的功效就不会是 </w:t>
      </w:r>
      <w:r>
        <w:rPr>
          <w:rFonts w:ascii="Times New Roman" w:hAnsi="Times New Roman" w:eastAsia="Times New Roman" w:cs="Times New Roman"/>
          <w:spacing w:val="-7"/>
        </w:rPr>
        <w:t>100</w:t>
      </w:r>
      <w:r>
        <w:rPr>
          <w:spacing w:val="-7"/>
        </w:rPr>
        <w:t>，</w:t>
      </w:r>
    </w:p>
    <w:p>
      <w:pPr>
        <w:spacing w:line="257" w:lineRule="auto"/>
        <w:sectPr>
          <w:footerReference w:type="default" r:id="rId1"/>
          <w:pgSz w:w="11907" w:h="16839"/>
          <w:pgMar w:top="1431" w:right="1562" w:bottom="1846" w:left="1785" w:header="0" w:footer="1463" w:gutter="0"/>
        </w:sectPr>
        <w:rPr/>
      </w:pPr>
    </w:p>
    <w:p>
      <w:pPr>
        <w:pStyle w:val="BodyText"/>
        <w:ind w:left="627"/>
        <w:spacing w:before="84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5</w:t>
      </w:r>
      <w:r>
        <w:rPr>
          <w:b/>
          <w:bCs/>
          <w:spacing w:val="-3"/>
        </w:rPr>
        <w:t>．研发人员占比不高，缺乏科技创新顶级人才</w:t>
      </w:r>
    </w:p>
    <w:p>
      <w:pPr>
        <w:pStyle w:val="BodyText"/>
        <w:ind w:left="29" w:right="232" w:firstLine="590"/>
        <w:spacing w:before="321" w:line="256" w:lineRule="auto"/>
        <w:jc w:val="both"/>
        <w:rPr/>
      </w:pPr>
      <w:r>
        <w:rPr>
          <w:rFonts w:ascii="Times New Roman" w:hAnsi="Times New Roman" w:eastAsia="Times New Roman" w:cs="Times New Roman"/>
          <w:spacing w:val="-2"/>
        </w:rPr>
        <w:t>2022</w:t>
      </w:r>
      <w:r>
        <w:rPr>
          <w:rFonts w:ascii="Times New Roman" w:hAnsi="Times New Roman" w:eastAsia="Times New Roman" w:cs="Times New Roman"/>
          <w:spacing w:val="42"/>
          <w:w w:val="101"/>
        </w:rPr>
        <w:t xml:space="preserve"> </w:t>
      </w:r>
      <w:r>
        <w:rPr>
          <w:spacing w:val="-2"/>
        </w:rPr>
        <w:t>年，中国电信研发人员达到</w:t>
      </w:r>
      <w:r>
        <w:rPr>
          <w:spacing w:val="-49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2.23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spacing w:val="-2"/>
        </w:rPr>
        <w:t>万人，目前还没有一</w:t>
      </w:r>
      <w:r>
        <w:rPr>
          <w:spacing w:val="-2"/>
        </w:rPr>
        <w:t>名院士，研发人员占比达到 </w:t>
      </w:r>
      <w:r>
        <w:rPr>
          <w:rFonts w:ascii="Times New Roman" w:hAnsi="Times New Roman" w:eastAsia="Times New Roman" w:cs="Times New Roman"/>
          <w:spacing w:val="-2"/>
        </w:rPr>
        <w:t>8%</w:t>
      </w:r>
      <w:r>
        <w:rPr>
          <w:spacing w:val="-2"/>
        </w:rPr>
        <w:t>，研发人员占比偏低，有待</w:t>
      </w:r>
      <w:r>
        <w:rPr>
          <w:spacing w:val="-3"/>
        </w:rPr>
        <w:t>进一</w:t>
      </w:r>
      <w:r>
        <w:rPr>
          <w:spacing w:val="-12"/>
        </w:rPr>
        <w:t>步提升。</w:t>
      </w:r>
    </w:p>
    <w:p>
      <w:pPr>
        <w:spacing w:line="364" w:lineRule="auto"/>
        <w:rPr>
          <w:rFonts w:ascii="Arial"/>
          <w:sz w:val="21"/>
        </w:rPr>
      </w:pPr>
      <w:r/>
    </w:p>
    <w:p>
      <w:pPr>
        <w:ind w:left="688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3"/>
        </w:rPr>
        <w:t>四、启示与建议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pStyle w:val="BodyText"/>
        <w:ind w:left="27" w:right="233" w:firstLine="602"/>
        <w:spacing w:before="98" w:line="260" w:lineRule="auto"/>
        <w:rPr/>
      </w:pPr>
      <w:r>
        <w:rPr>
          <w:spacing w:val="-4"/>
        </w:rPr>
        <w:t>为实现中国电信打造世界一流科技型企业的战</w:t>
      </w:r>
      <w:r>
        <w:rPr>
          <w:spacing w:val="-5"/>
        </w:rPr>
        <w:t>略目标，我们</w:t>
      </w:r>
      <w:r>
        <w:rPr>
          <w:spacing w:val="-9"/>
        </w:rPr>
        <w:t>提出以下几点建议：</w:t>
      </w:r>
    </w:p>
    <w:p>
      <w:pPr>
        <w:pStyle w:val="BodyText"/>
        <w:ind w:left="636"/>
        <w:spacing w:before="272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4"/>
        </w:rPr>
        <w:t>1</w:t>
      </w:r>
      <w:r>
        <w:rPr>
          <w:b/>
          <w:bCs/>
          <w:spacing w:val="-4"/>
        </w:rPr>
        <w:t>．强化科技研发战略引领</w:t>
      </w:r>
    </w:p>
    <w:p>
      <w:pPr>
        <w:pStyle w:val="BodyText"/>
        <w:ind w:left="26" w:right="233" w:firstLine="633"/>
        <w:spacing w:before="316" w:line="260" w:lineRule="auto"/>
        <w:jc w:val="both"/>
        <w:rPr/>
      </w:pPr>
      <w:r>
        <w:rPr>
          <w:spacing w:val="6"/>
        </w:rPr>
        <w:t>以加快推进以打造世界一流科技企业为目标的战略管理体</w:t>
      </w:r>
      <w:r>
        <w:rPr>
          <w:spacing w:val="-14"/>
        </w:rPr>
        <w:t>系和高端智库建设为契机，成立“加快科技型企业建设工作组”，</w:t>
      </w:r>
      <w:r>
        <w:rPr>
          <w:spacing w:val="-4"/>
        </w:rPr>
        <w:t>持续开展对中国电信科技创新现状调研和评估，制定和实施具有</w:t>
      </w:r>
      <w:r>
        <w:rPr>
          <w:spacing w:val="-4"/>
        </w:rPr>
        <w:t>前瞻性的自主创新科技战略，努力探索具有中国电信自身特色的</w:t>
      </w:r>
      <w:r>
        <w:rPr>
          <w:spacing w:val="-7"/>
        </w:rPr>
        <w:t>科技创新之路。</w:t>
      </w:r>
    </w:p>
    <w:p>
      <w:pPr>
        <w:pStyle w:val="BodyText"/>
        <w:ind w:left="624"/>
        <w:spacing w:before="273" w:line="234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2</w:t>
      </w:r>
      <w:r>
        <w:rPr>
          <w:b/>
          <w:bCs/>
          <w:spacing w:val="-3"/>
        </w:rPr>
        <w:t>．加大主责主业研发投入</w:t>
      </w:r>
    </w:p>
    <w:p>
      <w:pPr>
        <w:pStyle w:val="BodyText"/>
        <w:ind w:left="31" w:firstLine="598"/>
        <w:spacing w:before="322" w:line="258" w:lineRule="auto"/>
        <w:jc w:val="both"/>
        <w:rPr/>
      </w:pPr>
      <w:r>
        <w:rPr>
          <w:spacing w:val="-7"/>
        </w:rPr>
        <w:t>持续保持研发投入稳定增长的同时，稳定扩大研发投入规模，</w:t>
      </w:r>
      <w:r>
        <w:rPr>
          <w:spacing w:val="-3"/>
        </w:rPr>
        <w:t>力争在未来</w:t>
      </w:r>
      <w:r>
        <w:rPr>
          <w:spacing w:val="-52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3~5 </w:t>
      </w:r>
      <w:r>
        <w:rPr>
          <w:spacing w:val="-3"/>
        </w:rPr>
        <w:t>年内研发投入占比达到</w:t>
      </w:r>
      <w:r>
        <w:rPr>
          <w:spacing w:val="-68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4~6%</w:t>
      </w:r>
      <w:r>
        <w:rPr>
          <w:spacing w:val="-3"/>
        </w:rPr>
        <w:t>。更为重要的是，</w:t>
      </w:r>
    </w:p>
    <w:p>
      <w:pPr>
        <w:pStyle w:val="BodyText"/>
        <w:ind w:left="29" w:right="232" w:hanging="2"/>
        <w:spacing w:line="260" w:lineRule="auto"/>
        <w:jc w:val="both"/>
        <w:rPr/>
      </w:pPr>
      <w:r>
        <w:rPr>
          <w:spacing w:val="-4"/>
        </w:rPr>
        <w:t>要加强研发投入管理，夯实研发基础，优化研发投入结构，研发</w:t>
      </w:r>
      <w:r>
        <w:rPr>
          <w:spacing w:val="-3"/>
        </w:rPr>
        <w:t>投入进一步向主责主业</w:t>
      </w:r>
      <w:r>
        <w:rPr>
          <w:rFonts w:ascii="Times New Roman" w:hAnsi="Times New Roman" w:eastAsia="Times New Roman" w:cs="Times New Roman"/>
          <w:spacing w:val="-3"/>
        </w:rPr>
        <w:t>“</w:t>
      </w:r>
      <w:r>
        <w:rPr>
          <w:spacing w:val="-3"/>
        </w:rPr>
        <w:t>聚合效应</w:t>
      </w:r>
      <w:r>
        <w:rPr>
          <w:rFonts w:ascii="Times New Roman" w:hAnsi="Times New Roman" w:eastAsia="Times New Roman" w:cs="Times New Roman"/>
          <w:spacing w:val="-3"/>
        </w:rPr>
        <w:t>”</w:t>
      </w:r>
      <w:r>
        <w:rPr>
          <w:spacing w:val="-3"/>
        </w:rPr>
        <w:t>方向转变，不断提高研发投入</w:t>
      </w:r>
      <w:r>
        <w:rPr>
          <w:spacing w:val="-9"/>
        </w:rPr>
        <w:t>效率和效益。</w:t>
      </w:r>
    </w:p>
    <w:p>
      <w:pPr>
        <w:pStyle w:val="BodyText"/>
        <w:ind w:left="621"/>
        <w:spacing w:before="270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3</w:t>
      </w:r>
      <w:r>
        <w:rPr>
          <w:b/>
          <w:bCs/>
          <w:spacing w:val="-3"/>
        </w:rPr>
        <w:t>．实现科技创新重大突破</w:t>
      </w:r>
    </w:p>
    <w:p>
      <w:pPr>
        <w:pStyle w:val="BodyText"/>
        <w:ind w:left="25" w:right="232" w:firstLine="605"/>
        <w:spacing w:before="322" w:line="260" w:lineRule="auto"/>
        <w:jc w:val="both"/>
        <w:rPr/>
      </w:pPr>
      <w:r>
        <w:rPr>
          <w:spacing w:val="-26"/>
        </w:rPr>
        <w:t>坚持“市场和技术”双轮驱动，聚焦核心技术领域做“减法”，</w:t>
      </w:r>
      <w:r>
        <w:rPr>
          <w:spacing w:val="-4"/>
        </w:rPr>
        <w:t>采取压强式研发投入模式，集中力量攻克“卡脖子”重大科技任</w:t>
      </w:r>
      <w:r>
        <w:rPr>
          <w:spacing w:val="-4"/>
        </w:rPr>
        <w:t>务，努力在实现重大技术突破、形成重大科技创新成果、开发有</w:t>
      </w:r>
      <w:r>
        <w:rPr>
          <w:spacing w:val="-4"/>
        </w:rPr>
        <w:t>影响力的数字平台和创新产品等方面取得新突破，实现专利数量</w:t>
      </w:r>
      <w:r>
        <w:rPr>
          <w:spacing w:val="-4"/>
        </w:rPr>
        <w:t>的快速增长和专利质量的有效提升。</w:t>
      </w:r>
    </w:p>
    <w:p>
      <w:pPr>
        <w:pStyle w:val="BodyText"/>
        <w:ind w:left="624"/>
        <w:spacing w:before="269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2"/>
        </w:rPr>
        <w:t>4</w:t>
      </w:r>
      <w:r>
        <w:rPr>
          <w:b/>
          <w:bCs/>
          <w:spacing w:val="-2"/>
        </w:rPr>
        <w:t>．加快建设与世界一流科技型企业相适应的科技创新组织</w:t>
      </w:r>
    </w:p>
    <w:p>
      <w:pPr>
        <w:spacing w:line="233" w:lineRule="auto"/>
        <w:sectPr>
          <w:footerReference w:type="default" r:id="rId2"/>
          <w:pgSz w:w="11907" w:h="16839"/>
          <w:pgMar w:top="1431" w:right="1566" w:bottom="400" w:left="1785" w:header="0" w:footer="0" w:gutter="0"/>
        </w:sectPr>
        <w:rPr/>
      </w:pPr>
    </w:p>
    <w:p>
      <w:pPr>
        <w:pStyle w:val="BodyText"/>
        <w:ind w:left="26"/>
        <w:spacing w:before="87" w:line="221" w:lineRule="auto"/>
        <w:rPr/>
      </w:pPr>
      <w:r>
        <w:rPr>
          <w:b/>
          <w:bCs/>
          <w:spacing w:val="-6"/>
        </w:rPr>
        <w:t>体系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left="27" w:right="303" w:firstLine="625"/>
        <w:spacing w:before="97" w:line="259" w:lineRule="auto"/>
        <w:jc w:val="both"/>
        <w:rPr/>
      </w:pPr>
      <w:r>
        <w:rPr>
          <w:spacing w:val="-5"/>
        </w:rPr>
        <w:t>围绕构建新型科技创新组织体系为目标，进一步优</w:t>
      </w:r>
      <w:r>
        <w:rPr>
          <w:spacing w:val="-6"/>
        </w:rPr>
        <w:t>化、调整</w:t>
      </w:r>
      <w:r>
        <w:rPr>
          <w:spacing w:val="-4"/>
        </w:rPr>
        <w:t>和整合当前中国电信科技创新组织体系，加快构建研究院、技术</w:t>
      </w:r>
      <w:r>
        <w:rPr>
          <w:spacing w:val="-4"/>
        </w:rPr>
        <w:t>中心、实验室、联合创新中心等多层次、多领域、职责定位清晰</w:t>
      </w:r>
      <w:r>
        <w:rPr>
          <w:spacing w:val="-4"/>
        </w:rPr>
        <w:t>的研发组织架构，进一步完善“集团科研机构—专业公司—省市</w:t>
      </w:r>
      <w:r>
        <w:rPr>
          <w:spacing w:val="-14"/>
        </w:rPr>
        <w:t>公司”三级创新体系，重点做好实验室发展规划和布局，构建</w:t>
      </w:r>
      <w:r>
        <w:rPr>
          <w:spacing w:val="-15"/>
        </w:rPr>
        <w:t>“集</w:t>
      </w:r>
      <w:r>
        <w:rPr>
          <w:spacing w:val="-4"/>
        </w:rPr>
        <w:t>团级、专业公司级和省市公司级”三级实验室体系，力争在打造</w:t>
      </w:r>
      <w:r>
        <w:rPr>
          <w:spacing w:val="-3"/>
        </w:rPr>
        <w:t>国家级重点实验室等方面取得重大突破。</w:t>
      </w:r>
    </w:p>
    <w:p>
      <w:pPr>
        <w:pStyle w:val="BodyText"/>
        <w:ind w:left="627"/>
        <w:spacing w:before="270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5</w:t>
      </w:r>
      <w:r>
        <w:rPr>
          <w:b/>
          <w:bCs/>
          <w:spacing w:val="-3"/>
        </w:rPr>
        <w:t>．加快引进、培养顶级科技创新人才</w:t>
      </w:r>
    </w:p>
    <w:p>
      <w:pPr>
        <w:pStyle w:val="BodyText"/>
        <w:ind w:left="25" w:right="302" w:firstLine="601"/>
        <w:spacing w:before="317" w:line="259" w:lineRule="auto"/>
        <w:jc w:val="both"/>
        <w:rPr/>
      </w:pPr>
      <w:r>
        <w:rPr>
          <w:spacing w:val="-4"/>
        </w:rPr>
        <w:t>加快研发队伍建设，进一步提高研发人员占比，</w:t>
      </w:r>
      <w:r>
        <w:rPr>
          <w:spacing w:val="-5"/>
        </w:rPr>
        <w:t>力争在未来</w:t>
      </w:r>
      <w:r>
        <w:rPr>
          <w:rFonts w:ascii="Times New Roman" w:hAnsi="Times New Roman" w:eastAsia="Times New Roman" w:cs="Times New Roman"/>
          <w:spacing w:val="-3"/>
        </w:rPr>
        <w:t>3~5</w:t>
      </w:r>
      <w:r>
        <w:rPr>
          <w:rFonts w:ascii="Times New Roman" w:hAnsi="Times New Roman" w:eastAsia="Times New Roman" w:cs="Times New Roman"/>
          <w:spacing w:val="59"/>
        </w:rPr>
        <w:t xml:space="preserve"> </w:t>
      </w:r>
      <w:r>
        <w:rPr>
          <w:spacing w:val="-3"/>
        </w:rPr>
        <w:t>年内研发人员占比达到 </w:t>
      </w:r>
      <w:r>
        <w:rPr>
          <w:rFonts w:ascii="Times New Roman" w:hAnsi="Times New Roman" w:eastAsia="Times New Roman" w:cs="Times New Roman"/>
          <w:spacing w:val="-3"/>
        </w:rPr>
        <w:t>15~20%</w:t>
      </w:r>
      <w:r>
        <w:rPr>
          <w:rFonts w:ascii="Times New Roman" w:hAnsi="Times New Roman" w:eastAsia="Times New Roman" w:cs="Times New Roman"/>
          <w:spacing w:val="-42"/>
        </w:rPr>
        <w:t xml:space="preserve"> </w:t>
      </w:r>
      <w:r>
        <w:rPr>
          <w:spacing w:val="-3"/>
        </w:rPr>
        <w:t>，重视引进、培养顶级科技</w:t>
      </w:r>
      <w:r>
        <w:rPr>
          <w:spacing w:val="-4"/>
        </w:rPr>
        <w:t>人才，快速形成一批具有影响力的顶级科学家以及各领域的顶级</w:t>
      </w:r>
      <w:r>
        <w:rPr>
          <w:spacing w:val="-8"/>
        </w:rPr>
        <w:t>专家、国家级专业人才和企业首席专家，</w:t>
      </w:r>
      <w:r>
        <w:rPr>
          <w:spacing w:val="-34"/>
        </w:rPr>
        <w:t xml:space="preserve"> </w:t>
      </w:r>
      <w:r>
        <w:rPr>
          <w:spacing w:val="-8"/>
        </w:rPr>
        <w:t>建立以科技创新领军人</w:t>
      </w:r>
      <w:r>
        <w:rPr>
          <w:spacing w:val="-5"/>
        </w:rPr>
        <w:t>才为主导的强大研发团队。</w:t>
      </w:r>
    </w:p>
    <w:p>
      <w:pPr>
        <w:pStyle w:val="BodyText"/>
        <w:ind w:left="627"/>
        <w:spacing w:before="279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6</w:t>
      </w:r>
      <w:r>
        <w:rPr>
          <w:b/>
          <w:bCs/>
          <w:spacing w:val="-3"/>
        </w:rPr>
        <w:t>．实现科技创新机制创新和突破</w:t>
      </w:r>
    </w:p>
    <w:p>
      <w:pPr>
        <w:pStyle w:val="BodyText"/>
        <w:ind w:left="23" w:firstLine="603"/>
        <w:spacing w:before="322" w:line="259" w:lineRule="auto"/>
        <w:rPr/>
      </w:pPr>
      <w:r>
        <w:rPr>
          <w:spacing w:val="-5"/>
        </w:rPr>
        <w:t>要在公司内部引入研发竞争机制，促进研发资源向“出成</w:t>
      </w:r>
      <w:r>
        <w:rPr>
          <w:spacing w:val="-6"/>
        </w:rPr>
        <w:t>果、</w:t>
      </w:r>
      <w:r>
        <w:rPr>
          <w:spacing w:val="-4"/>
        </w:rPr>
        <w:t>出产品、出人才”的研发单元倾斜，最大限度地提高研发资源配</w:t>
      </w:r>
      <w:r>
        <w:rPr>
          <w:spacing w:val="2"/>
        </w:rPr>
        <w:t xml:space="preserve"> </w:t>
      </w:r>
      <w:r>
        <w:rPr>
          <w:spacing w:val="-4"/>
        </w:rPr>
        <w:t>置效率；大力推进重大科研项目“揭榜挂帅”“赛马”“军令状”</w:t>
      </w:r>
      <w:r>
        <w:rPr>
          <w:spacing w:val="-4"/>
        </w:rPr>
        <w:t>制度，鼓励科技领军人才挂帅出征；逐步扩大科研项目经费“包</w:t>
      </w:r>
      <w:r>
        <w:rPr>
          <w:spacing w:val="2"/>
        </w:rPr>
        <w:t xml:space="preserve"> </w:t>
      </w:r>
      <w:r>
        <w:rPr>
          <w:spacing w:val="-4"/>
        </w:rPr>
        <w:t>干制”改革试点，赋予科研人员更大自主创新空间；进一步拓宽</w:t>
      </w:r>
      <w:r>
        <w:rPr>
          <w:spacing w:val="2"/>
        </w:rPr>
        <w:t xml:space="preserve"> </w:t>
      </w:r>
      <w:r>
        <w:rPr>
          <w:spacing w:val="-4"/>
        </w:rPr>
        <w:t>科研人员多元化的职业发展通道，考核激励向价值贡献者、创新</w:t>
      </w:r>
      <w:r>
        <w:rPr>
          <w:spacing w:val="2"/>
        </w:rPr>
        <w:t xml:space="preserve"> </w:t>
      </w:r>
      <w:r>
        <w:rPr>
          <w:spacing w:val="-9"/>
        </w:rPr>
        <w:t>实践者、努力奋斗者倾斜，股权激励进一步向研发科技人员倾斜，</w:t>
      </w:r>
      <w:r>
        <w:rPr>
          <w:spacing w:val="-6"/>
        </w:rPr>
        <w:t>积极为科研人员营造一个有奔头、无后顾之忧和宽松的研发环境，</w:t>
      </w:r>
      <w:r>
        <w:rPr>
          <w:spacing w:val="-4"/>
        </w:rPr>
        <w:t>不断激发研发人员创新内生动力。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ind w:left="39"/>
        <w:spacing w:before="98" w:line="216" w:lineRule="auto"/>
        <w:rPr>
          <w:rFonts w:ascii="KaiTi" w:hAnsi="KaiTi" w:eastAsia="KaiTi" w:cs="KaiTi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b/>
          <w:bCs/>
          <w:spacing w:val="-1"/>
        </w:rPr>
        <w:t>作者简介：</w:t>
      </w:r>
      <w:r>
        <w:rPr>
          <w:rFonts w:ascii="KaiTi" w:hAnsi="KaiTi" w:eastAsia="KaiTi" w:cs="KaiTi"/>
          <w:sz w:val="30"/>
          <w:szCs w:val="30"/>
          <w:spacing w:val="-1"/>
        </w:rPr>
        <w:t>中国电信股份有限公司研究院/战</w:t>
      </w:r>
      <w:r>
        <w:rPr>
          <w:rFonts w:ascii="KaiTi" w:hAnsi="KaiTi" w:eastAsia="KaiTi" w:cs="KaiTi"/>
          <w:sz w:val="30"/>
          <w:szCs w:val="30"/>
          <w:spacing w:val="-2"/>
        </w:rPr>
        <w:t>略发展研究所</w:t>
      </w:r>
    </w:p>
    <w:p>
      <w:pPr>
        <w:spacing w:line="216" w:lineRule="auto"/>
        <w:sectPr>
          <w:pgSz w:w="11907" w:h="16839"/>
          <w:pgMar w:top="1431" w:right="1495" w:bottom="400" w:left="1785" w:header="0" w:footer="0" w:gutter="0"/>
        </w:sectPr>
        <w:rPr>
          <w:rFonts w:ascii="KaiTi" w:hAnsi="KaiTi" w:eastAsia="KaiTi" w:cs="KaiTi"/>
          <w:sz w:val="30"/>
          <w:szCs w:val="30"/>
        </w:rPr>
      </w:pPr>
    </w:p>
    <w:p>
      <w:pPr>
        <w:ind w:left="2562"/>
        <w:spacing w:before="255" w:line="219" w:lineRule="auto"/>
        <w:rPr>
          <w:rFonts w:ascii="KaiTi" w:hAnsi="KaiTi" w:eastAsia="KaiTi" w:cs="KaiTi"/>
          <w:sz w:val="28"/>
          <w:szCs w:val="28"/>
        </w:rPr>
      </w:pPr>
      <w:r>
        <w:drawing>
          <wp:anchor distT="0" distB="0" distL="0" distR="0" simplePos="0" relativeHeight="251658240" behindDoc="0" locked="0" layoutInCell="0" allowOverlap="1">
            <wp:simplePos x="0" y="0"/>
            <wp:positionH relativeFrom="page">
              <wp:posOffset>1283208</wp:posOffset>
            </wp:positionH>
            <wp:positionV relativeFrom="page">
              <wp:posOffset>996696</wp:posOffset>
            </wp:positionV>
            <wp:extent cx="1114043" cy="161544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14043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KaiTi" w:hAnsi="KaiTi" w:eastAsia="KaiTi" w:cs="KaiTi"/>
          <w:sz w:val="28"/>
          <w:szCs w:val="28"/>
          <w:b/>
          <w:bCs/>
          <w:spacing w:val="-3"/>
        </w:rPr>
        <w:t>胡世良</w:t>
      </w:r>
      <w:r>
        <w:rPr>
          <w:rFonts w:ascii="KaiTi" w:hAnsi="KaiTi" w:eastAsia="KaiTi" w:cs="KaiTi"/>
          <w:sz w:val="28"/>
          <w:szCs w:val="28"/>
          <w:spacing w:val="-3"/>
        </w:rPr>
        <w:t xml:space="preserve"> </w:t>
      </w:r>
      <w:r>
        <w:rPr>
          <w:rFonts w:ascii="KaiTi" w:hAnsi="KaiTi" w:eastAsia="KaiTi" w:cs="KaiTi"/>
          <w:sz w:val="28"/>
          <w:szCs w:val="28"/>
          <w:spacing w:val="-3"/>
        </w:rPr>
        <w:t>【18918588672】</w:t>
      </w:r>
    </w:p>
    <w:p>
      <w:pPr>
        <w:ind w:left="2538" w:right="205" w:firstLine="288"/>
        <w:spacing w:before="113" w:line="224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"/>
        </w:rPr>
        <w:t>经济学硕士，中国互联网协会应用创新工作</w:t>
      </w:r>
      <w:r>
        <w:rPr>
          <w:rFonts w:ascii="KaiTi" w:hAnsi="KaiTi" w:eastAsia="KaiTi" w:cs="KaiTi"/>
          <w:sz w:val="28"/>
          <w:szCs w:val="28"/>
          <w:spacing w:val="-1"/>
        </w:rPr>
        <w:t>委员会第三届委员会专家委员。长期专注于行</w:t>
      </w:r>
      <w:r>
        <w:rPr>
          <w:rFonts w:ascii="KaiTi" w:hAnsi="KaiTi" w:eastAsia="KaiTi" w:cs="KaiTi"/>
          <w:sz w:val="28"/>
          <w:szCs w:val="28"/>
          <w:spacing w:val="-1"/>
        </w:rPr>
        <w:t>业研究、商业模式、战略规划、企业转型等研</w:t>
      </w:r>
      <w:r>
        <w:rPr>
          <w:rFonts w:ascii="KaiTi" w:hAnsi="KaiTi" w:eastAsia="KaiTi" w:cs="KaiTi"/>
          <w:sz w:val="28"/>
          <w:szCs w:val="28"/>
          <w:spacing w:val="-1"/>
        </w:rPr>
        <w:t>究工作。著有《5G+：开启商业模式新生代》</w:t>
      </w:r>
    </w:p>
    <w:p>
      <w:pPr>
        <w:ind w:left="2536" w:right="217" w:hanging="9"/>
        <w:spacing w:before="2" w:line="224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"/>
        </w:rPr>
        <w:t>《生态战略：企业成功转型的力量》《移动互</w:t>
      </w:r>
      <w:r>
        <w:rPr>
          <w:rFonts w:ascii="KaiTi" w:hAnsi="KaiTi" w:eastAsia="KaiTi" w:cs="KaiTi"/>
          <w:sz w:val="28"/>
          <w:szCs w:val="28"/>
          <w:spacing w:val="-2"/>
        </w:rPr>
        <w:t>联网商业模式创新与变革》等多部著作。</w:t>
      </w:r>
    </w:p>
    <w:sectPr>
      <w:pgSz w:w="11907" w:h="16839"/>
      <w:pgMar w:top="1431" w:right="1785" w:bottom="400" w:left="1785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703020204020201"/>
    <w:charset w:val="86"/>
    <w:family w:val="auto"/>
    <w:pitch w:val="variable"/>
    <w:sig w:usb0="80000287" w:usb1="2ACF3C50" w:usb2="00000016" w:usb3="00000000" w:csb0="0004001F" w:csb1="00000000"/>
  </w:font>
  <w:font w:name="STKaiti">
    <w:panose1 w:val="02010600040101010101"/>
    <w:charset w:val="86"/>
    <w:family w:val="auto"/>
    <w:pitch w:val="variable"/>
    <w:sig w:usb0="00000287" w:usb1="080F0000" w:usb2="00000000" w:usb3="00000000" w:csb0="0004009F" w:csb1="DFD7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TFangsong">
    <w:panose1 w:val="02010600040101010101"/>
    <w:charset w:val="86"/>
    <w:family w:val="auto"/>
    <w:pitch w:val="variable"/>
    <w:sig w:usb0="00000287" w:usb1="080F0000" w:usb2="00000000" w:usb3="00000000" w:csb0="0004009F" w:csb1="DFD7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7"/>
      <w:spacing w:line="229" w:lineRule="auto"/>
      <w:rPr/>
    </w:pPr>
    <w:r>
      <w:rPr>
        <w:spacing w:val="-9"/>
      </w:rPr>
      <w:t>而是小于</w:t>
    </w:r>
    <w:r>
      <w:rPr>
        <w:spacing w:val="-36"/>
      </w:rPr>
      <w:t xml:space="preserve"> </w:t>
    </w:r>
    <w:r>
      <w:rPr>
        <w:rFonts w:ascii="Times New Roman" w:hAnsi="Times New Roman" w:eastAsia="Times New Roman" w:cs="Times New Roman"/>
        <w:spacing w:val="-9"/>
      </w:rPr>
      <w:t>1</w:t>
    </w:r>
    <w:r>
      <w:rPr>
        <w:spacing w:val="-9"/>
      </w:rPr>
      <w:t>。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30"/>
      <w:szCs w:val="30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TFangsong" w:hAnsi="STFangsong" w:eastAsia="STFangsong" w:cs="STFangsong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styles" Target="styles.xml"/><Relationship Id="rId4" Type="http://schemas.openxmlformats.org/officeDocument/2006/relationships/settings" Target="settings.xml"/><Relationship Id="rId3" Type="http://schemas.openxmlformats.org/officeDocument/2006/relationships/image" Target="media/image1.jpeg"/><Relationship Id="rId2" Type="http://schemas.openxmlformats.org/officeDocument/2006/relationships/footer" Target="footer2.xml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Word 2016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谢婷婷</dc:creator>
  <dcterms:created xsi:type="dcterms:W3CDTF">2023-06-13T16:37:04Z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2025-11-04T15:54:53</vt:filetime>
  </property>
</Properties>
</file>