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5CA4F">
      <w:pPr>
        <w:pStyle w:val="2"/>
        <w:bidi w:val="0"/>
        <w:jc w:val="center"/>
        <w:rPr>
          <w:rFonts w:hint="eastAsia"/>
          <w:sz w:val="40"/>
          <w:szCs w:val="22"/>
          <w:lang w:val="en-US" w:eastAsia="zh-CN"/>
        </w:rPr>
      </w:pPr>
      <w:r>
        <w:rPr>
          <w:rFonts w:hint="eastAsia"/>
          <w:sz w:val="40"/>
          <w:szCs w:val="22"/>
          <w:lang w:val="en-US" w:eastAsia="zh-CN"/>
        </w:rPr>
        <w:t>中国上市公司数据资产入表实践分析与启示</w:t>
      </w:r>
    </w:p>
    <w:p w14:paraId="1EA41478">
      <w:pPr>
        <w:pStyle w:val="3"/>
        <w:numPr>
          <w:ilvl w:val="0"/>
          <w:numId w:val="0"/>
        </w:numPr>
        <w:bidi w:val="0"/>
        <w:ind w:firstLine="420" w:firstLineChars="0"/>
        <w:rPr>
          <w:rFonts w:hint="eastAsia"/>
          <w:lang w:val="en-US" w:eastAsia="zh-CN"/>
        </w:rPr>
      </w:pPr>
      <w:r>
        <w:rPr>
          <w:rFonts w:hint="eastAsia" w:ascii="仿宋_GB2312" w:hAnsi="仿宋_GB2312" w:eastAsia="仿宋_GB2312" w:cs="仿宋_GB2312"/>
          <w:b w:val="0"/>
          <w:color w:val="000000"/>
          <w:kern w:val="0"/>
          <w:sz w:val="28"/>
          <w:szCs w:val="28"/>
          <w:lang w:val="en-US" w:eastAsia="zh-CN" w:bidi="ar"/>
        </w:rPr>
        <w:t>随着我国数字经济的高速发展，数据要素的重要性日益凸显。自</w:t>
      </w:r>
      <w:r>
        <w:rPr>
          <w:rFonts w:hint="default" w:ascii="仿宋_GB2312" w:hAnsi="仿宋_GB2312" w:eastAsia="仿宋_GB2312" w:cs="仿宋_GB2312"/>
          <w:b w:val="0"/>
          <w:color w:val="000000"/>
          <w:kern w:val="0"/>
          <w:sz w:val="28"/>
          <w:szCs w:val="28"/>
          <w:lang w:val="en-US" w:eastAsia="zh-CN" w:bidi="ar"/>
        </w:rPr>
        <w:t>2024</w:t>
      </w:r>
      <w:r>
        <w:rPr>
          <w:rFonts w:hint="eastAsia" w:ascii="仿宋_GB2312" w:hAnsi="仿宋_GB2312" w:eastAsia="仿宋_GB2312" w:cs="仿宋_GB2312"/>
          <w:b w:val="0"/>
          <w:color w:val="000000"/>
          <w:kern w:val="0"/>
          <w:sz w:val="28"/>
          <w:szCs w:val="28"/>
          <w:lang w:val="en-US" w:eastAsia="zh-CN" w:bidi="ar"/>
        </w:rPr>
        <w:t>年1月1日《企业数据资源相关会计处理暂行规定》（简称《暂行规定》）正式生效以来，我国企业迅速响应，积极筹备数据资产入表工作</w:t>
      </w:r>
      <w:r>
        <w:rPr>
          <w:rFonts w:hint="default" w:ascii="仿宋_GB2312" w:hAnsi="仿宋_GB2312" w:eastAsia="仿宋_GB2312" w:cs="仿宋_GB2312"/>
          <w:b w:val="0"/>
          <w:color w:val="000000"/>
          <w:kern w:val="0"/>
          <w:sz w:val="28"/>
          <w:szCs w:val="28"/>
          <w:lang w:val="en-US" w:eastAsia="zh-CN" w:bidi="ar"/>
        </w:rPr>
        <w:t>。从2024年一季度报来看，有18家上市公司披露了共计1.07亿元的数据资产，从半年报来看，截至8月20日，包括三家运营商在内的9家上市公司披露了共计3.52亿元的数据资产，随着半年报的陆续披露，相信这个数字会继续增加，上市公司数据资产入表</w:t>
      </w:r>
      <w:r>
        <w:rPr>
          <w:rFonts w:hint="eastAsia" w:ascii="仿宋_GB2312" w:hAnsi="仿宋_GB2312" w:eastAsia="仿宋_GB2312" w:cs="仿宋_GB2312"/>
          <w:b w:val="0"/>
          <w:color w:val="000000"/>
          <w:kern w:val="0"/>
          <w:sz w:val="28"/>
          <w:szCs w:val="28"/>
          <w:lang w:val="en-US" w:eastAsia="zh-CN" w:bidi="ar"/>
        </w:rPr>
        <w:t>已</w:t>
      </w:r>
      <w:r>
        <w:rPr>
          <w:rFonts w:hint="default" w:ascii="仿宋_GB2312" w:hAnsi="仿宋_GB2312" w:eastAsia="仿宋_GB2312" w:cs="仿宋_GB2312"/>
          <w:b w:val="0"/>
          <w:color w:val="000000"/>
          <w:kern w:val="0"/>
          <w:sz w:val="28"/>
          <w:szCs w:val="28"/>
          <w:lang w:val="en-US" w:eastAsia="zh-CN" w:bidi="ar"/>
        </w:rPr>
        <w:t>迈向实操阶段。</w:t>
      </w:r>
      <w:r>
        <w:rPr>
          <w:rFonts w:hint="eastAsia" w:ascii="仿宋_GB2312" w:hAnsi="仿宋_GB2312" w:eastAsia="仿宋_GB2312" w:cs="仿宋_GB2312"/>
          <w:b w:val="0"/>
          <w:color w:val="000000"/>
          <w:kern w:val="0"/>
          <w:sz w:val="28"/>
          <w:szCs w:val="28"/>
          <w:lang w:val="en-US" w:eastAsia="zh-CN" w:bidi="ar"/>
        </w:rPr>
        <w:t>本文通过分析总结中国上市公司一季报数据资产入表的最新实践</w:t>
      </w:r>
      <w:r>
        <w:rPr>
          <w:rFonts w:hint="eastAsia" w:ascii="仿宋_GB2312" w:hAnsi="仿宋_GB2312" w:eastAsia="仿宋_GB2312" w:cs="仿宋_GB2312"/>
          <w:b w:val="0"/>
          <w:color w:val="000000"/>
          <w:kern w:val="0"/>
          <w:sz w:val="28"/>
          <w:szCs w:val="28"/>
          <w:vertAlign w:val="superscript"/>
          <w:lang w:val="en-US" w:eastAsia="zh-CN" w:bidi="ar"/>
        </w:rPr>
        <w:t>1</w:t>
      </w:r>
      <w:r>
        <w:rPr>
          <w:rFonts w:hint="eastAsia" w:ascii="仿宋_GB2312" w:hAnsi="仿宋_GB2312" w:eastAsia="仿宋_GB2312" w:cs="仿宋_GB2312"/>
          <w:b w:val="0"/>
          <w:color w:val="000000"/>
          <w:kern w:val="0"/>
          <w:sz w:val="28"/>
          <w:szCs w:val="28"/>
          <w:lang w:val="en-US" w:eastAsia="zh-CN" w:bidi="ar"/>
        </w:rPr>
        <w:t>，探讨其现状、影响及对运营商的启示</w:t>
      </w:r>
      <w:r>
        <w:rPr>
          <w:rFonts w:hint="eastAsia" w:ascii="仿宋_GB2312" w:hAnsi="仿宋_GB2312" w:eastAsia="仿宋_GB2312" w:cs="仿宋_GB2312"/>
          <w:color w:val="000000"/>
          <w:kern w:val="0"/>
          <w:sz w:val="28"/>
          <w:szCs w:val="28"/>
          <w:lang w:val="en-US" w:eastAsia="zh-CN" w:bidi="ar"/>
        </w:rPr>
        <w:t>。</w:t>
      </w:r>
    </w:p>
    <w:p w14:paraId="7B65A02F">
      <w:pPr>
        <w:pStyle w:val="3"/>
        <w:numPr>
          <w:ilvl w:val="0"/>
          <w:numId w:val="1"/>
        </w:numPr>
        <w:bidi w:val="0"/>
        <w:ind w:left="0" w:leftChars="0" w:firstLine="400" w:firstLineChars="0"/>
        <w:rPr>
          <w:rFonts w:hint="default"/>
          <w:lang w:val="en-US" w:eastAsia="zh-CN"/>
        </w:rPr>
      </w:pPr>
      <w:r>
        <w:rPr>
          <w:rFonts w:hint="eastAsia"/>
          <w:lang w:val="en-US" w:eastAsia="zh-CN"/>
        </w:rPr>
        <w:t>一季度</w:t>
      </w:r>
      <w:bookmarkStart w:id="0" w:name="_GoBack"/>
      <w:bookmarkEnd w:id="0"/>
      <w:r>
        <w:rPr>
          <w:rFonts w:hint="eastAsia"/>
          <w:lang w:val="en-US" w:eastAsia="zh-CN"/>
        </w:rPr>
        <w:t>上市公司数据资产入表概况</w:t>
      </w:r>
    </w:p>
    <w:p w14:paraId="33045A24">
      <w:pPr>
        <w:keepNext w:val="0"/>
        <w:keepLines w:val="0"/>
        <w:widowControl/>
        <w:suppressLineNumbers w:val="0"/>
        <w:ind w:firstLine="420" w:firstLineChars="0"/>
        <w:jc w:val="left"/>
        <w:rPr>
          <w:rFonts w:hint="eastAsia" w:ascii="仿宋_GB2312" w:hAnsi="仿宋_GB2312" w:eastAsia="仿宋_GB2312" w:cs="仿宋_GB2312"/>
          <w:color w:val="000000"/>
          <w:kern w:val="0"/>
          <w:sz w:val="28"/>
          <w:szCs w:val="28"/>
          <w:lang w:val="en-US" w:eastAsia="zh-CN" w:bidi="ar"/>
        </w:rPr>
      </w:pPr>
      <w:r>
        <w:rPr>
          <w:rFonts w:hint="default" w:ascii="仿宋_GB2312" w:hAnsi="仿宋_GB2312" w:eastAsia="仿宋_GB2312" w:cs="仿宋_GB2312"/>
          <w:color w:val="000000"/>
          <w:kern w:val="0"/>
          <w:sz w:val="28"/>
          <w:szCs w:val="28"/>
          <w:lang w:val="en-US" w:eastAsia="zh-CN" w:bidi="ar"/>
        </w:rPr>
        <w:t>2024</w:t>
      </w:r>
      <w:r>
        <w:rPr>
          <w:rFonts w:hint="eastAsia" w:ascii="仿宋_GB2312" w:hAnsi="仿宋_GB2312" w:eastAsia="仿宋_GB2312" w:cs="仿宋_GB2312"/>
          <w:color w:val="000000"/>
          <w:kern w:val="0"/>
          <w:sz w:val="28"/>
          <w:szCs w:val="28"/>
          <w:lang w:val="en-US" w:eastAsia="zh-CN" w:bidi="ar"/>
        </w:rPr>
        <w:t>年中国A股上市公司第一季度季报发布之初，共有</w:t>
      </w:r>
      <w:r>
        <w:rPr>
          <w:rFonts w:hint="default" w:ascii="仿宋_GB2312" w:hAnsi="仿宋_GB2312" w:eastAsia="仿宋_GB2312" w:cs="仿宋_GB2312"/>
          <w:color w:val="000000"/>
          <w:kern w:val="0"/>
          <w:sz w:val="28"/>
          <w:szCs w:val="28"/>
          <w:lang w:val="en-US" w:eastAsia="zh-CN" w:bidi="ar"/>
        </w:rPr>
        <w:t>25</w:t>
      </w:r>
      <w:r>
        <w:rPr>
          <w:rFonts w:hint="eastAsia" w:ascii="仿宋_GB2312" w:hAnsi="仿宋_GB2312" w:eastAsia="仿宋_GB2312" w:cs="仿宋_GB2312"/>
          <w:color w:val="000000"/>
          <w:kern w:val="0"/>
          <w:sz w:val="28"/>
          <w:szCs w:val="28"/>
          <w:lang w:val="en-US" w:eastAsia="zh-CN" w:bidi="ar"/>
        </w:rPr>
        <w:t>家企业在其财务报表中列示了数据资产，涉及总金额达到15.72亿元。随后，喜临门等</w:t>
      </w:r>
      <w:r>
        <w:rPr>
          <w:rFonts w:hint="default" w:ascii="仿宋_GB2312" w:hAnsi="仿宋_GB2312" w:eastAsia="仿宋_GB2312" w:cs="仿宋_GB2312"/>
          <w:color w:val="000000"/>
          <w:kern w:val="0"/>
          <w:sz w:val="28"/>
          <w:szCs w:val="28"/>
          <w:lang w:val="en-US" w:eastAsia="zh-CN" w:bidi="ar"/>
        </w:rPr>
        <w:t>4</w:t>
      </w:r>
      <w:r>
        <w:rPr>
          <w:rFonts w:hint="eastAsia" w:ascii="仿宋_GB2312" w:hAnsi="仿宋_GB2312" w:eastAsia="仿宋_GB2312" w:cs="仿宋_GB2312"/>
          <w:color w:val="000000"/>
          <w:kern w:val="0"/>
          <w:sz w:val="28"/>
          <w:szCs w:val="28"/>
          <w:lang w:val="en-US" w:eastAsia="zh-CN" w:bidi="ar"/>
        </w:rPr>
        <w:t>家企业在季报公布后进行了更正，撤回了数据资产的列示，威星智能等</w:t>
      </w:r>
      <w:r>
        <w:rPr>
          <w:rFonts w:hint="default" w:ascii="仿宋_GB2312" w:hAnsi="仿宋_GB2312" w:eastAsia="仿宋_GB2312" w:cs="仿宋_GB2312"/>
          <w:color w:val="000000"/>
          <w:kern w:val="0"/>
          <w:sz w:val="28"/>
          <w:szCs w:val="28"/>
          <w:lang w:val="en-US" w:eastAsia="zh-CN" w:bidi="ar"/>
        </w:rPr>
        <w:t>3</w:t>
      </w:r>
      <w:r>
        <w:rPr>
          <w:rFonts w:hint="eastAsia" w:ascii="仿宋_GB2312" w:hAnsi="仿宋_GB2312" w:eastAsia="仿宋_GB2312" w:cs="仿宋_GB2312"/>
          <w:color w:val="000000"/>
          <w:kern w:val="0"/>
          <w:sz w:val="28"/>
          <w:szCs w:val="28"/>
          <w:lang w:val="en-US" w:eastAsia="zh-CN" w:bidi="ar"/>
        </w:rPr>
        <w:t>家企业表示“列示有误”直接删减了“数据资源”一栏相关数据。因此，最终列示数据资源的A股上市公司为</w:t>
      </w:r>
      <w:r>
        <w:rPr>
          <w:rFonts w:hint="default" w:ascii="仿宋_GB2312" w:hAnsi="仿宋_GB2312" w:eastAsia="仿宋_GB2312" w:cs="仿宋_GB2312"/>
          <w:color w:val="000000"/>
          <w:kern w:val="0"/>
          <w:sz w:val="28"/>
          <w:szCs w:val="28"/>
          <w:lang w:val="en-US" w:eastAsia="zh-CN" w:bidi="ar"/>
        </w:rPr>
        <w:t>18</w:t>
      </w:r>
      <w:r>
        <w:rPr>
          <w:rFonts w:hint="eastAsia" w:ascii="仿宋_GB2312" w:hAnsi="仿宋_GB2312" w:eastAsia="仿宋_GB2312" w:cs="仿宋_GB2312"/>
          <w:color w:val="000000"/>
          <w:kern w:val="0"/>
          <w:sz w:val="28"/>
          <w:szCs w:val="28"/>
          <w:lang w:val="en-US" w:eastAsia="zh-CN" w:bidi="ar"/>
        </w:rPr>
        <w:t>家，数据资源“入表”规模也降至1.07亿元（详见表1）。这一定程度上反映了企业目前对新规的理解不充分、缺乏专业指导等问题。</w:t>
      </w:r>
    </w:p>
    <w:p w14:paraId="016043BF">
      <w:pPr>
        <w:pStyle w:val="5"/>
        <w:rPr>
          <w:rFonts w:hint="eastAsia" w:asciiTheme="minorEastAsia" w:hAnsiTheme="minorEastAsia" w:eastAsiaTheme="minorEastAsia" w:cstheme="minorEastAsia"/>
          <w:sz w:val="8"/>
          <w:szCs w:val="15"/>
        </w:rPr>
      </w:pPr>
      <w:r>
        <w:rPr>
          <w:rFonts w:hint="eastAsia" w:asciiTheme="minorEastAsia" w:hAnsiTheme="minorEastAsia" w:cstheme="minorEastAsia"/>
          <w:color w:val="000000"/>
          <w:kern w:val="0"/>
          <w:sz w:val="16"/>
          <w:szCs w:val="16"/>
          <w:lang w:val="en-US" w:eastAsia="zh-CN" w:bidi="ar"/>
        </w:rPr>
        <w:t>———————————————————————————————————————————————————注1：</w:t>
      </w:r>
      <w:r>
        <w:rPr>
          <w:rFonts w:hint="eastAsia" w:asciiTheme="minorEastAsia" w:hAnsiTheme="minorEastAsia" w:eastAsiaTheme="minorEastAsia" w:cstheme="minorEastAsia"/>
          <w:color w:val="000000"/>
          <w:kern w:val="0"/>
          <w:sz w:val="16"/>
          <w:szCs w:val="16"/>
          <w:lang w:val="en-US" w:eastAsia="zh-CN" w:bidi="ar"/>
        </w:rPr>
        <w:t>目前正在半年报披露期，很多企业未披露半年报或可能修正半年报，因此</w:t>
      </w:r>
      <w:r>
        <w:rPr>
          <w:rFonts w:hint="eastAsia" w:asciiTheme="minorEastAsia" w:hAnsiTheme="minorEastAsia" w:cstheme="minorEastAsia"/>
          <w:color w:val="000000"/>
          <w:kern w:val="0"/>
          <w:sz w:val="16"/>
          <w:szCs w:val="16"/>
          <w:lang w:val="en-US" w:eastAsia="zh-CN" w:bidi="ar"/>
        </w:rPr>
        <w:t>本文</w:t>
      </w:r>
      <w:r>
        <w:rPr>
          <w:rFonts w:hint="eastAsia" w:asciiTheme="minorEastAsia" w:hAnsiTheme="minorEastAsia" w:eastAsiaTheme="minorEastAsia" w:cstheme="minorEastAsia"/>
          <w:color w:val="000000"/>
          <w:kern w:val="0"/>
          <w:sz w:val="16"/>
          <w:szCs w:val="16"/>
          <w:lang w:val="en-US" w:eastAsia="zh-CN" w:bidi="ar"/>
        </w:rPr>
        <w:t>主要基于一季报的数据入表情况进行分析。</w:t>
      </w:r>
    </w:p>
    <w:p w14:paraId="3E2892DA">
      <w:pPr>
        <w:keepNext w:val="0"/>
        <w:keepLines w:val="0"/>
        <w:widowControl/>
        <w:suppressLineNumbers w:val="0"/>
        <w:ind w:firstLine="420" w:firstLineChars="0"/>
        <w:jc w:val="center"/>
        <w:rPr>
          <w:rFonts w:hint="eastAsia" w:ascii="宋体" w:hAnsi="宋体" w:eastAsia="宋体" w:cs="宋体"/>
          <w:color w:val="000000"/>
          <w:kern w:val="0"/>
          <w:sz w:val="24"/>
          <w:szCs w:val="24"/>
          <w:lang w:val="en-US" w:eastAsia="zh-CN" w:bidi="ar"/>
        </w:rPr>
      </w:pPr>
      <w:r>
        <w:rPr>
          <w:rStyle w:val="12"/>
          <w:lang w:val="en-US" w:eastAsia="zh-CN" w:bidi="ar"/>
        </w:rPr>
        <w:t>表</w:t>
      </w:r>
      <w:r>
        <w:rPr>
          <w:rStyle w:val="13"/>
          <w:rFonts w:eastAsia="宋体"/>
          <w:lang w:val="en-US" w:eastAsia="zh-CN" w:bidi="ar"/>
        </w:rPr>
        <w:t>1</w:t>
      </w:r>
      <w:r>
        <w:rPr>
          <w:rStyle w:val="13"/>
          <w:rFonts w:hint="eastAsia" w:eastAsia="宋体"/>
          <w:lang w:val="en-US" w:eastAsia="zh-CN" w:bidi="ar"/>
        </w:rPr>
        <w:t>中国A股上市公司</w:t>
      </w:r>
      <w:r>
        <w:rPr>
          <w:rStyle w:val="12"/>
          <w:lang w:val="en-US" w:eastAsia="zh-CN" w:bidi="ar"/>
        </w:rPr>
        <w:t>数据资产入表情况概览</w:t>
      </w:r>
    </w:p>
    <w:tbl>
      <w:tblPr>
        <w:tblStyle w:val="8"/>
        <w:tblW w:w="497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96"/>
        <w:gridCol w:w="1763"/>
        <w:gridCol w:w="882"/>
        <w:gridCol w:w="584"/>
        <w:gridCol w:w="952"/>
        <w:gridCol w:w="996"/>
        <w:gridCol w:w="897"/>
        <w:gridCol w:w="1101"/>
        <w:gridCol w:w="914"/>
      </w:tblGrid>
      <w:tr w14:paraId="7DDCD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15"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BEC443">
            <w:pPr>
              <w:keepNext w:val="0"/>
              <w:keepLines w:val="0"/>
              <w:widowControl/>
              <w:suppressLineNumbers w:val="0"/>
              <w:jc w:val="center"/>
              <w:textAlignment w:val="center"/>
              <w:rPr>
                <w:rFonts w:ascii="宋体" w:hAnsi="宋体" w:eastAsia="宋体" w:cs="宋体"/>
                <w:b/>
                <w:bCs/>
                <w:i w:val="0"/>
                <w:iCs w:val="0"/>
                <w:color w:val="060607"/>
                <w:sz w:val="18"/>
                <w:szCs w:val="18"/>
                <w:u w:val="none"/>
              </w:rPr>
            </w:pPr>
            <w:r>
              <w:rPr>
                <w:rStyle w:val="14"/>
                <w:lang w:val="en-US" w:eastAsia="zh-CN" w:bidi="ar"/>
              </w:rPr>
              <w:t>序号</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95C796">
            <w:pPr>
              <w:keepNext w:val="0"/>
              <w:keepLines w:val="0"/>
              <w:widowControl/>
              <w:suppressLineNumbers w:val="0"/>
              <w:jc w:val="center"/>
              <w:textAlignment w:val="center"/>
              <w:rPr>
                <w:rFonts w:ascii="宋体" w:hAnsi="宋体" w:eastAsia="宋体" w:cs="宋体"/>
                <w:b/>
                <w:bCs/>
                <w:i w:val="0"/>
                <w:iCs w:val="0"/>
                <w:color w:val="060607"/>
                <w:sz w:val="18"/>
                <w:szCs w:val="18"/>
                <w:u w:val="none"/>
              </w:rPr>
            </w:pPr>
            <w:r>
              <w:rPr>
                <w:rStyle w:val="14"/>
                <w:lang w:val="en-US" w:eastAsia="zh-CN" w:bidi="ar"/>
              </w:rPr>
              <w:t>公司名称</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C6E49A">
            <w:pPr>
              <w:keepNext w:val="0"/>
              <w:keepLines w:val="0"/>
              <w:widowControl/>
              <w:suppressLineNumbers w:val="0"/>
              <w:jc w:val="center"/>
              <w:textAlignment w:val="center"/>
              <w:rPr>
                <w:rFonts w:ascii="宋体" w:hAnsi="宋体" w:eastAsia="宋体" w:cs="宋体"/>
                <w:b/>
                <w:bCs/>
                <w:i w:val="0"/>
                <w:iCs w:val="0"/>
                <w:color w:val="060607"/>
                <w:sz w:val="18"/>
                <w:szCs w:val="18"/>
                <w:u w:val="none"/>
              </w:rPr>
            </w:pPr>
            <w:r>
              <w:rPr>
                <w:rStyle w:val="14"/>
                <w:lang w:val="en-US" w:eastAsia="zh-CN" w:bidi="ar"/>
              </w:rPr>
              <w:t>行业</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674C4C">
            <w:pPr>
              <w:keepNext w:val="0"/>
              <w:keepLines w:val="0"/>
              <w:widowControl/>
              <w:suppressLineNumbers w:val="0"/>
              <w:jc w:val="center"/>
              <w:textAlignment w:val="center"/>
              <w:rPr>
                <w:rFonts w:ascii="宋体" w:hAnsi="宋体" w:eastAsia="宋体" w:cs="宋体"/>
                <w:b/>
                <w:bCs/>
                <w:i w:val="0"/>
                <w:iCs w:val="0"/>
                <w:color w:val="060607"/>
                <w:sz w:val="18"/>
                <w:szCs w:val="18"/>
                <w:u w:val="none"/>
              </w:rPr>
            </w:pPr>
            <w:r>
              <w:rPr>
                <w:rStyle w:val="14"/>
                <w:lang w:val="en-US" w:eastAsia="zh-CN" w:bidi="ar"/>
              </w:rPr>
              <w:t>所在地</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F8A7CC">
            <w:pPr>
              <w:keepNext w:val="0"/>
              <w:keepLines w:val="0"/>
              <w:widowControl/>
              <w:suppressLineNumbers w:val="0"/>
              <w:jc w:val="center"/>
              <w:textAlignment w:val="center"/>
              <w:rPr>
                <w:rFonts w:ascii="宋体" w:hAnsi="宋体" w:eastAsia="宋体" w:cs="宋体"/>
                <w:b/>
                <w:bCs/>
                <w:i w:val="0"/>
                <w:iCs w:val="0"/>
                <w:color w:val="060607"/>
                <w:sz w:val="18"/>
                <w:szCs w:val="18"/>
                <w:u w:val="none"/>
              </w:rPr>
            </w:pPr>
            <w:r>
              <w:rPr>
                <w:rStyle w:val="14"/>
                <w:lang w:val="en-US" w:eastAsia="zh-CN" w:bidi="ar"/>
              </w:rPr>
              <w:t>列示项目</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F93989">
            <w:pPr>
              <w:keepNext w:val="0"/>
              <w:keepLines w:val="0"/>
              <w:widowControl/>
              <w:suppressLineNumbers w:val="0"/>
              <w:jc w:val="center"/>
              <w:textAlignment w:val="center"/>
              <w:rPr>
                <w:rStyle w:val="14"/>
                <w:lang w:val="en-US" w:eastAsia="zh-CN" w:bidi="ar"/>
              </w:rPr>
            </w:pPr>
            <w:r>
              <w:rPr>
                <w:rStyle w:val="14"/>
                <w:lang w:val="en-US" w:eastAsia="zh-CN" w:bidi="ar"/>
              </w:rPr>
              <w:t>列示金额</w:t>
            </w:r>
          </w:p>
          <w:p w14:paraId="69DAF4E2">
            <w:pPr>
              <w:keepNext w:val="0"/>
              <w:keepLines w:val="0"/>
              <w:widowControl/>
              <w:suppressLineNumbers w:val="0"/>
              <w:jc w:val="center"/>
              <w:textAlignment w:val="center"/>
              <w:rPr>
                <w:rFonts w:ascii="宋体" w:hAnsi="宋体" w:eastAsia="宋体" w:cs="宋体"/>
                <w:b/>
                <w:bCs/>
                <w:i w:val="0"/>
                <w:iCs w:val="0"/>
                <w:color w:val="060607"/>
                <w:sz w:val="18"/>
                <w:szCs w:val="18"/>
                <w:u w:val="none"/>
              </w:rPr>
            </w:pPr>
            <w:r>
              <w:rPr>
                <w:rStyle w:val="14"/>
                <w:lang w:val="en-US" w:eastAsia="zh-CN" w:bidi="ar"/>
              </w:rPr>
              <w:t>（万元）</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9B7698">
            <w:pPr>
              <w:keepNext w:val="0"/>
              <w:keepLines w:val="0"/>
              <w:widowControl/>
              <w:suppressLineNumbers w:val="0"/>
              <w:jc w:val="center"/>
              <w:textAlignment w:val="center"/>
              <w:rPr>
                <w:rFonts w:ascii="宋体" w:hAnsi="宋体" w:eastAsia="宋体" w:cs="宋体"/>
                <w:b/>
                <w:bCs/>
                <w:i w:val="0"/>
                <w:iCs w:val="0"/>
                <w:color w:val="060607"/>
                <w:sz w:val="18"/>
                <w:szCs w:val="18"/>
                <w:u w:val="none"/>
              </w:rPr>
            </w:pPr>
            <w:r>
              <w:rPr>
                <w:rStyle w:val="14"/>
                <w:lang w:val="en-US" w:eastAsia="zh-CN" w:bidi="ar"/>
              </w:rPr>
              <w:t>占总资产比</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BE24F3">
            <w:pPr>
              <w:keepNext w:val="0"/>
              <w:keepLines w:val="0"/>
              <w:widowControl/>
              <w:suppressLineNumbers w:val="0"/>
              <w:jc w:val="center"/>
              <w:textAlignment w:val="center"/>
              <w:rPr>
                <w:rFonts w:ascii="宋体" w:hAnsi="宋体" w:eastAsia="宋体" w:cs="宋体"/>
                <w:b/>
                <w:bCs/>
                <w:i w:val="0"/>
                <w:iCs w:val="0"/>
                <w:color w:val="060607"/>
                <w:sz w:val="18"/>
                <w:szCs w:val="18"/>
                <w:u w:val="none"/>
              </w:rPr>
            </w:pPr>
            <w:r>
              <w:rPr>
                <w:rStyle w:val="14"/>
                <w:lang w:val="en-US" w:eastAsia="zh-CN" w:bidi="ar"/>
              </w:rPr>
              <w:t>占列示项目总额比</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131BFA">
            <w:pPr>
              <w:keepNext w:val="0"/>
              <w:keepLines w:val="0"/>
              <w:widowControl/>
              <w:suppressLineNumbers w:val="0"/>
              <w:jc w:val="center"/>
              <w:textAlignment w:val="center"/>
              <w:rPr>
                <w:rStyle w:val="14"/>
                <w:lang w:val="en-US" w:eastAsia="zh-CN" w:bidi="ar"/>
              </w:rPr>
            </w:pPr>
            <w:r>
              <w:rPr>
                <w:rStyle w:val="14"/>
                <w:lang w:val="en-US" w:eastAsia="zh-CN" w:bidi="ar"/>
              </w:rPr>
              <w:t>总市值</w:t>
            </w:r>
          </w:p>
          <w:p w14:paraId="7FD4E900">
            <w:pPr>
              <w:keepNext w:val="0"/>
              <w:keepLines w:val="0"/>
              <w:widowControl/>
              <w:suppressLineNumbers w:val="0"/>
              <w:jc w:val="center"/>
              <w:textAlignment w:val="center"/>
              <w:rPr>
                <w:rFonts w:ascii="宋体" w:hAnsi="宋体" w:eastAsia="宋体" w:cs="宋体"/>
                <w:b/>
                <w:bCs/>
                <w:i w:val="0"/>
                <w:iCs w:val="0"/>
                <w:color w:val="060607"/>
                <w:sz w:val="18"/>
                <w:szCs w:val="18"/>
                <w:u w:val="none"/>
              </w:rPr>
            </w:pPr>
            <w:r>
              <w:rPr>
                <w:rStyle w:val="14"/>
                <w:lang w:val="en-US" w:eastAsia="zh-CN" w:bidi="ar"/>
              </w:rPr>
              <w:t>（亿元）</w:t>
            </w:r>
          </w:p>
        </w:tc>
      </w:tr>
      <w:tr w14:paraId="1C449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9"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694F0F">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D4944F">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恒信东方文化股份有限公司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58701D">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通信</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1CDF45">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北京</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FDF48A">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无形资产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F7E698">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2460.33</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2B1000">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1.2930%</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9AEDEA">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16.97%</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DDAD7F">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38.95</w:t>
            </w:r>
          </w:p>
        </w:tc>
      </w:tr>
      <w:tr w14:paraId="57218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74EBC9">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3BAD43">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中交设计咨询集团股份有限公司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765902">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建筑装饰</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AFE1DB">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北京</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A2C82E">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无形资产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A6EEBE">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38.28</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58C25D">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0.0014%</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50FE93">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Style w:val="16"/>
                <w:rFonts w:eastAsia="宋体"/>
                <w:lang w:val="en-US" w:eastAsia="zh-CN" w:bidi="ar"/>
              </w:rPr>
              <w:t>0.12%</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F03429">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223.08</w:t>
            </w:r>
          </w:p>
        </w:tc>
      </w:tr>
      <w:tr w14:paraId="420E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4F51A9">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85BBF9">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山东高速股份有限公司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9458A5">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交通运输</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5D5FBD">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山东</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67399F">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无形资产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0EB2DA">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36.48</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E23ED7">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0.0002%</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65893A">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0.00048%</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4A3087">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423.05</w:t>
            </w:r>
          </w:p>
        </w:tc>
      </w:tr>
      <w:tr w14:paraId="02F51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E6CDEB">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162DDA">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博敏电子股份有限公司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DACFB4">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电子</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827950">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广东</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32AA54">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无形资产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31EE2F">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181.76</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CB64A3">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0.0220%</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A31EDB">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1.83%</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EF5CEA">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50.72</w:t>
            </w:r>
          </w:p>
        </w:tc>
      </w:tr>
      <w:tr w14:paraId="6FE73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378A7E">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168F8F">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美年大健康产业控股股份有限公司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B6797E">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医药生物</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EAF68E">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江苏</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2D282C">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开发支出</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678D69">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545.98</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CA4A35">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0.0295%</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7B9FD2">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1.60%</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56C0F2">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173.01</w:t>
            </w:r>
          </w:p>
        </w:tc>
      </w:tr>
      <w:tr w14:paraId="3A0BF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99724E">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6</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29F497">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佳华科技</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EE84FB">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计算机</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FFD349">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北京</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FA2D1D">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开发支出</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607986">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171.13</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4E84A1">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Style w:val="16"/>
                <w:rFonts w:eastAsia="宋体"/>
                <w:lang w:val="en-US" w:eastAsia="zh-CN" w:bidi="ar"/>
              </w:rPr>
              <w:t>0.1452%</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9F37EC">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100.00%</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5EDB70">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15.00</w:t>
            </w:r>
          </w:p>
        </w:tc>
      </w:tr>
      <w:tr w14:paraId="2394C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AF0F2C">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7</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C3D142">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浙江交科</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CED68E">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建筑装饰</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26092">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浙江</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03994D">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开发支出</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6172D7">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24.00</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46A877">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0.0004%</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4BBDB2">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100.00%</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74111C">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99.81</w:t>
            </w:r>
          </w:p>
        </w:tc>
      </w:tr>
      <w:tr w14:paraId="2F905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4A1822">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8</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3F8DFA">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青岛港国际股份有限公司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D96C93">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交通运输</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ED72EB">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山东</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EB5A14">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无形资产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C04133">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25.85</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F35C9F">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0.0004%</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F67914">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0.01%</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C038B1">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487.85</w:t>
            </w:r>
          </w:p>
        </w:tc>
      </w:tr>
      <w:tr w14:paraId="47EEA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F0D461">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9</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F30768">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每日互动股份有限公司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751EDC">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计算机</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FDFB12">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浙江</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85C93F">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无形资产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A8116D">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1283.69</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36E528">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0.6924%</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C00428">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7.22%</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C7C6BC">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47.09</w:t>
            </w:r>
          </w:p>
        </w:tc>
      </w:tr>
      <w:tr w14:paraId="5ACCB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8951E8">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9D8EEB">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海天瑞声科技股份有限公司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59D551">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计算机</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F9E8CB">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北京</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230528">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存货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489598">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689.68</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D0CA50">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0.8421%</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D3C935">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100.00%</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43016C">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40.01</w:t>
            </w:r>
          </w:p>
        </w:tc>
      </w:tr>
      <w:tr w14:paraId="1125A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122CF3">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11</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4B781C">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中远海运科技股份有限公司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BC63BB">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计算机</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684D54">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上海</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5B4DD9">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无形资产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E8C438">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902.06</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9788F5">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0.3221%</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6300DD">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54.90%</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CE72F0">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62.26</w:t>
            </w:r>
          </w:p>
        </w:tc>
      </w:tr>
      <w:tr w14:paraId="7BBCA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210BC9">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12</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1F37C3">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航天宏图信息技术股份有限公司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A66D26">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计算机</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00122A">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北京</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263947">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无形资产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A9D5C7">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1717.25</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6ABCCF">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0.2719%</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D1F40E">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100.00%</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44F23E">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58.35</w:t>
            </w:r>
          </w:p>
        </w:tc>
      </w:tr>
      <w:tr w14:paraId="054D0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9F54AC">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13</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7D41D8">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卓创资讯股份有限公司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5D3ABC">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传媒</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1C6626">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山东</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D9B34E">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无形资产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4997BC">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942.39</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7A9E90">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0.9575%</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A0F817">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26.74%</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2A2F66">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28.26</w:t>
            </w:r>
          </w:p>
        </w:tc>
      </w:tr>
      <w:tr w14:paraId="52987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41A6FA">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14</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0D915B">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平安电工科技股份公司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C9EEB3">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基础化工</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D009B8">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湖北</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960F83">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无形资产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26A65E">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78.33</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71218D">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0.0370%</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999596">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Style w:val="16"/>
                <w:rFonts w:eastAsia="宋体"/>
                <w:lang w:val="en-US" w:eastAsia="zh-CN" w:bidi="ar"/>
              </w:rPr>
              <w:t>1.10%</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969876">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47.41</w:t>
            </w:r>
          </w:p>
        </w:tc>
      </w:tr>
      <w:tr w14:paraId="7C0AC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B24B17">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15</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ABC25E">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中文在线集团股份有限公司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EC11AA">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传媒</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C049A2">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北京</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F05157">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无形资产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2F9397">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449.06</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AB6383">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0.2524%</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1DE1BF">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Style w:val="16"/>
                <w:rFonts w:eastAsia="宋体"/>
                <w:lang w:val="en-US" w:eastAsia="zh-CN" w:bidi="ar"/>
              </w:rPr>
              <w:t>0.13%</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AD37D3">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188.40</w:t>
            </w:r>
          </w:p>
        </w:tc>
      </w:tr>
      <w:tr w14:paraId="2BF0D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8EF070">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16</w:t>
            </w:r>
          </w:p>
        </w:tc>
        <w:tc>
          <w:tcPr>
            <w:tcW w:w="10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05FCF8">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拓尔思信息技术股份有限公司</w:t>
            </w:r>
          </w:p>
        </w:tc>
        <w:tc>
          <w:tcPr>
            <w:tcW w:w="5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24220D">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计算机</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19C59D">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北京</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FCDD72">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开发支出</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C9A2BB">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628.00</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B8B889">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Style w:val="16"/>
                <w:rFonts w:eastAsia="宋体"/>
                <w:lang w:val="en-US" w:eastAsia="zh-CN" w:bidi="ar"/>
              </w:rPr>
              <w:t>0.1692%</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3798F3">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Style w:val="16"/>
                <w:rFonts w:eastAsia="宋体"/>
                <w:lang w:val="en-US" w:eastAsia="zh-CN" w:bidi="ar"/>
              </w:rPr>
              <w:t>3.10%</w:t>
            </w:r>
          </w:p>
        </w:tc>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C31714">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124.86</w:t>
            </w:r>
          </w:p>
        </w:tc>
      </w:tr>
      <w:tr w14:paraId="2CEEA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8F1F9E6">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17</w:t>
            </w:r>
          </w:p>
        </w:tc>
        <w:tc>
          <w:tcPr>
            <w:tcW w:w="103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90DBBBD">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开普云信息科技股份有限公司</w:t>
            </w:r>
          </w:p>
        </w:tc>
        <w:tc>
          <w:tcPr>
            <w:tcW w:w="5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E3524B">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计算机</w:t>
            </w:r>
          </w:p>
        </w:tc>
        <w:tc>
          <w:tcPr>
            <w:tcW w:w="34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EB5E568">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北京</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AE59A3">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无形资产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0EE20D">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141.77</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10BE50">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0.74%</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71417A">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10.68%</w:t>
            </w:r>
          </w:p>
        </w:tc>
        <w:tc>
          <w:tcPr>
            <w:tcW w:w="53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4106CD5">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33.38</w:t>
            </w:r>
          </w:p>
        </w:tc>
      </w:tr>
      <w:tr w14:paraId="377E8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45A902">
            <w:pPr>
              <w:jc w:val="center"/>
              <w:rPr>
                <w:rFonts w:hint="default" w:ascii="Times New Roman" w:hAnsi="Times New Roman" w:cs="Times New Roman"/>
                <w:i w:val="0"/>
                <w:iCs w:val="0"/>
                <w:color w:val="000000"/>
                <w:sz w:val="18"/>
                <w:szCs w:val="18"/>
                <w:u w:val="none"/>
              </w:rPr>
            </w:pPr>
          </w:p>
        </w:tc>
        <w:tc>
          <w:tcPr>
            <w:tcW w:w="103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A6DBE2">
            <w:pPr>
              <w:jc w:val="center"/>
              <w:rPr>
                <w:rFonts w:hint="eastAsia" w:ascii="宋体" w:hAnsi="宋体" w:eastAsia="宋体" w:cs="宋体"/>
                <w:i w:val="0"/>
                <w:iCs w:val="0"/>
                <w:color w:val="060607"/>
                <w:sz w:val="18"/>
                <w:szCs w:val="18"/>
                <w:u w:val="none"/>
              </w:rPr>
            </w:pPr>
          </w:p>
        </w:tc>
        <w:tc>
          <w:tcPr>
            <w:tcW w:w="5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6043B1">
            <w:pPr>
              <w:jc w:val="center"/>
              <w:rPr>
                <w:rFonts w:hint="eastAsia" w:ascii="宋体" w:hAnsi="宋体" w:eastAsia="宋体" w:cs="宋体"/>
                <w:i w:val="0"/>
                <w:iCs w:val="0"/>
                <w:color w:val="060607"/>
                <w:sz w:val="18"/>
                <w:szCs w:val="18"/>
                <w:u w:val="none"/>
              </w:rPr>
            </w:pPr>
          </w:p>
        </w:tc>
        <w:tc>
          <w:tcPr>
            <w:tcW w:w="34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C732BC">
            <w:pPr>
              <w:jc w:val="center"/>
              <w:rPr>
                <w:rFonts w:hint="eastAsia" w:ascii="宋体" w:hAnsi="宋体" w:eastAsia="宋体" w:cs="宋体"/>
                <w:i w:val="0"/>
                <w:iCs w:val="0"/>
                <w:color w:val="060607"/>
                <w:sz w:val="18"/>
                <w:szCs w:val="18"/>
                <w:u w:val="none"/>
              </w:rPr>
            </w:pP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160CB3">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开发支出</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122689">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296.20</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25915D">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1.55%</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82A160">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18.45%</w:t>
            </w:r>
          </w:p>
        </w:tc>
        <w:tc>
          <w:tcPr>
            <w:tcW w:w="53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235A8C">
            <w:pPr>
              <w:jc w:val="center"/>
              <w:rPr>
                <w:rFonts w:hint="default" w:ascii="Times New Roman" w:hAnsi="Times New Roman" w:cs="Times New Roman"/>
                <w:i w:val="0"/>
                <w:iCs w:val="0"/>
                <w:color w:val="000000"/>
                <w:sz w:val="18"/>
                <w:szCs w:val="18"/>
                <w:u w:val="none"/>
              </w:rPr>
            </w:pPr>
          </w:p>
        </w:tc>
      </w:tr>
      <w:tr w14:paraId="25A5A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1415F7">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18</w:t>
            </w:r>
          </w:p>
        </w:tc>
        <w:tc>
          <w:tcPr>
            <w:tcW w:w="103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78137F9">
            <w:pPr>
              <w:keepNext w:val="0"/>
              <w:keepLines w:val="0"/>
              <w:widowControl/>
              <w:suppressLineNumbers w:val="0"/>
              <w:ind w:firstLineChars="100"/>
              <w:jc w:val="center"/>
              <w:textAlignment w:val="center"/>
              <w:rPr>
                <w:rFonts w:ascii="宋体" w:hAnsi="宋体" w:eastAsia="宋体" w:cs="宋体"/>
                <w:i w:val="0"/>
                <w:iCs w:val="0"/>
                <w:color w:val="060607"/>
                <w:sz w:val="18"/>
                <w:szCs w:val="18"/>
                <w:u w:val="none"/>
              </w:rPr>
            </w:pPr>
            <w:r>
              <w:rPr>
                <w:rStyle w:val="15"/>
                <w:lang w:val="en-US" w:eastAsia="zh-CN" w:bidi="ar"/>
              </w:rPr>
              <w:t>南京钢铁股份有限公司</w:t>
            </w:r>
          </w:p>
        </w:tc>
        <w:tc>
          <w:tcPr>
            <w:tcW w:w="5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9110E66">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钢铁</w:t>
            </w:r>
          </w:p>
        </w:tc>
        <w:tc>
          <w:tcPr>
            <w:tcW w:w="34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CD44D4">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南京</w:t>
            </w: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71B59A">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无形资产</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5EA95C">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15.18</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604662">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0.02%</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0C97A">
            <w:pPr>
              <w:keepNext w:val="0"/>
              <w:keepLines w:val="0"/>
              <w:widowControl/>
              <w:suppressLineNumbers w:val="0"/>
              <w:jc w:val="center"/>
              <w:textAlignment w:val="top"/>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0.0036%</w:t>
            </w:r>
          </w:p>
        </w:tc>
        <w:tc>
          <w:tcPr>
            <w:tcW w:w="53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125F8B1">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335.38</w:t>
            </w:r>
          </w:p>
        </w:tc>
      </w:tr>
      <w:tr w14:paraId="76FCC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247291">
            <w:pPr>
              <w:jc w:val="center"/>
              <w:rPr>
                <w:rFonts w:hint="default" w:ascii="Times New Roman" w:hAnsi="Times New Roman" w:cs="Times New Roman"/>
                <w:i w:val="0"/>
                <w:iCs w:val="0"/>
                <w:color w:val="000000"/>
                <w:sz w:val="18"/>
                <w:szCs w:val="18"/>
                <w:u w:val="none"/>
              </w:rPr>
            </w:pPr>
          </w:p>
        </w:tc>
        <w:tc>
          <w:tcPr>
            <w:tcW w:w="103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38493C">
            <w:pPr>
              <w:jc w:val="center"/>
              <w:rPr>
                <w:rFonts w:hint="eastAsia" w:ascii="宋体" w:hAnsi="宋体" w:eastAsia="宋体" w:cs="宋体"/>
                <w:i w:val="0"/>
                <w:iCs w:val="0"/>
                <w:color w:val="060607"/>
                <w:sz w:val="18"/>
                <w:szCs w:val="18"/>
                <w:u w:val="none"/>
              </w:rPr>
            </w:pPr>
          </w:p>
        </w:tc>
        <w:tc>
          <w:tcPr>
            <w:tcW w:w="5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3717AE">
            <w:pPr>
              <w:jc w:val="center"/>
              <w:rPr>
                <w:rFonts w:hint="eastAsia" w:ascii="宋体" w:hAnsi="宋体" w:eastAsia="宋体" w:cs="宋体"/>
                <w:i w:val="0"/>
                <w:iCs w:val="0"/>
                <w:color w:val="060607"/>
                <w:sz w:val="18"/>
                <w:szCs w:val="18"/>
                <w:u w:val="none"/>
              </w:rPr>
            </w:pPr>
          </w:p>
        </w:tc>
        <w:tc>
          <w:tcPr>
            <w:tcW w:w="34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1080A6">
            <w:pPr>
              <w:jc w:val="center"/>
              <w:rPr>
                <w:rFonts w:hint="eastAsia" w:ascii="宋体" w:hAnsi="宋体" w:eastAsia="宋体" w:cs="宋体"/>
                <w:i w:val="0"/>
                <w:iCs w:val="0"/>
                <w:color w:val="060607"/>
                <w:sz w:val="18"/>
                <w:szCs w:val="18"/>
                <w:u w:val="none"/>
              </w:rPr>
            </w:pPr>
          </w:p>
        </w:tc>
        <w:tc>
          <w:tcPr>
            <w:tcW w:w="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C6F11F">
            <w:pPr>
              <w:keepNext w:val="0"/>
              <w:keepLines w:val="0"/>
              <w:widowControl/>
              <w:suppressLineNumbers w:val="0"/>
              <w:jc w:val="center"/>
              <w:textAlignment w:val="center"/>
              <w:rPr>
                <w:rFonts w:ascii="宋体" w:hAnsi="宋体" w:eastAsia="宋体" w:cs="宋体"/>
                <w:i w:val="0"/>
                <w:iCs w:val="0"/>
                <w:color w:val="060607"/>
                <w:sz w:val="18"/>
                <w:szCs w:val="18"/>
                <w:u w:val="none"/>
              </w:rPr>
            </w:pPr>
            <w:r>
              <w:rPr>
                <w:rStyle w:val="15"/>
                <w:lang w:val="en-US" w:eastAsia="zh-CN" w:bidi="ar"/>
              </w:rPr>
              <w:t>开发支出</w:t>
            </w:r>
          </w:p>
        </w:tc>
        <w:tc>
          <w:tcPr>
            <w:tcW w:w="5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95B5FE">
            <w:pPr>
              <w:keepNext w:val="0"/>
              <w:keepLines w:val="0"/>
              <w:widowControl/>
              <w:suppressLineNumbers w:val="0"/>
              <w:jc w:val="center"/>
              <w:textAlignment w:val="center"/>
              <w:rPr>
                <w:rFonts w:hint="default" w:ascii="Times New Roman" w:hAnsi="Times New Roman" w:cs="Times New Roman"/>
                <w:i w:val="0"/>
                <w:iCs w:val="0"/>
                <w:color w:val="060607"/>
                <w:sz w:val="18"/>
                <w:szCs w:val="18"/>
                <w:u w:val="none"/>
              </w:rPr>
            </w:pPr>
            <w:r>
              <w:rPr>
                <w:rFonts w:hint="default" w:ascii="Times New Roman" w:hAnsi="Times New Roman" w:eastAsia="宋体" w:cs="Times New Roman"/>
                <w:i w:val="0"/>
                <w:iCs w:val="0"/>
                <w:color w:val="060607"/>
                <w:kern w:val="0"/>
                <w:sz w:val="18"/>
                <w:szCs w:val="18"/>
                <w:u w:val="none"/>
                <w:lang w:val="en-US" w:eastAsia="zh-CN" w:bidi="ar"/>
              </w:rPr>
              <w:t>102.29</w:t>
            </w:r>
          </w:p>
        </w:tc>
        <w:tc>
          <w:tcPr>
            <w:tcW w:w="5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AB5BD7">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Style w:val="16"/>
                <w:rFonts w:eastAsia="宋体"/>
                <w:lang w:val="en-US" w:eastAsia="zh-CN" w:bidi="ar"/>
              </w:rPr>
              <w:t>0.14%</w:t>
            </w:r>
          </w:p>
        </w:tc>
        <w:tc>
          <w:tcPr>
            <w:tcW w:w="6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D9711E">
            <w:pPr>
              <w:keepNext w:val="0"/>
              <w:keepLines w:val="0"/>
              <w:widowControl/>
              <w:suppressLineNumbers w:val="0"/>
              <w:jc w:val="center"/>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100.00%</w:t>
            </w:r>
          </w:p>
        </w:tc>
        <w:tc>
          <w:tcPr>
            <w:tcW w:w="53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F92A60">
            <w:pPr>
              <w:jc w:val="center"/>
              <w:rPr>
                <w:rFonts w:hint="default" w:ascii="Times New Roman" w:hAnsi="Times New Roman" w:cs="Times New Roman"/>
                <w:i w:val="0"/>
                <w:iCs w:val="0"/>
                <w:color w:val="000000"/>
                <w:sz w:val="18"/>
                <w:szCs w:val="18"/>
                <w:u w:val="none"/>
              </w:rPr>
            </w:pPr>
          </w:p>
        </w:tc>
      </w:tr>
    </w:tbl>
    <w:p w14:paraId="73C29DE7">
      <w:pPr>
        <w:keepNext w:val="0"/>
        <w:keepLines w:val="0"/>
        <w:widowControl/>
        <w:suppressLineNumbers w:val="0"/>
        <w:ind w:firstLineChars="100"/>
        <w:jc w:val="center"/>
        <w:textAlignment w:val="center"/>
        <w:rPr>
          <w:rStyle w:val="15"/>
          <w:rFonts w:hint="default"/>
          <w:lang w:val="en-US" w:eastAsia="zh-CN" w:bidi="ar"/>
        </w:rPr>
      </w:pPr>
      <w:r>
        <w:rPr>
          <w:rStyle w:val="15"/>
          <w:rFonts w:hint="eastAsia"/>
          <w:lang w:val="en-US" w:eastAsia="zh-CN" w:bidi="ar"/>
        </w:rPr>
        <w:t>注：数据来自《济南市大数据协会：中国上市公司数据资产入表实践蓝皮书（2024第一季度）》</w:t>
      </w:r>
    </w:p>
    <w:p w14:paraId="7605781A">
      <w:pPr>
        <w:pStyle w:val="3"/>
        <w:numPr>
          <w:ilvl w:val="0"/>
          <w:numId w:val="1"/>
        </w:numPr>
        <w:bidi w:val="0"/>
        <w:ind w:left="0" w:leftChars="0" w:firstLine="400" w:firstLineChars="0"/>
        <w:rPr>
          <w:rFonts w:hint="default"/>
          <w:b/>
          <w:lang w:val="en-US" w:eastAsia="zh-CN"/>
        </w:rPr>
      </w:pPr>
      <w:r>
        <w:rPr>
          <w:rFonts w:hint="eastAsia"/>
          <w:b/>
          <w:lang w:val="en-US" w:eastAsia="zh-CN"/>
        </w:rPr>
        <w:t>一季度上市公司数据资产入表实践分析</w:t>
      </w:r>
    </w:p>
    <w:p w14:paraId="4E93BBD9">
      <w:pPr>
        <w:pStyle w:val="4"/>
        <w:numPr>
          <w:ilvl w:val="0"/>
          <w:numId w:val="0"/>
        </w:numPr>
        <w:tabs>
          <w:tab w:val="left" w:pos="0"/>
        </w:tabs>
        <w:bidi w:val="0"/>
        <w:rPr>
          <w:rFonts w:hint="eastAsia"/>
          <w:lang w:val="en-US" w:eastAsia="zh-CN"/>
        </w:rPr>
      </w:pPr>
      <w:r>
        <w:rPr>
          <w:rFonts w:hint="eastAsia"/>
          <w:lang w:val="en-US" w:eastAsia="zh-CN"/>
        </w:rPr>
        <w:tab/>
      </w:r>
      <w:r>
        <w:rPr>
          <w:rFonts w:hint="eastAsia"/>
          <w:lang w:val="en-US" w:eastAsia="zh-CN"/>
        </w:rPr>
        <w:t>1.计算机行业最多，集中在经济发达地区，缺少大型企业</w:t>
      </w:r>
    </w:p>
    <w:p w14:paraId="31473673">
      <w:pPr>
        <w:keepNext w:val="0"/>
        <w:keepLines w:val="0"/>
        <w:widowControl/>
        <w:suppressLineNumbers w:val="0"/>
        <w:ind w:firstLine="420" w:firstLineChars="0"/>
        <w:jc w:val="left"/>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首批数据资产入表的</w:t>
      </w:r>
      <w:r>
        <w:rPr>
          <w:rFonts w:hint="default" w:ascii="仿宋_GB2312" w:hAnsi="仿宋_GB2312" w:eastAsia="仿宋_GB2312" w:cs="仿宋_GB2312"/>
          <w:color w:val="000000"/>
          <w:kern w:val="0"/>
          <w:sz w:val="28"/>
          <w:szCs w:val="28"/>
          <w:lang w:val="en-US" w:eastAsia="zh-CN" w:bidi="ar"/>
        </w:rPr>
        <w:t>18</w:t>
      </w:r>
      <w:r>
        <w:rPr>
          <w:rFonts w:hint="eastAsia" w:ascii="仿宋_GB2312" w:hAnsi="仿宋_GB2312" w:eastAsia="仿宋_GB2312" w:cs="仿宋_GB2312"/>
          <w:color w:val="000000"/>
          <w:kern w:val="0"/>
          <w:sz w:val="28"/>
          <w:szCs w:val="28"/>
          <w:lang w:val="en-US" w:eastAsia="zh-CN" w:bidi="ar"/>
        </w:rPr>
        <w:t>家上市公司分布在</w:t>
      </w:r>
      <w:r>
        <w:rPr>
          <w:rFonts w:hint="default" w:ascii="仿宋_GB2312" w:hAnsi="仿宋_GB2312" w:eastAsia="仿宋_GB2312" w:cs="仿宋_GB2312"/>
          <w:color w:val="000000"/>
          <w:kern w:val="0"/>
          <w:sz w:val="28"/>
          <w:szCs w:val="28"/>
          <w:lang w:val="en-US" w:eastAsia="zh-CN" w:bidi="ar"/>
        </w:rPr>
        <w:t>9</w:t>
      </w:r>
      <w:r>
        <w:rPr>
          <w:rFonts w:hint="eastAsia" w:ascii="仿宋_GB2312" w:hAnsi="仿宋_GB2312" w:eastAsia="仿宋_GB2312" w:cs="仿宋_GB2312"/>
          <w:color w:val="000000"/>
          <w:kern w:val="0"/>
          <w:sz w:val="28"/>
          <w:szCs w:val="28"/>
          <w:lang w:val="en-US" w:eastAsia="zh-CN" w:bidi="ar"/>
        </w:rPr>
        <w:t>个行业中。计算机行业7家，占比最多，因为计算机行业企业不仅在数据处理、分析和应用方面更加专业，而且在数据资产商业模式上有着更多的探索，也侧面反映了数据资产在计算机行业的核心地位和关键作用。交通运输、建筑装饰和传媒行业分别有</w:t>
      </w:r>
      <w:r>
        <w:rPr>
          <w:rFonts w:hint="default" w:ascii="仿宋_GB2312" w:hAnsi="仿宋_GB2312" w:eastAsia="仿宋_GB2312" w:cs="仿宋_GB2312"/>
          <w:color w:val="000000"/>
          <w:kern w:val="0"/>
          <w:sz w:val="28"/>
          <w:szCs w:val="28"/>
          <w:lang w:val="en-US" w:eastAsia="zh-CN" w:bidi="ar"/>
        </w:rPr>
        <w:t>2</w:t>
      </w:r>
      <w:r>
        <w:rPr>
          <w:rFonts w:hint="eastAsia" w:ascii="仿宋_GB2312" w:hAnsi="仿宋_GB2312" w:eastAsia="仿宋_GB2312" w:cs="仿宋_GB2312"/>
          <w:color w:val="000000"/>
          <w:kern w:val="0"/>
          <w:sz w:val="28"/>
          <w:szCs w:val="28"/>
          <w:lang w:val="en-US" w:eastAsia="zh-CN" w:bidi="ar"/>
        </w:rPr>
        <w:t>家公司入表，钢铁、医药生物、基础化工、机械设备、电子和通信行业各有</w:t>
      </w:r>
      <w:r>
        <w:rPr>
          <w:rFonts w:hint="default" w:ascii="仿宋_GB2312" w:hAnsi="仿宋_GB2312" w:eastAsia="仿宋_GB2312" w:cs="仿宋_GB2312"/>
          <w:color w:val="000000"/>
          <w:kern w:val="0"/>
          <w:sz w:val="28"/>
          <w:szCs w:val="28"/>
          <w:lang w:val="en-US" w:eastAsia="zh-CN" w:bidi="ar"/>
        </w:rPr>
        <w:t>1</w:t>
      </w:r>
      <w:r>
        <w:rPr>
          <w:rFonts w:hint="eastAsia" w:ascii="仿宋_GB2312" w:hAnsi="仿宋_GB2312" w:eastAsia="仿宋_GB2312" w:cs="仿宋_GB2312"/>
          <w:color w:val="000000"/>
          <w:kern w:val="0"/>
          <w:sz w:val="28"/>
          <w:szCs w:val="28"/>
          <w:lang w:val="en-US" w:eastAsia="zh-CN" w:bidi="ar"/>
        </w:rPr>
        <w:t>家公司入表，说明数据资产的应用正逐步扩散至更多传统行业企业。</w:t>
      </w:r>
    </w:p>
    <w:p w14:paraId="27984E9B">
      <w:pPr>
        <w:keepNext w:val="0"/>
        <w:keepLines w:val="0"/>
        <w:widowControl/>
        <w:suppressLineNumbers w:val="0"/>
        <w:ind w:firstLine="420" w:firstLineChars="0"/>
        <w:jc w:val="left"/>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从地域来看，首批数据资产入表的上市公司来自7个省市。北京8家最多，山东3家次之，江苏和浙江各有2家。数据资产入表企业主要集中在经济发达地区，这些地区完善的数字经济技术设施为数据资产管理和使用提供了有利的环境，同时也反映出目前我国在数据经济发展方面存在明显地区不平衡，需要进一步加大对欠发达地区的技术支持和政策引导。</w:t>
      </w:r>
    </w:p>
    <w:p w14:paraId="414D9A06">
      <w:pPr>
        <w:keepNext w:val="0"/>
        <w:keepLines w:val="0"/>
        <w:widowControl/>
        <w:suppressLineNumbers w:val="0"/>
        <w:ind w:firstLine="420" w:firstLineChars="0"/>
        <w:jc w:val="left"/>
        <w:rPr>
          <w:rFonts w:hint="default"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从企业规模来看，首批数据资产入表的上市公司总市值均在500亿元以内。数据资源富集的电信运营商、银行、大型数字科技公司等在一季度均暂未数据入表。</w:t>
      </w:r>
    </w:p>
    <w:p w14:paraId="6C693AD9">
      <w:pPr>
        <w:pStyle w:val="4"/>
        <w:numPr>
          <w:ilvl w:val="0"/>
          <w:numId w:val="0"/>
        </w:numPr>
        <w:tabs>
          <w:tab w:val="left" w:pos="0"/>
        </w:tabs>
        <w:bidi w:val="0"/>
        <w:rPr>
          <w:rFonts w:hint="default"/>
          <w:lang w:val="en-US" w:eastAsia="zh-CN"/>
        </w:rPr>
      </w:pPr>
      <w:r>
        <w:rPr>
          <w:rFonts w:hint="eastAsia"/>
          <w:lang w:val="en-US" w:eastAsia="zh-CN"/>
        </w:rPr>
        <w:tab/>
      </w:r>
      <w:r>
        <w:rPr>
          <w:rFonts w:hint="eastAsia"/>
          <w:lang w:val="en-US" w:eastAsia="zh-CN"/>
        </w:rPr>
        <w:t>2.列示项目以无形资产为主，列示金额占比不高，具体内容表述多样</w:t>
      </w:r>
    </w:p>
    <w:p w14:paraId="7A5B6F3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0"/>
        <w:jc w:val="both"/>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ab/>
      </w:r>
      <w:r>
        <w:rPr>
          <w:rFonts w:hint="eastAsia" w:ascii="仿宋_GB2312" w:hAnsi="仿宋_GB2312" w:eastAsia="仿宋_GB2312" w:cs="仿宋_GB2312"/>
          <w:color w:val="000000"/>
          <w:kern w:val="0"/>
          <w:sz w:val="28"/>
          <w:szCs w:val="28"/>
          <w:lang w:val="en-US" w:eastAsia="zh-CN" w:bidi="ar"/>
        </w:rPr>
        <w:t>《暂行规定》要求企业应该要按照企业会计准则相关规定，根据数据资源的持有目的、形成方式、业务模式，以及与数据资源有关的经济利益的预期消耗方式等等，对数据资源相关交易与事项进行会计确认、计量以及报告。其中明确指出，企业在进行编制资产负债表的时候，应当根据重要性原则并结合本企业的实际情况，在“存货”或“无形资产”或“开发支出”项目下增设“其中：数据资源”项目，进行数据资产列示。另外，企业应该要按照相关企业会计准则以及本规定等，在会计报表附注中对数据资源相关会计信息进行披露。</w:t>
      </w:r>
    </w:p>
    <w:p w14:paraId="48CA7F5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419" w:firstLineChars="0"/>
        <w:jc w:val="both"/>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从数据资产最终列示项目上来看，无形资产占</w:t>
      </w:r>
      <w:r>
        <w:rPr>
          <w:rFonts w:hint="default" w:ascii="仿宋_GB2312" w:hAnsi="仿宋_GB2312" w:eastAsia="仿宋_GB2312" w:cs="仿宋_GB2312"/>
          <w:color w:val="000000"/>
          <w:kern w:val="0"/>
          <w:sz w:val="28"/>
          <w:szCs w:val="28"/>
          <w:lang w:val="en-US" w:eastAsia="zh-CN" w:bidi="ar"/>
        </w:rPr>
        <w:t>67%</w:t>
      </w:r>
      <w:r>
        <w:rPr>
          <w:rFonts w:hint="eastAsia" w:ascii="仿宋_GB2312" w:hAnsi="仿宋_GB2312" w:eastAsia="仿宋_GB2312" w:cs="仿宋_GB2312"/>
          <w:color w:val="000000"/>
          <w:kern w:val="0"/>
          <w:sz w:val="28"/>
          <w:szCs w:val="28"/>
          <w:lang w:val="en-US" w:eastAsia="zh-CN" w:bidi="ar"/>
        </w:rPr>
        <w:t>，开发支出占</w:t>
      </w:r>
      <w:r>
        <w:rPr>
          <w:rFonts w:hint="default" w:ascii="仿宋_GB2312" w:hAnsi="仿宋_GB2312" w:eastAsia="仿宋_GB2312" w:cs="仿宋_GB2312"/>
          <w:color w:val="000000"/>
          <w:kern w:val="0"/>
          <w:sz w:val="28"/>
          <w:szCs w:val="28"/>
          <w:lang w:val="en-US" w:eastAsia="zh-CN" w:bidi="ar"/>
        </w:rPr>
        <w:t>28%</w:t>
      </w:r>
      <w:r>
        <w:rPr>
          <w:rFonts w:hint="eastAsia" w:ascii="仿宋_GB2312" w:hAnsi="仿宋_GB2312" w:eastAsia="仿宋_GB2312" w:cs="仿宋_GB2312"/>
          <w:color w:val="000000"/>
          <w:kern w:val="0"/>
          <w:sz w:val="28"/>
          <w:szCs w:val="28"/>
          <w:lang w:val="en-US" w:eastAsia="zh-CN" w:bidi="ar"/>
        </w:rPr>
        <w:t>，存货占</w:t>
      </w:r>
      <w:r>
        <w:rPr>
          <w:rFonts w:hint="default" w:ascii="仿宋_GB2312" w:hAnsi="仿宋_GB2312" w:eastAsia="仿宋_GB2312" w:cs="仿宋_GB2312"/>
          <w:color w:val="000000"/>
          <w:kern w:val="0"/>
          <w:sz w:val="28"/>
          <w:szCs w:val="28"/>
          <w:lang w:val="en-US" w:eastAsia="zh-CN" w:bidi="ar"/>
        </w:rPr>
        <w:t>5%</w:t>
      </w:r>
      <w:r>
        <w:rPr>
          <w:rFonts w:hint="eastAsia" w:ascii="仿宋_GB2312" w:hAnsi="仿宋_GB2312" w:eastAsia="仿宋_GB2312" w:cs="仿宋_GB2312"/>
          <w:color w:val="000000"/>
          <w:kern w:val="0"/>
          <w:sz w:val="28"/>
          <w:szCs w:val="28"/>
          <w:lang w:val="en-US" w:eastAsia="zh-CN" w:bidi="ar"/>
        </w:rPr>
        <w:t>。数据资计入无形资产科目还是存货科目，本质区别是企业对于数据资源的最终目的，作为存货入表，其最终目的是为了出售，如数据交易等；而作为无形资产入表，其最终目的是为了持续通过数据提供服务。从实际情况开看，95%的企业将数据资产列入无形资产（含开发支出），这反映出大多数公司将数据资产视为企业的长期投资和价值积累。</w:t>
      </w:r>
    </w:p>
    <w:p w14:paraId="2B8F2E8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419" w:firstLineChars="0"/>
        <w:jc w:val="both"/>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从数据资产最终列示金额上来看，各公司披露金额均不大，超过</w:t>
      </w:r>
      <w:r>
        <w:rPr>
          <w:rFonts w:hint="default" w:ascii="仿宋_GB2312" w:hAnsi="仿宋_GB2312" w:eastAsia="仿宋_GB2312" w:cs="仿宋_GB2312"/>
          <w:color w:val="000000"/>
          <w:kern w:val="0"/>
          <w:sz w:val="28"/>
          <w:szCs w:val="28"/>
          <w:lang w:val="en-US" w:eastAsia="zh-CN" w:bidi="ar"/>
        </w:rPr>
        <w:t>1000</w:t>
      </w:r>
      <w:r>
        <w:rPr>
          <w:rFonts w:hint="eastAsia" w:ascii="仿宋_GB2312" w:hAnsi="仿宋_GB2312" w:eastAsia="仿宋_GB2312" w:cs="仿宋_GB2312"/>
          <w:color w:val="000000"/>
          <w:kern w:val="0"/>
          <w:sz w:val="28"/>
          <w:szCs w:val="28"/>
          <w:lang w:val="en-US" w:eastAsia="zh-CN" w:bidi="ar"/>
        </w:rPr>
        <w:t>万的有</w:t>
      </w:r>
      <w:r>
        <w:rPr>
          <w:rFonts w:hint="default" w:ascii="仿宋_GB2312" w:hAnsi="仿宋_GB2312" w:eastAsia="仿宋_GB2312" w:cs="仿宋_GB2312"/>
          <w:color w:val="000000"/>
          <w:kern w:val="0"/>
          <w:sz w:val="28"/>
          <w:szCs w:val="28"/>
          <w:lang w:val="en-US" w:eastAsia="zh-CN" w:bidi="ar"/>
        </w:rPr>
        <w:t>3</w:t>
      </w:r>
      <w:r>
        <w:rPr>
          <w:rFonts w:hint="eastAsia" w:ascii="仿宋_GB2312" w:hAnsi="仿宋_GB2312" w:eastAsia="仿宋_GB2312" w:cs="仿宋_GB2312"/>
          <w:color w:val="000000"/>
          <w:kern w:val="0"/>
          <w:sz w:val="28"/>
          <w:szCs w:val="28"/>
          <w:lang w:val="en-US" w:eastAsia="zh-CN" w:bidi="ar"/>
        </w:rPr>
        <w:t>家，分别是恒信东方、每日互动、航天宏图，且均在无形资产项目中。各公司数据资产占总资产的比重不高，多数公司数据资产占比不足</w:t>
      </w:r>
      <w:r>
        <w:rPr>
          <w:rFonts w:hint="default" w:ascii="仿宋_GB2312" w:hAnsi="仿宋_GB2312" w:eastAsia="仿宋_GB2312" w:cs="仿宋_GB2312"/>
          <w:color w:val="000000"/>
          <w:kern w:val="0"/>
          <w:sz w:val="28"/>
          <w:szCs w:val="28"/>
          <w:lang w:val="en-US" w:eastAsia="zh-CN" w:bidi="ar"/>
        </w:rPr>
        <w:t>0.5%</w:t>
      </w:r>
      <w:r>
        <w:rPr>
          <w:rFonts w:hint="eastAsia" w:ascii="仿宋_GB2312" w:hAnsi="仿宋_GB2312" w:eastAsia="仿宋_GB2312" w:cs="仿宋_GB2312"/>
          <w:color w:val="000000"/>
          <w:kern w:val="0"/>
          <w:sz w:val="28"/>
          <w:szCs w:val="28"/>
          <w:lang w:val="en-US" w:eastAsia="zh-CN" w:bidi="ar"/>
        </w:rPr>
        <w:t>。这反映出当前企业仍处在对数据资产入表初步探索阶段，出于对数据资产风险方面的考虑，普遍选择易操作、价值低的数据资产完成入表。</w:t>
      </w:r>
    </w:p>
    <w:p w14:paraId="659A92F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419" w:firstLineChars="0"/>
        <w:jc w:val="both"/>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从数据资产入表披露内容表述来看，由于季报本身的内容比较简单，18家公司中的11家，只是在表内对应的项目下分别列示了相关金额，没有追加披露这些金额代表的具体内容；卓创资讯等4家公司较具体、详细地描述了这些数据资产，包括分类依据与成本构成等。这反映出目前关于数据资产入表尚未形成标准化模板，各公司的披露内容差异性较大。</w:t>
      </w:r>
    </w:p>
    <w:p w14:paraId="0B2D4BE0">
      <w:pPr>
        <w:pStyle w:val="4"/>
        <w:numPr>
          <w:ilvl w:val="0"/>
          <w:numId w:val="0"/>
        </w:numPr>
        <w:tabs>
          <w:tab w:val="left" w:pos="0"/>
        </w:tabs>
        <w:bidi w:val="0"/>
        <w:ind w:left="402" w:leftChars="0"/>
        <w:rPr>
          <w:rFonts w:hint="default"/>
          <w:lang w:val="en-US" w:eastAsia="zh-CN"/>
        </w:rPr>
      </w:pPr>
      <w:r>
        <w:rPr>
          <w:rFonts w:hint="eastAsia"/>
          <w:lang w:val="en-US" w:eastAsia="zh-CN"/>
        </w:rPr>
        <w:tab/>
      </w:r>
      <w:r>
        <w:rPr>
          <w:rFonts w:hint="eastAsia"/>
          <w:lang w:val="en-US" w:eastAsia="zh-CN"/>
        </w:rPr>
        <w:t>3.可帮助企业增加利润率等关键财务指标和市值</w:t>
      </w:r>
    </w:p>
    <w:p w14:paraId="32F7417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419" w:firstLineChars="0"/>
        <w:jc w:val="both"/>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数据资产入表会对企业的资产负债率、利润等财务指标带来一定的影响。理论上来说，当数据资产计入存货或无形资产，会导致企业总资产的增加，有助于降低企业资产负债率。另外，数据资源如果计入无形资产，由费用化转为资本化，可改善企业当期利润，同时，由于资产需按年限进行摊销，将会导致企业成本先低后高，进而使得利润呈现出先高后低的趋势，利润的变化可能会进一步导致企业所得税的先高后低。</w:t>
      </w:r>
    </w:p>
    <w:p w14:paraId="5AF39D2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419" w:firstLineChars="0"/>
        <w:jc w:val="both"/>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从18家企业数据资产入表实践来看，根据高金智库估算，数据资源入表对公司的资产负债率影响非常小，但对部分企业利润率有一定影响，由于数据资源入表，2家企业（每日互动和卓创资讯）的净利润率预计增加10PP以上。这主要因为目前数据资产占总资产的比重不高，因此对企业资产负债率并未出现明显影响，但由于与数据资源相关的一部分成本费用成功转为资产，对部分利润较少甚至亏损企业的盈利数据则影响较大。根据高金智库估算,数据资产入表为13家公司带来了合计1.75亿元的理论市值增量，其中对卓创资讯带来理论值超过1%的市值增量,另有2家企业理论市值增量超过0.5%(航天宏图、每日互动)。</w:t>
      </w:r>
    </w:p>
    <w:p w14:paraId="386E7CB2">
      <w:pPr>
        <w:pStyle w:val="3"/>
        <w:numPr>
          <w:ilvl w:val="0"/>
          <w:numId w:val="1"/>
        </w:numPr>
        <w:bidi w:val="0"/>
        <w:ind w:left="0" w:leftChars="0" w:firstLine="400" w:firstLineChars="0"/>
        <w:rPr>
          <w:rFonts w:hint="eastAsia"/>
          <w:b/>
          <w:lang w:val="en-US" w:eastAsia="zh-CN"/>
        </w:rPr>
      </w:pPr>
      <w:r>
        <w:rPr>
          <w:rFonts w:hint="eastAsia"/>
          <w:b/>
          <w:lang w:val="en-US" w:eastAsia="zh-CN"/>
        </w:rPr>
        <w:t>典型案例：卓创资讯股份有限公司一季报披露分析</w:t>
      </w:r>
    </w:p>
    <w:p w14:paraId="21EE3BA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419" w:firstLineChars="0"/>
        <w:jc w:val="both"/>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卓创资讯股份有限公司是国内领先的大宗商品信息服务企业，是专注于大宗商品市场数据监测、交易价格评估及行业数据分析的专业服务提供商。卓创资讯在一季报中对数据资源入表有着详细的披露，为其他企业提供了实践参考。</w:t>
      </w:r>
    </w:p>
    <w:p w14:paraId="7A2F0DB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419" w:firstLineChars="0"/>
        <w:jc w:val="both"/>
        <w:rPr>
          <w:rFonts w:hint="eastAsia" w:ascii="仿宋_GB2312" w:hAnsi="仿宋_GB2312" w:eastAsia="仿宋_GB2312" w:cs="仿宋_GB2312"/>
          <w:b/>
          <w:bCs/>
          <w:color w:val="000000"/>
          <w:kern w:val="0"/>
          <w:sz w:val="28"/>
          <w:szCs w:val="28"/>
          <w:lang w:val="en-US" w:eastAsia="zh-CN" w:bidi="ar"/>
        </w:rPr>
      </w:pPr>
      <w:r>
        <w:rPr>
          <w:rFonts w:hint="eastAsia" w:ascii="仿宋_GB2312" w:hAnsi="仿宋_GB2312" w:eastAsia="仿宋_GB2312" w:cs="仿宋_GB2312"/>
          <w:b/>
          <w:bCs/>
          <w:color w:val="000000"/>
          <w:kern w:val="0"/>
          <w:sz w:val="28"/>
          <w:szCs w:val="28"/>
          <w:lang w:val="en-US" w:eastAsia="zh-CN" w:bidi="ar"/>
        </w:rPr>
        <w:t>1）数据资产入表的影响</w:t>
      </w:r>
    </w:p>
    <w:p w14:paraId="2C523E6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419" w:firstLineChars="0"/>
        <w:jc w:val="both"/>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一季度，主要由于数据资产入表的影响，公司无形资产从年初的2591万元增长到3518万元，增长35.79%；入表后公司利润总额增加，导致今年一季度所得税费用同比上升58.53%，至335万元，最终公司一季度净利润同比增长46.20%，至2481万元。</w:t>
      </w:r>
    </w:p>
    <w:p w14:paraId="6D11349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419" w:firstLineChars="0"/>
        <w:jc w:val="both"/>
        <w:rPr>
          <w:rFonts w:hint="eastAsia" w:ascii="仿宋_GB2312" w:hAnsi="仿宋_GB2312" w:eastAsia="仿宋_GB2312" w:cs="仿宋_GB2312"/>
          <w:b/>
          <w:bCs/>
          <w:color w:val="000000"/>
          <w:kern w:val="0"/>
          <w:sz w:val="28"/>
          <w:szCs w:val="28"/>
          <w:lang w:val="en-US" w:eastAsia="zh-CN" w:bidi="ar"/>
        </w:rPr>
      </w:pPr>
      <w:r>
        <w:rPr>
          <w:rFonts w:hint="eastAsia" w:ascii="仿宋_GB2312" w:hAnsi="仿宋_GB2312" w:eastAsia="仿宋_GB2312" w:cs="仿宋_GB2312"/>
          <w:b/>
          <w:bCs/>
          <w:color w:val="000000"/>
          <w:kern w:val="0"/>
          <w:sz w:val="28"/>
          <w:szCs w:val="28"/>
          <w:lang w:val="en-US" w:eastAsia="zh-CN" w:bidi="ar"/>
        </w:rPr>
        <w:t>2）作为无形资产核算的依据</w:t>
      </w:r>
    </w:p>
    <w:p w14:paraId="1C0340B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419" w:firstLineChars="0"/>
        <w:jc w:val="both"/>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公司持有数据资产的主要目的并不是用于直接对外进行出售，而是作为对资讯服务、数智服务进行服务的相关产品的底层数据；公司生产的数据资产不具有实物形态。</w:t>
      </w:r>
    </w:p>
    <w:p w14:paraId="0094E15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419" w:firstLineChars="0"/>
        <w:jc w:val="both"/>
        <w:rPr>
          <w:rFonts w:hint="eastAsia" w:ascii="仿宋_GB2312" w:hAnsi="仿宋_GB2312" w:eastAsia="仿宋_GB2312" w:cs="仿宋_GB2312"/>
          <w:b/>
          <w:bCs/>
          <w:color w:val="000000"/>
          <w:kern w:val="0"/>
          <w:sz w:val="28"/>
          <w:szCs w:val="28"/>
          <w:lang w:val="en-US" w:eastAsia="zh-CN" w:bidi="ar"/>
        </w:rPr>
      </w:pPr>
      <w:r>
        <w:rPr>
          <w:rFonts w:hint="eastAsia" w:ascii="仿宋_GB2312" w:hAnsi="仿宋_GB2312" w:eastAsia="仿宋_GB2312" w:cs="仿宋_GB2312"/>
          <w:b/>
          <w:bCs/>
          <w:color w:val="000000"/>
          <w:kern w:val="0"/>
          <w:sz w:val="28"/>
          <w:szCs w:val="28"/>
          <w:lang w:val="en-US" w:eastAsia="zh-CN" w:bidi="ar"/>
        </w:rPr>
        <w:t>3）数据资产的成本构成</w:t>
      </w:r>
    </w:p>
    <w:p w14:paraId="0B292A6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419" w:firstLineChars="0"/>
        <w:jc w:val="both"/>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分析师为生产数据所发生的职工薪酬以及所必须的设备折旧、水电费等。公司建设了分析师一体化平台系统，记录统计分析师的数据生产工时，根据工时占比对分析师发生的总成本进行拆分计入当月的数据资产成本。</w:t>
      </w:r>
    </w:p>
    <w:p w14:paraId="2D25B7D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69" w:right="69" w:firstLine="419" w:firstLineChars="0"/>
        <w:jc w:val="both"/>
        <w:rPr>
          <w:rFonts w:hint="eastAsia" w:ascii="仿宋_GB2312" w:hAnsi="仿宋_GB2312" w:eastAsia="仿宋_GB2312" w:cs="仿宋_GB2312"/>
          <w:b/>
          <w:bCs/>
          <w:color w:val="000000"/>
          <w:kern w:val="0"/>
          <w:sz w:val="28"/>
          <w:szCs w:val="28"/>
          <w:lang w:val="en-US" w:eastAsia="zh-CN" w:bidi="ar"/>
        </w:rPr>
      </w:pPr>
      <w:r>
        <w:rPr>
          <w:rFonts w:hint="eastAsia" w:ascii="仿宋_GB2312" w:hAnsi="仿宋_GB2312" w:eastAsia="仿宋_GB2312" w:cs="仿宋_GB2312"/>
          <w:b/>
          <w:bCs/>
          <w:color w:val="000000"/>
          <w:kern w:val="0"/>
          <w:sz w:val="28"/>
          <w:szCs w:val="28"/>
          <w:lang w:val="en-US" w:eastAsia="zh-CN" w:bidi="ar"/>
        </w:rPr>
        <w:t>4）按5年进行摊销的依据</w:t>
      </w:r>
    </w:p>
    <w:p w14:paraId="51C9DE53">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right="69" w:rightChars="0" w:firstLine="420" w:firstLineChars="0"/>
        <w:jc w:val="both"/>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公司的数据资产主要服务产品对数据的调用年限通常为1至5年，因此公司选用年数总和法按5年对数据资产进行摊销。</w:t>
      </w:r>
    </w:p>
    <w:p w14:paraId="7C331A4D">
      <w:pPr>
        <w:pStyle w:val="3"/>
        <w:numPr>
          <w:ilvl w:val="0"/>
          <w:numId w:val="1"/>
        </w:numPr>
        <w:bidi w:val="0"/>
        <w:ind w:left="0" w:leftChars="0" w:firstLine="400" w:firstLineChars="0"/>
        <w:rPr>
          <w:rFonts w:hint="default"/>
          <w:b/>
          <w:lang w:val="en-US" w:eastAsia="zh-CN"/>
        </w:rPr>
      </w:pPr>
      <w:r>
        <w:rPr>
          <w:rFonts w:hint="eastAsia"/>
          <w:b/>
          <w:lang w:val="en-US" w:eastAsia="zh-CN"/>
        </w:rPr>
        <w:t>启示</w:t>
      </w:r>
    </w:p>
    <w:p w14:paraId="61BEE274">
      <w:pPr>
        <w:keepNext w:val="0"/>
        <w:keepLines w:val="0"/>
        <w:widowControl/>
        <w:suppressLineNumbers w:val="0"/>
        <w:ind w:firstLine="420" w:firstLineChars="0"/>
        <w:jc w:val="left"/>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从一季度数据入表企业的实践中，运营商可获得以下启示：</w:t>
      </w:r>
    </w:p>
    <w:p w14:paraId="629BA500">
      <w:pPr>
        <w:pStyle w:val="4"/>
        <w:numPr>
          <w:ilvl w:val="0"/>
          <w:numId w:val="2"/>
        </w:numPr>
        <w:bidi w:val="0"/>
        <w:ind w:left="425" w:leftChars="0" w:hanging="425" w:firstLineChars="0"/>
        <w:rPr>
          <w:rFonts w:hint="eastAsia"/>
          <w:b/>
          <w:lang w:val="en-US" w:eastAsia="zh-CN"/>
        </w:rPr>
      </w:pPr>
      <w:r>
        <w:rPr>
          <w:rFonts w:hint="eastAsia"/>
          <w:b/>
          <w:lang w:val="en-US" w:eastAsia="zh-CN"/>
        </w:rPr>
        <w:t>完善详细的数据资源披露，有助于提升企业市场估值</w:t>
      </w:r>
    </w:p>
    <w:p w14:paraId="5D01EB85">
      <w:pPr>
        <w:keepNext w:val="0"/>
        <w:keepLines w:val="0"/>
        <w:widowControl/>
        <w:suppressLineNumbers w:val="0"/>
        <w:ind w:firstLine="420" w:firstLineChars="0"/>
        <w:jc w:val="left"/>
        <w:rPr>
          <w:rFonts w:hint="default"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卓创资讯在一季报对数据资源进行了完善详细的相关披露，据测算，数据入表为企业带来了理论值超过1%的市值增量。除了数据入表的会计操作之外，企业可通过对数据资源相关内容的详细披露，反映企业较高的数据管理能力，进而增强投资者信心，帮助企业提升市场估值。</w:t>
      </w:r>
    </w:p>
    <w:p w14:paraId="17DC1516">
      <w:pPr>
        <w:pStyle w:val="4"/>
        <w:numPr>
          <w:ilvl w:val="0"/>
          <w:numId w:val="2"/>
        </w:numPr>
        <w:bidi w:val="0"/>
        <w:ind w:left="425" w:leftChars="0" w:hanging="425" w:firstLineChars="0"/>
        <w:rPr>
          <w:rFonts w:hint="eastAsia"/>
          <w:b/>
          <w:lang w:val="en-US" w:eastAsia="zh-CN"/>
        </w:rPr>
      </w:pPr>
      <w:r>
        <w:rPr>
          <w:rFonts w:hint="eastAsia"/>
          <w:b/>
          <w:lang w:val="en-US" w:eastAsia="zh-CN"/>
        </w:rPr>
        <w:t>重视相关会计准则和监管要求</w:t>
      </w:r>
    </w:p>
    <w:p w14:paraId="77AA7EEA">
      <w:pPr>
        <w:ind w:firstLine="420" w:firstLineChars="0"/>
        <w:rPr>
          <w:rFonts w:hint="eastAsia"/>
          <w:lang w:val="en-US" w:eastAsia="zh-CN"/>
        </w:rPr>
      </w:pPr>
      <w:r>
        <w:rPr>
          <w:rFonts w:hint="eastAsia" w:ascii="仿宋_GB2312" w:hAnsi="仿宋_GB2312" w:eastAsia="仿宋_GB2312" w:cs="仿宋_GB2312"/>
          <w:color w:val="000000"/>
          <w:kern w:val="0"/>
          <w:sz w:val="28"/>
          <w:szCs w:val="28"/>
          <w:lang w:val="en-US" w:eastAsia="zh-CN" w:bidi="ar"/>
        </w:rPr>
        <w:t>一季度多家企业在数据入表后又进行了修改甚至撤回的操作，这提示运营商在推进数据入表时，应更加重视相关会计准则和监管要求，确保数据资产的确认、计量、记录和报告符合规范，让投资者和利益相关者更加全面地了解企业的数据资产状况。</w:t>
      </w:r>
    </w:p>
    <w:p w14:paraId="54F3396D">
      <w:pPr>
        <w:pStyle w:val="4"/>
        <w:numPr>
          <w:ilvl w:val="0"/>
          <w:numId w:val="2"/>
        </w:numPr>
        <w:bidi w:val="0"/>
        <w:ind w:left="425" w:leftChars="0" w:hanging="425" w:firstLineChars="0"/>
        <w:rPr>
          <w:rFonts w:hint="eastAsia" w:ascii="仿宋_GB2312" w:hAnsi="仿宋_GB2312" w:eastAsia="仿宋_GB2312" w:cs="仿宋_GB2312"/>
          <w:b w:val="0"/>
          <w:bCs w:val="0"/>
          <w:color w:val="000000"/>
          <w:kern w:val="0"/>
          <w:sz w:val="28"/>
          <w:szCs w:val="28"/>
          <w:lang w:val="en-US" w:eastAsia="zh-CN" w:bidi="ar"/>
        </w:rPr>
      </w:pPr>
      <w:r>
        <w:rPr>
          <w:rFonts w:hint="eastAsia"/>
          <w:b/>
          <w:lang w:val="en-US" w:eastAsia="zh-CN"/>
        </w:rPr>
        <w:t>建立企业数据资产会计核算体系准确进行数据价值评估</w:t>
      </w:r>
    </w:p>
    <w:p w14:paraId="550F33AD">
      <w:pPr>
        <w:keepNext w:val="0"/>
        <w:keepLines w:val="0"/>
        <w:widowControl/>
        <w:suppressLineNumbers w:val="0"/>
        <w:ind w:firstLine="420" w:firstLineChars="0"/>
        <w:jc w:val="left"/>
        <w:rPr>
          <w:rFonts w:hint="eastAsia" w:ascii="仿宋_GB2312" w:hAnsi="仿宋_GB2312" w:eastAsia="仿宋_GB2312" w:cs="仿宋_GB2312"/>
          <w:b w:val="0"/>
          <w:bCs w:val="0"/>
          <w:color w:val="000000"/>
          <w:kern w:val="0"/>
          <w:sz w:val="28"/>
          <w:szCs w:val="28"/>
          <w:lang w:val="en-US" w:eastAsia="zh-CN" w:bidi="ar"/>
        </w:rPr>
      </w:pPr>
      <w:r>
        <w:rPr>
          <w:rFonts w:hint="eastAsia" w:ascii="仿宋_GB2312" w:hAnsi="仿宋_GB2312" w:eastAsia="仿宋_GB2312" w:cs="仿宋_GB2312"/>
          <w:b w:val="0"/>
          <w:bCs w:val="0"/>
          <w:color w:val="000000"/>
          <w:kern w:val="0"/>
          <w:sz w:val="28"/>
          <w:szCs w:val="28"/>
          <w:lang w:val="en-US" w:eastAsia="zh-CN" w:bidi="ar"/>
        </w:rPr>
        <w:t>数据资产的价值评估可采用市场法、收益法、成本法等多种方法，而合理准确分摊数据采集、加工和管理的成本是价值评估的基础。对于运营商而言，数据资源成本中人工成本占比较高，可参考</w:t>
      </w:r>
      <w:r>
        <w:rPr>
          <w:rFonts w:hint="eastAsia" w:ascii="仿宋_GB2312" w:hAnsi="仿宋_GB2312" w:eastAsia="仿宋_GB2312" w:cs="仿宋_GB2312"/>
          <w:color w:val="000000"/>
          <w:kern w:val="0"/>
          <w:sz w:val="28"/>
          <w:szCs w:val="28"/>
          <w:lang w:val="en-US" w:eastAsia="zh-CN" w:bidi="ar"/>
        </w:rPr>
        <w:t>卓创资讯的做法，建立一体化数据生产工时管理平台</w:t>
      </w:r>
      <w:r>
        <w:rPr>
          <w:rFonts w:hint="eastAsia" w:ascii="仿宋_GB2312" w:hAnsi="仿宋_GB2312" w:eastAsia="仿宋_GB2312" w:cs="仿宋_GB2312"/>
          <w:b w:val="0"/>
          <w:bCs w:val="0"/>
          <w:color w:val="000000"/>
          <w:kern w:val="0"/>
          <w:sz w:val="28"/>
          <w:szCs w:val="28"/>
          <w:lang w:val="en-US" w:eastAsia="zh-CN" w:bidi="ar"/>
        </w:rPr>
        <w:t>，确保相关成本可以可靠计量。</w:t>
      </w:r>
    </w:p>
    <w:p w14:paraId="04799D5A">
      <w:pPr>
        <w:keepNext w:val="0"/>
        <w:keepLines w:val="0"/>
        <w:widowControl/>
        <w:suppressLineNumbers w:val="0"/>
        <w:ind w:firstLine="420" w:firstLineChars="0"/>
        <w:jc w:val="left"/>
        <w:rPr>
          <w:rFonts w:hint="eastAsia" w:ascii="仿宋_GB2312" w:hAnsi="仿宋_GB2312" w:eastAsia="仿宋_GB2312" w:cs="仿宋_GB2312"/>
          <w:color w:val="000000"/>
          <w:kern w:val="0"/>
          <w:sz w:val="28"/>
          <w:szCs w:val="28"/>
          <w:lang w:val="en-US" w:eastAsia="zh-CN" w:bidi="ar"/>
        </w:rPr>
      </w:pPr>
    </w:p>
    <w:p w14:paraId="5ABA693B">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Chars="0" w:right="69" w:rightChars="0"/>
        <w:jc w:val="both"/>
        <w:rPr>
          <w:rFonts w:hint="eastAsia"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参考文献：</w:t>
      </w:r>
    </w:p>
    <w:p w14:paraId="47FDA0AB">
      <w:pPr>
        <w:pStyle w:val="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425" w:leftChars="0" w:right="69" w:rightChars="0" w:hanging="425" w:firstLineChars="0"/>
        <w:jc w:val="both"/>
        <w:rPr>
          <w:rFonts w:hint="default"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w:t>
      </w:r>
      <w:r>
        <w:rPr>
          <w:rFonts w:hint="default" w:ascii="仿宋_GB2312" w:hAnsi="仿宋_GB2312" w:eastAsia="仿宋_GB2312" w:cs="仿宋_GB2312"/>
          <w:color w:val="000000"/>
          <w:kern w:val="0"/>
          <w:sz w:val="24"/>
          <w:szCs w:val="24"/>
          <w:lang w:val="en-US" w:eastAsia="zh-CN" w:bidi="ar"/>
        </w:rPr>
        <w:t>中国上市公司数据资产入表实践蓝皮书（2024第一季度）</w:t>
      </w:r>
      <w:r>
        <w:rPr>
          <w:rFonts w:hint="eastAsia" w:ascii="仿宋_GB2312" w:hAnsi="仿宋_GB2312" w:eastAsia="仿宋_GB2312" w:cs="仿宋_GB2312"/>
          <w:color w:val="000000"/>
          <w:kern w:val="0"/>
          <w:sz w:val="24"/>
          <w:szCs w:val="24"/>
          <w:lang w:val="en-US" w:eastAsia="zh-CN" w:bidi="ar"/>
        </w:rPr>
        <w:t>》</w:t>
      </w:r>
      <w:r>
        <w:rPr>
          <w:rFonts w:hint="default" w:ascii="仿宋_GB2312" w:hAnsi="仿宋_GB2312" w:eastAsia="仿宋_GB2312" w:cs="仿宋_GB2312"/>
          <w:color w:val="000000"/>
          <w:kern w:val="0"/>
          <w:sz w:val="24"/>
          <w:szCs w:val="24"/>
          <w:lang w:val="en-US" w:eastAsia="zh-CN" w:bidi="ar"/>
        </w:rPr>
        <w:t>济南市大数据协会</w:t>
      </w:r>
    </w:p>
    <w:p w14:paraId="273703BA">
      <w:pPr>
        <w:pStyle w:val="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425" w:leftChars="0" w:right="69" w:rightChars="0" w:hanging="425" w:firstLineChars="0"/>
        <w:jc w:val="both"/>
        <w:rPr>
          <w:rFonts w:hint="eastAsia"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《中国企业数据资产入表情况跟踪报告》上海交通大学上海高级金融学院（简称“高金”）</w:t>
      </w:r>
    </w:p>
    <w:p w14:paraId="7E1347AD">
      <w:pPr>
        <w:pStyle w:val="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425" w:leftChars="0" w:right="69" w:rightChars="0" w:hanging="425" w:firstLineChars="0"/>
        <w:jc w:val="both"/>
        <w:rPr>
          <w:rFonts w:hint="eastAsia"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《企业数据资源相关会计处理暂行规定》 财政部</w:t>
      </w:r>
    </w:p>
    <w:p w14:paraId="6A6DA373">
      <w:pPr>
        <w:pStyle w:val="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425" w:leftChars="0" w:right="69" w:rightChars="0" w:hanging="425" w:firstLineChars="0"/>
        <w:jc w:val="both"/>
        <w:rPr>
          <w:rFonts w:hint="eastAsia"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《山东卓创资讯股份有限公司 2024 年第一季度报告》</w:t>
      </w:r>
    </w:p>
    <w:p w14:paraId="44555AE8">
      <w:pPr>
        <w:keepNext w:val="0"/>
        <w:keepLines w:val="0"/>
        <w:pageBreakBefore w:val="0"/>
        <w:widowControl/>
        <w:suppressLineNumbers w:val="0"/>
        <w:kinsoku/>
        <w:wordWrap/>
        <w:overflowPunct/>
        <w:topLinePunct w:val="0"/>
        <w:autoSpaceDE/>
        <w:autoSpaceDN/>
        <w:bidi w:val="0"/>
        <w:adjustRightInd/>
        <w:snapToGrid/>
        <w:ind w:left="5669" w:hanging="5669" w:firstLineChars="0"/>
        <w:jc w:val="left"/>
        <w:textAlignment w:val="auto"/>
        <w:rPr>
          <w:rFonts w:hint="eastAsia" w:ascii="仿宋_GB2312" w:hAnsi="仿宋_GB2312" w:eastAsia="仿宋_GB2312" w:cs="仿宋_GB2312"/>
          <w:b/>
          <w:bCs/>
          <w:color w:val="000000"/>
          <w:kern w:val="0"/>
          <w:sz w:val="28"/>
          <w:szCs w:val="28"/>
          <w:lang w:val="en-US" w:eastAsia="zh-CN" w:bidi="ar"/>
        </w:rPr>
      </w:pPr>
    </w:p>
    <w:p w14:paraId="46190214">
      <w:pPr>
        <w:keepNext w:val="0"/>
        <w:keepLines w:val="0"/>
        <w:pageBreakBefore w:val="0"/>
        <w:widowControl/>
        <w:suppressLineNumbers w:val="0"/>
        <w:kinsoku/>
        <w:wordWrap/>
        <w:overflowPunct/>
        <w:topLinePunct w:val="0"/>
        <w:autoSpaceDE/>
        <w:autoSpaceDN/>
        <w:bidi w:val="0"/>
        <w:adjustRightInd/>
        <w:snapToGrid/>
        <w:ind w:left="5669" w:hanging="5669" w:firstLineChars="0"/>
        <w:jc w:val="left"/>
        <w:textAlignment w:val="auto"/>
        <w:rPr>
          <w:rFonts w:hint="eastAsia" w:ascii="仿宋_GB2312" w:hAnsi="仿宋_GB2312" w:eastAsia="仿宋_GB2312" w:cs="仿宋_GB2312"/>
          <w:b/>
          <w:bCs/>
          <w:color w:val="000000"/>
          <w:kern w:val="0"/>
          <w:sz w:val="28"/>
          <w:szCs w:val="28"/>
          <w:lang w:val="en-US" w:eastAsia="zh-CN" w:bidi="ar"/>
        </w:rPr>
      </w:pPr>
      <w:r>
        <w:rPr>
          <w:rFonts w:hint="eastAsia" w:ascii="仿宋_GB2312" w:hAnsi="仿宋_GB2312" w:eastAsia="仿宋_GB2312" w:cs="仿宋_GB2312"/>
          <w:b/>
          <w:bCs/>
          <w:sz w:val="24"/>
          <w:lang w:eastAsia="zh-CN"/>
        </w:rPr>
        <w:drawing>
          <wp:anchor distT="0" distB="0" distL="114300" distR="114300" simplePos="0" relativeHeight="251659264" behindDoc="0" locked="0" layoutInCell="1" allowOverlap="1">
            <wp:simplePos x="0" y="0"/>
            <wp:positionH relativeFrom="column">
              <wp:posOffset>0</wp:posOffset>
            </wp:positionH>
            <wp:positionV relativeFrom="paragraph">
              <wp:posOffset>86360</wp:posOffset>
            </wp:positionV>
            <wp:extent cx="650240" cy="967740"/>
            <wp:effectExtent l="0" t="0" r="8255" b="3810"/>
            <wp:wrapSquare wrapText="bothSides"/>
            <wp:docPr id="2" name="图片 2" descr="74482e0839c207dae8cadd4810fd7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4482e0839c207dae8cadd4810fd7e4"/>
                    <pic:cNvPicPr>
                      <a:picLocks noChangeAspect="1"/>
                    </pic:cNvPicPr>
                  </pic:nvPicPr>
                  <pic:blipFill>
                    <a:blip r:embed="rId4"/>
                    <a:srcRect l="16964" r="15859"/>
                    <a:stretch>
                      <a:fillRect/>
                    </a:stretch>
                  </pic:blipFill>
                  <pic:spPr>
                    <a:xfrm>
                      <a:off x="0" y="0"/>
                      <a:ext cx="650240" cy="967740"/>
                    </a:xfrm>
                    <a:prstGeom prst="rect">
                      <a:avLst/>
                    </a:prstGeom>
                  </pic:spPr>
                </pic:pic>
              </a:graphicData>
            </a:graphic>
          </wp:anchor>
        </w:drawing>
      </w:r>
      <w:r>
        <w:rPr>
          <w:rFonts w:hint="eastAsia" w:ascii="仿宋_GB2312" w:hAnsi="仿宋_GB2312" w:eastAsia="仿宋_GB2312" w:cs="仿宋_GB2312"/>
          <w:b/>
          <w:bCs/>
          <w:color w:val="000000"/>
          <w:kern w:val="0"/>
          <w:sz w:val="28"/>
          <w:szCs w:val="28"/>
          <w:lang w:val="en-US" w:eastAsia="zh-CN" w:bidi="ar"/>
        </w:rPr>
        <w:t>陶磊</w:t>
      </w:r>
    </w:p>
    <w:p w14:paraId="1BDA3288">
      <w:pPr>
        <w:keepNext w:val="0"/>
        <w:keepLines w:val="0"/>
        <w:pageBreakBefore w:val="0"/>
        <w:widowControl/>
        <w:suppressLineNumbers w:val="0"/>
        <w:kinsoku/>
        <w:wordWrap/>
        <w:overflowPunct/>
        <w:topLinePunct w:val="0"/>
        <w:autoSpaceDE/>
        <w:autoSpaceDN/>
        <w:bidi w:val="0"/>
        <w:adjustRightInd/>
        <w:snapToGrid/>
        <w:ind w:left="5669" w:hanging="5669" w:firstLineChars="0"/>
        <w:jc w:val="left"/>
        <w:textAlignment w:val="auto"/>
        <w:rPr>
          <w:rFonts w:hint="eastAsia" w:ascii="仿宋_GB2312" w:hAnsi="仿宋_GB2312" w:eastAsia="仿宋_GB2312" w:cs="仿宋_GB2312"/>
          <w:color w:val="000000"/>
          <w:kern w:val="0"/>
          <w:sz w:val="28"/>
          <w:szCs w:val="28"/>
          <w:lang w:val="en-US" w:eastAsia="zh-CN" w:bidi="ar"/>
        </w:rPr>
      </w:pPr>
      <w:r>
        <w:rPr>
          <w:rFonts w:hint="eastAsia" w:ascii="仿宋_GB2312" w:hAnsi="仿宋_GB2312" w:eastAsia="仿宋_GB2312" w:cs="仿宋_GB2312"/>
          <w:color w:val="000000"/>
          <w:kern w:val="0"/>
          <w:sz w:val="28"/>
          <w:szCs w:val="28"/>
          <w:lang w:val="en-US" w:eastAsia="zh-CN" w:bidi="ar"/>
        </w:rPr>
        <w:t>一级分析师，硕士，从事通信行业研究，专注管理会计、价值管理、数据要素方向研究。</w:t>
      </w:r>
    </w:p>
    <w:p w14:paraId="26DB677C">
      <w:pPr>
        <w:keepNext w:val="0"/>
        <w:keepLines w:val="0"/>
        <w:widowControl/>
        <w:suppressLineNumbers w:val="0"/>
        <w:ind w:firstLine="420" w:firstLineChars="0"/>
        <w:jc w:val="left"/>
        <w:rPr>
          <w:rFonts w:hint="eastAsia" w:ascii="仿宋_GB2312" w:hAnsi="仿宋_GB2312" w:eastAsia="仿宋_GB2312" w:cs="仿宋_GB2312"/>
          <w:color w:val="000000"/>
          <w:kern w:val="0"/>
          <w:sz w:val="28"/>
          <w:szCs w:val="28"/>
          <w:lang w:val="en-US" w:eastAsia="zh-CN" w:bidi="ar"/>
        </w:rPr>
      </w:pPr>
    </w:p>
    <w:p w14:paraId="738C703F">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line="368" w:lineRule="atLeast"/>
        <w:ind w:leftChars="0" w:right="69" w:rightChars="0"/>
        <w:jc w:val="both"/>
        <w:rPr>
          <w:rFonts w:hint="default" w:ascii="仿宋_GB2312" w:hAnsi="仿宋_GB2312" w:eastAsia="仿宋_GB2312" w:cs="仿宋_GB2312"/>
          <w:color w:val="000000"/>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方正仿宋_GB2312">
    <w:panose1 w:val="02000000000000000000"/>
    <w:charset w:val="86"/>
    <w:family w:val="auto"/>
    <w:pitch w:val="default"/>
    <w:sig w:usb0="A00002BF" w:usb1="184F6CFA" w:usb2="00000012"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4C505"/>
    <w:multiLevelType w:val="multilevel"/>
    <w:tmpl w:val="9084C505"/>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tabs>
          <w:tab w:val="left" w:pos="0"/>
        </w:tabs>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3EC10C18"/>
    <w:multiLevelType w:val="singleLevel"/>
    <w:tmpl w:val="3EC10C18"/>
    <w:lvl w:ilvl="0" w:tentative="0">
      <w:start w:val="1"/>
      <w:numFmt w:val="decimal"/>
      <w:lvlText w:val="%1."/>
      <w:lvlJc w:val="left"/>
      <w:pPr>
        <w:ind w:left="425" w:hanging="425"/>
      </w:pPr>
      <w:rPr>
        <w:rFonts w:hint="default"/>
      </w:rPr>
    </w:lvl>
  </w:abstractNum>
  <w:abstractNum w:abstractNumId="2">
    <w:nsid w:val="6BF3A484"/>
    <w:multiLevelType w:val="singleLevel"/>
    <w:tmpl w:val="6BF3A484"/>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5NmFjMmM4ZTljMGJiZDAxN2JmYTc0NGI0NmFiNDgifQ=="/>
  </w:docVars>
  <w:rsids>
    <w:rsidRoot w:val="6A5C6527"/>
    <w:rsid w:val="006F01DC"/>
    <w:rsid w:val="00D23242"/>
    <w:rsid w:val="02166005"/>
    <w:rsid w:val="04C335CE"/>
    <w:rsid w:val="05C141FC"/>
    <w:rsid w:val="06D01FD2"/>
    <w:rsid w:val="06E85D06"/>
    <w:rsid w:val="07F41CF0"/>
    <w:rsid w:val="08744BDF"/>
    <w:rsid w:val="088773BA"/>
    <w:rsid w:val="08C47A4D"/>
    <w:rsid w:val="09445723"/>
    <w:rsid w:val="0A48258D"/>
    <w:rsid w:val="0A894C6F"/>
    <w:rsid w:val="0B505490"/>
    <w:rsid w:val="0C547EF7"/>
    <w:rsid w:val="0C601702"/>
    <w:rsid w:val="0D3037CB"/>
    <w:rsid w:val="0E3A7A3D"/>
    <w:rsid w:val="0E687FA4"/>
    <w:rsid w:val="0E8F62C3"/>
    <w:rsid w:val="0F1B27E9"/>
    <w:rsid w:val="0FBC7A00"/>
    <w:rsid w:val="128957C3"/>
    <w:rsid w:val="13282BE9"/>
    <w:rsid w:val="13C927E6"/>
    <w:rsid w:val="14120FF6"/>
    <w:rsid w:val="143F3C13"/>
    <w:rsid w:val="14506777"/>
    <w:rsid w:val="16516EFA"/>
    <w:rsid w:val="188F7B2D"/>
    <w:rsid w:val="18D17CFD"/>
    <w:rsid w:val="191F578F"/>
    <w:rsid w:val="196A0064"/>
    <w:rsid w:val="1B1578D4"/>
    <w:rsid w:val="1B854CE1"/>
    <w:rsid w:val="1CC33C5D"/>
    <w:rsid w:val="1F10520A"/>
    <w:rsid w:val="20B51A11"/>
    <w:rsid w:val="220B31FE"/>
    <w:rsid w:val="270F224B"/>
    <w:rsid w:val="271D2324"/>
    <w:rsid w:val="27973526"/>
    <w:rsid w:val="2C602C01"/>
    <w:rsid w:val="2CE43832"/>
    <w:rsid w:val="2DC137FC"/>
    <w:rsid w:val="2E371592"/>
    <w:rsid w:val="2E7D1826"/>
    <w:rsid w:val="2F3A3BDD"/>
    <w:rsid w:val="2FAA0D63"/>
    <w:rsid w:val="2FCB323B"/>
    <w:rsid w:val="311436B1"/>
    <w:rsid w:val="32123679"/>
    <w:rsid w:val="3212499D"/>
    <w:rsid w:val="326971CB"/>
    <w:rsid w:val="3283634A"/>
    <w:rsid w:val="32A54539"/>
    <w:rsid w:val="335A1B33"/>
    <w:rsid w:val="335A5584"/>
    <w:rsid w:val="33962DD2"/>
    <w:rsid w:val="33F56325"/>
    <w:rsid w:val="34226DBF"/>
    <w:rsid w:val="34595254"/>
    <w:rsid w:val="354E0016"/>
    <w:rsid w:val="36154A5C"/>
    <w:rsid w:val="36AA4D62"/>
    <w:rsid w:val="378758A1"/>
    <w:rsid w:val="3B24701C"/>
    <w:rsid w:val="3B5322AF"/>
    <w:rsid w:val="3BDA652C"/>
    <w:rsid w:val="3C2C4A2C"/>
    <w:rsid w:val="3D357144"/>
    <w:rsid w:val="3DB82223"/>
    <w:rsid w:val="3E502AD5"/>
    <w:rsid w:val="3E9855ED"/>
    <w:rsid w:val="3EF9316D"/>
    <w:rsid w:val="402776D6"/>
    <w:rsid w:val="406A3DA1"/>
    <w:rsid w:val="4089392F"/>
    <w:rsid w:val="40F153A4"/>
    <w:rsid w:val="42075FED"/>
    <w:rsid w:val="422739DF"/>
    <w:rsid w:val="492435B3"/>
    <w:rsid w:val="4BBA31FF"/>
    <w:rsid w:val="4CDF1BF4"/>
    <w:rsid w:val="4ED321E6"/>
    <w:rsid w:val="4F7E394E"/>
    <w:rsid w:val="50AB003F"/>
    <w:rsid w:val="50CD6207"/>
    <w:rsid w:val="510761D8"/>
    <w:rsid w:val="51261460"/>
    <w:rsid w:val="514F30C0"/>
    <w:rsid w:val="52ED2B91"/>
    <w:rsid w:val="53D31D87"/>
    <w:rsid w:val="54D60F80"/>
    <w:rsid w:val="55F84BDE"/>
    <w:rsid w:val="56462CE4"/>
    <w:rsid w:val="57130845"/>
    <w:rsid w:val="57FC74F9"/>
    <w:rsid w:val="598A57D1"/>
    <w:rsid w:val="59F06BEE"/>
    <w:rsid w:val="5A9C3B20"/>
    <w:rsid w:val="5AA4653E"/>
    <w:rsid w:val="5CDD5A24"/>
    <w:rsid w:val="5D842F27"/>
    <w:rsid w:val="5ECC3FA2"/>
    <w:rsid w:val="5F354743"/>
    <w:rsid w:val="5F594ACB"/>
    <w:rsid w:val="5FB76A00"/>
    <w:rsid w:val="62DE6DD4"/>
    <w:rsid w:val="653D3504"/>
    <w:rsid w:val="65C07C91"/>
    <w:rsid w:val="664A2601"/>
    <w:rsid w:val="665322A7"/>
    <w:rsid w:val="67C1666E"/>
    <w:rsid w:val="697A777A"/>
    <w:rsid w:val="69CB37D4"/>
    <w:rsid w:val="6A5C6527"/>
    <w:rsid w:val="6A62486A"/>
    <w:rsid w:val="6DC004F1"/>
    <w:rsid w:val="6E597143"/>
    <w:rsid w:val="6F15211F"/>
    <w:rsid w:val="6F423AC7"/>
    <w:rsid w:val="70615ED4"/>
    <w:rsid w:val="707A563F"/>
    <w:rsid w:val="717F45A4"/>
    <w:rsid w:val="739B3A41"/>
    <w:rsid w:val="7544268D"/>
    <w:rsid w:val="75D91027"/>
    <w:rsid w:val="7B7C6707"/>
    <w:rsid w:val="7BF625D6"/>
    <w:rsid w:val="7BFE17E7"/>
    <w:rsid w:val="7DBD122E"/>
    <w:rsid w:val="7E984E37"/>
    <w:rsid w:val="7EFC18E2"/>
    <w:rsid w:val="7F4D03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customStyle="1" w:styleId="12">
    <w:name w:val="font61"/>
    <w:basedOn w:val="9"/>
    <w:qFormat/>
    <w:uiPriority w:val="0"/>
    <w:rPr>
      <w:rFonts w:ascii="宋体" w:hAnsi="宋体" w:eastAsia="宋体" w:cs="宋体"/>
      <w:color w:val="000000"/>
      <w:sz w:val="24"/>
      <w:szCs w:val="24"/>
      <w:u w:val="none"/>
    </w:rPr>
  </w:style>
  <w:style w:type="character" w:customStyle="1" w:styleId="13">
    <w:name w:val="font71"/>
    <w:basedOn w:val="9"/>
    <w:qFormat/>
    <w:uiPriority w:val="0"/>
    <w:rPr>
      <w:rFonts w:hint="default" w:ascii="Times New Roman" w:hAnsi="Times New Roman" w:cs="Times New Roman"/>
      <w:color w:val="000000"/>
      <w:sz w:val="24"/>
      <w:szCs w:val="24"/>
      <w:u w:val="none"/>
    </w:rPr>
  </w:style>
  <w:style w:type="character" w:customStyle="1" w:styleId="14">
    <w:name w:val="font21"/>
    <w:basedOn w:val="9"/>
    <w:qFormat/>
    <w:uiPriority w:val="0"/>
    <w:rPr>
      <w:rFonts w:ascii="宋体" w:hAnsi="宋体" w:eastAsia="宋体" w:cs="宋体"/>
      <w:b/>
      <w:bCs/>
      <w:color w:val="060607"/>
      <w:sz w:val="18"/>
      <w:szCs w:val="18"/>
      <w:u w:val="none"/>
    </w:rPr>
  </w:style>
  <w:style w:type="character" w:customStyle="1" w:styleId="15">
    <w:name w:val="font51"/>
    <w:basedOn w:val="9"/>
    <w:qFormat/>
    <w:uiPriority w:val="0"/>
    <w:rPr>
      <w:rFonts w:ascii="宋体" w:hAnsi="宋体" w:eastAsia="宋体" w:cs="宋体"/>
      <w:color w:val="060607"/>
      <w:sz w:val="18"/>
      <w:szCs w:val="18"/>
      <w:u w:val="none"/>
    </w:rPr>
  </w:style>
  <w:style w:type="character" w:customStyle="1" w:styleId="16">
    <w:name w:val="font81"/>
    <w:basedOn w:val="9"/>
    <w:qFormat/>
    <w:uiPriority w:val="0"/>
    <w:rPr>
      <w:rFonts w:hint="default" w:ascii="Times New Roman" w:hAnsi="Times New Roman" w:cs="Times New Roman"/>
      <w:color w:val="000000"/>
      <w:sz w:val="18"/>
      <w:szCs w:val="18"/>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4366</Words>
  <Characters>4880</Characters>
  <Lines>0</Lines>
  <Paragraphs>0</Paragraphs>
  <TotalTime>10</TotalTime>
  <ScaleCrop>false</ScaleCrop>
  <LinksUpToDate>false</LinksUpToDate>
  <CharactersWithSpaces>4884</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2024-07-31T00:51:00Z</dcterms:created>
  <dc:creator>蔡霖</dc:creator>
  <cp:lastModifiedBy>蔡霖</cp:lastModifiedBy>
  <dcterms:modified xsi:type="dcterms:W3CDTF">2024-08-23T08:15:22Z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0DC52EFC8C29481296BCD54D514394CF_11</vt:lpwstr>
  </property>
</Properties>
</file>