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553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中国电信业务中台集约运营</w:t>
      </w:r>
    </w:p>
    <w:p>
      <w:pPr>
        <w:ind w:left="2632"/>
        <w:spacing w:before="94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存在问题及建议</w:t>
      </w:r>
    </w:p>
    <w:p>
      <w:pPr>
        <w:ind w:left="2031"/>
        <w:spacing w:before="331" w:line="208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4"/>
        </w:rPr>
        <w:t>文/</w:t>
      </w:r>
      <w:r>
        <w:rPr>
          <w:rFonts w:ascii="STKaiti" w:hAnsi="STKaiti" w:eastAsia="STKaiti" w:cs="STKaiti"/>
          <w:sz w:val="30"/>
          <w:szCs w:val="30"/>
          <w:spacing w:val="24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潘波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马睿文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王胤丰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陈海龙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28" w:right="24" w:firstLine="608"/>
        <w:spacing w:before="98" w:line="258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8"/>
        </w:rPr>
        <w:t>在“云改数转”战略大方向下，数字化转型是中国电信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2023</w:t>
      </w:r>
      <w:r>
        <w:rPr>
          <w:rFonts w:ascii="FangSong" w:hAnsi="FangSong" w:eastAsia="FangSong" w:cs="FangSong"/>
          <w:sz w:val="30"/>
          <w:szCs w:val="30"/>
          <w:spacing w:val="-4"/>
        </w:rPr>
        <w:t>年工作的主线，业务中台作为支撑企业运营和客户营销服务的重</w:t>
      </w:r>
      <w:r>
        <w:rPr>
          <w:rFonts w:ascii="FangSong" w:hAnsi="FangSong" w:eastAsia="FangSong" w:cs="FangSong"/>
          <w:sz w:val="30"/>
          <w:szCs w:val="30"/>
          <w:spacing w:val="-11"/>
        </w:rPr>
        <w:t>要平台和基础，是数转成功的重要抓手之一。为此，</w:t>
      </w:r>
      <w:r>
        <w:rPr>
          <w:rFonts w:ascii="FangSong" w:hAnsi="FangSong" w:eastAsia="FangSong" w:cs="FangSong"/>
          <w:sz w:val="30"/>
          <w:szCs w:val="30"/>
          <w:spacing w:val="4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中国电信于</w:t>
      </w:r>
      <w:r>
        <w:rPr>
          <w:rFonts w:ascii="FangSong" w:hAnsi="FangSong" w:eastAsia="FangSong" w:cs="FangSong"/>
          <w:sz w:val="30"/>
          <w:szCs w:val="30"/>
          <w:spacing w:val="1"/>
        </w:rPr>
        <w:t>2021</w:t>
      </w:r>
      <w:r>
        <w:rPr>
          <w:rFonts w:ascii="FangSong" w:hAnsi="FangSong" w:eastAsia="FangSong" w:cs="FangSong"/>
          <w:sz w:val="30"/>
          <w:szCs w:val="30"/>
          <w:spacing w:val="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1"/>
        </w:rPr>
        <w:t>年规划建设了业务中台，但在业务中台实际运营中发现中</w:t>
      </w:r>
      <w:r>
        <w:rPr>
          <w:rFonts w:ascii="FangSong" w:hAnsi="FangSong" w:eastAsia="FangSong" w:cs="FangSong"/>
          <w:sz w:val="30"/>
          <w:szCs w:val="30"/>
          <w:spacing w:val="-9"/>
        </w:rPr>
        <w:t>台价值尚未充分发挥，存在承接分散、流程规范不明等现象，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究</w:t>
      </w:r>
      <w:r>
        <w:rPr>
          <w:rFonts w:ascii="FangSong" w:hAnsi="FangSong" w:eastAsia="FangSong" w:cs="FangSong"/>
          <w:sz w:val="30"/>
          <w:szCs w:val="30"/>
          <w:spacing w:val="-1"/>
        </w:rPr>
        <w:t>其根本在于未做到集约化运营。因此推进业务中台集约化运营，</w:t>
      </w:r>
      <w:r>
        <w:rPr>
          <w:rFonts w:ascii="FangSong" w:hAnsi="FangSong" w:eastAsia="FangSong" w:cs="FangSong"/>
          <w:sz w:val="30"/>
          <w:szCs w:val="30"/>
          <w:spacing w:val="-4"/>
        </w:rPr>
        <w:t>最大化发挥业务中台价值，让其能力真正落地到业务发展与客户</w:t>
      </w:r>
      <w:r>
        <w:rPr>
          <w:rFonts w:ascii="FangSong" w:hAnsi="FangSong" w:eastAsia="FangSong" w:cs="FangSong"/>
          <w:sz w:val="30"/>
          <w:szCs w:val="30"/>
          <w:spacing w:val="-15"/>
        </w:rPr>
        <w:t>服务中，是实现“以客户为中心”的数字化转型战略的关键所</w:t>
      </w:r>
      <w:r>
        <w:rPr>
          <w:rFonts w:ascii="FangSong" w:hAnsi="FangSong" w:eastAsia="FangSong" w:cs="FangSong"/>
          <w:sz w:val="30"/>
          <w:szCs w:val="30"/>
          <w:spacing w:val="-16"/>
        </w:rPr>
        <w:t>在。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47" w:right="124" w:firstLine="628"/>
        <w:spacing w:before="102" w:line="23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一、中国建设银行实施的业务中台集约化运营，真正把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以客户为中心落实到企业能力体系构筑中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8" w:right="106" w:firstLine="625"/>
        <w:spacing w:before="97" w:line="260" w:lineRule="auto"/>
        <w:jc w:val="both"/>
        <w:rPr/>
      </w:pPr>
      <w:r>
        <w:rPr>
          <w:spacing w:val="-5"/>
        </w:rPr>
        <w:t>中建行基于金融服务线上化以及内部“烟囱式”系统</w:t>
      </w:r>
      <w:r>
        <w:rPr>
          <w:spacing w:val="-6"/>
        </w:rPr>
        <w:t>架构暴</w:t>
      </w:r>
      <w:r>
        <w:rPr>
          <w:spacing w:val="-4"/>
        </w:rPr>
        <w:t>露出业务受理效率低、跨渠道服务能力不足等短板，推进实施业</w:t>
      </w:r>
      <w:r>
        <w:rPr>
          <w:spacing w:val="-5"/>
        </w:rPr>
        <w:t>务中台集约化运营重点工程。</w:t>
      </w:r>
    </w:p>
    <w:p>
      <w:pPr>
        <w:pStyle w:val="BodyText"/>
        <w:ind w:left="25" w:firstLine="605"/>
        <w:spacing w:before="270" w:line="260" w:lineRule="auto"/>
        <w:jc w:val="both"/>
        <w:rPr/>
      </w:pPr>
      <w:r>
        <w:rPr>
          <w:spacing w:val="-9"/>
        </w:rPr>
        <w:t>一是统一运营主体。中建行成立了总行平台运营中心，</w:t>
      </w:r>
      <w:r>
        <w:rPr>
          <w:spacing w:val="-30"/>
        </w:rPr>
        <w:t xml:space="preserve"> </w:t>
      </w:r>
      <w:r>
        <w:rPr>
          <w:spacing w:val="-9"/>
        </w:rPr>
        <w:t>专门</w:t>
      </w:r>
      <w:r>
        <w:rPr/>
        <w:t>负责中台运营工作，团队由业务处理部、运营部、单子业务部、</w:t>
      </w:r>
      <w:r>
        <w:rPr>
          <w:spacing w:val="-4"/>
        </w:rPr>
        <w:t>产品部、运营数据中心等人员组成。运营中心负责围绕中建行各</w:t>
      </w:r>
      <w:r>
        <w:rPr>
          <w:spacing w:val="-4"/>
        </w:rPr>
        <w:t>平台的规划与运营目标，开展各网点业务综合、用户信息、产品</w:t>
      </w:r>
      <w:r>
        <w:rPr>
          <w:spacing w:val="-3"/>
        </w:rPr>
        <w:t>场景运营、客户体验等的集约运营工作。</w:t>
      </w:r>
    </w:p>
    <w:p>
      <w:pPr>
        <w:pStyle w:val="BodyText"/>
        <w:ind w:left="25" w:right="107" w:firstLine="605"/>
        <w:spacing w:before="269" w:line="260" w:lineRule="auto"/>
        <w:jc w:val="both"/>
        <w:rPr/>
      </w:pPr>
      <w:r>
        <w:rPr>
          <w:spacing w:val="-5"/>
        </w:rPr>
        <w:t>二是统一职责分工。中建行重新界定前中后台在各业务中的</w:t>
      </w:r>
      <w:r>
        <w:rPr>
          <w:spacing w:val="-4"/>
        </w:rPr>
        <w:t>主要职责和功能定位，如在支撑线上业务“惠懂你”中，前台负</w:t>
      </w:r>
      <w:r>
        <w:rPr>
          <w:spacing w:val="-11"/>
        </w:rPr>
        <w:t>责业务拓展、合作招商，</w:t>
      </w:r>
      <w:r>
        <w:rPr>
          <w:spacing w:val="50"/>
        </w:rPr>
        <w:t xml:space="preserve"> </w:t>
      </w:r>
      <w:r>
        <w:rPr>
          <w:spacing w:val="-11"/>
        </w:rPr>
        <w:t>中台承接集中授权、验印、用户数据挖</w:t>
      </w:r>
      <w:r>
        <w:rPr>
          <w:spacing w:val="-8"/>
        </w:rPr>
        <w:t>掘分析应用、业务需求开发衔接推动等工作，</w:t>
      </w:r>
      <w:r>
        <w:rPr>
          <w:spacing w:val="-34"/>
        </w:rPr>
        <w:t xml:space="preserve"> </w:t>
      </w:r>
      <w:r>
        <w:rPr>
          <w:spacing w:val="-8"/>
        </w:rPr>
        <w:t>后台负责高频场景</w:t>
      </w:r>
      <w:r>
        <w:rPr>
          <w:spacing w:val="-5"/>
        </w:rPr>
        <w:t>部署开发、软硬件维护等。</w:t>
      </w:r>
    </w:p>
    <w:p>
      <w:pPr>
        <w:spacing w:line="260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6" w:right="2" w:firstLine="599"/>
        <w:spacing w:before="82" w:line="260" w:lineRule="auto"/>
        <w:jc w:val="both"/>
        <w:rPr/>
      </w:pPr>
      <w:r>
        <w:rPr>
          <w:spacing w:val="-4"/>
        </w:rPr>
        <w:t>三是统一业务规范。由中台运营团队统一输出中建行</w:t>
      </w:r>
      <w:r>
        <w:rPr>
          <w:spacing w:val="-5"/>
        </w:rPr>
        <w:t>中台业</w:t>
      </w:r>
      <w:r>
        <w:rPr>
          <w:spacing w:val="-4"/>
        </w:rPr>
        <w:t>务操作规范。规范对网点综合业务、信用卡业务、线上金融业务</w:t>
      </w:r>
      <w:r>
        <w:rPr/>
        <w:t>等业务流程做了明确，如网点立等业务规定，网点对客、审核、</w:t>
      </w:r>
      <w:r>
        <w:rPr>
          <w:spacing w:val="-9"/>
        </w:rPr>
        <w:t>复核、授权等流程由中台并行处理， 前台做客户营销、查询和咨</w:t>
      </w:r>
      <w:r>
        <w:rPr>
          <w:spacing w:val="-7"/>
        </w:rPr>
        <w:t>询等服务环节。</w:t>
      </w:r>
    </w:p>
    <w:p>
      <w:pPr>
        <w:pStyle w:val="BodyText"/>
        <w:ind w:left="31" w:right="109" w:firstLine="595"/>
        <w:spacing w:before="270" w:line="258" w:lineRule="auto"/>
        <w:jc w:val="both"/>
        <w:rPr/>
      </w:pPr>
      <w:r>
        <w:rPr>
          <w:spacing w:val="-5"/>
        </w:rPr>
        <w:t>通过以上举措，中国建设银行实现了对全行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104 </w:t>
      </w:r>
      <w:r>
        <w:rPr>
          <w:spacing w:val="-5"/>
        </w:rPr>
        <w:t>个应用和系</w:t>
      </w:r>
      <w:r>
        <w:rPr>
          <w:spacing w:val="-3"/>
        </w:rPr>
        <w:t>统共计 </w:t>
      </w:r>
      <w:r>
        <w:rPr>
          <w:rFonts w:ascii="Times New Roman" w:hAnsi="Times New Roman" w:eastAsia="Times New Roman" w:cs="Times New Roman"/>
          <w:spacing w:val="-3"/>
        </w:rPr>
        <w:t>1716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spacing w:val="-3"/>
        </w:rPr>
        <w:t>套参数进行有效集中管控，做到统一客户管理、统</w:t>
      </w:r>
      <w:r>
        <w:rPr>
          <w:spacing w:val="-4"/>
        </w:rPr>
        <w:t>一产品管理、统一网点管理、统一集团总账视图，可满足客户任</w:t>
      </w:r>
      <w:r>
        <w:rPr>
          <w:spacing w:val="-3"/>
        </w:rPr>
        <w:t>何时候、任何地点、任何方式的快捷服务需求。</w:t>
      </w:r>
    </w:p>
    <w:p>
      <w:pPr>
        <w:pStyle w:val="BodyText"/>
        <w:ind w:left="26" w:right="108" w:firstLine="633"/>
        <w:spacing w:before="282" w:line="253" w:lineRule="auto"/>
        <w:jc w:val="both"/>
        <w:rPr/>
      </w:pPr>
      <w:r>
        <w:rPr>
          <w:spacing w:val="-6"/>
        </w:rPr>
        <w:t>以信用卡业务为例，通过“前台扫描→集中数据采集→在线</w:t>
      </w:r>
      <w:r>
        <w:rPr>
          <w:spacing w:val="-4"/>
        </w:rPr>
        <w:t>审批”前中台协作式标准业务流程，既提升信用卡业务在申请资</w:t>
      </w:r>
      <w:r>
        <w:rPr>
          <w:spacing w:val="-9"/>
        </w:rPr>
        <w:t>料受理、进件处理、征信审核各流程环节的处理与流转效率， 又</w:t>
      </w:r>
      <w:r>
        <w:rPr>
          <w:spacing w:val="-5"/>
        </w:rPr>
        <w:t>满足一致的客户体验。</w:t>
      </w:r>
    </w:p>
    <w:p>
      <w:pPr>
        <w:ind w:firstLine="251"/>
        <w:spacing w:line="3662" w:lineRule="exact"/>
        <w:rPr/>
      </w:pPr>
      <w:r>
        <w:rPr>
          <w:position w:val="-73"/>
        </w:rPr>
        <w:drawing>
          <wp:inline distT="0" distB="0" distL="0" distR="0">
            <wp:extent cx="4968240" cy="232562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8240" cy="232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65"/>
        <w:spacing w:before="104" w:line="21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信用卡中台集中受理模式示例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二、中国电信业务中台运营中存在的问题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．基于业务中台的集约运营能力不足</w:t>
      </w:r>
    </w:p>
    <w:p>
      <w:pPr>
        <w:pStyle w:val="BodyText"/>
        <w:ind w:left="31" w:firstLine="652"/>
        <w:spacing w:before="320" w:line="257" w:lineRule="auto"/>
        <w:jc w:val="both"/>
        <w:rPr/>
      </w:pPr>
      <w:r>
        <w:rPr>
          <w:spacing w:val="-2"/>
        </w:rPr>
        <w:t>目前中国电信业务中台在功能方面完成了营销域、运营</w:t>
      </w:r>
      <w:r>
        <w:rPr>
          <w:spacing w:val="-3"/>
        </w:rPr>
        <w:t>域、</w:t>
      </w:r>
      <w:r>
        <w:rPr>
          <w:spacing w:val="-3"/>
        </w:rPr>
        <w:t>账务域等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3"/>
        </w:rPr>
        <w:t>域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24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3"/>
        </w:rPr>
        <w:t>中心的搭建，但在业务运营方面</w:t>
      </w:r>
      <w:r>
        <w:rPr>
          <w:spacing w:val="-4"/>
        </w:rPr>
        <w:t>尚未做到全集</w:t>
      </w:r>
      <w:r>
        <w:rPr>
          <w:spacing w:val="-4"/>
        </w:rPr>
        <w:t>团集约化运营。如在业务中台营销域的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 </w:t>
      </w:r>
      <w:r>
        <w:rPr>
          <w:spacing w:val="-4"/>
        </w:rPr>
        <w:t>个中</w:t>
      </w:r>
      <w:r>
        <w:rPr>
          <w:spacing w:val="-5"/>
        </w:rPr>
        <w:t>心中，仅权益中心</w:t>
      </w:r>
      <w:r>
        <w:rPr/>
        <w:t>是由集团一点集约运营，可以实现从全集团权益业务一</w:t>
      </w:r>
      <w:r>
        <w:rPr>
          <w:spacing w:val="-1"/>
        </w:rPr>
        <w:t>点引入、</w:t>
      </w:r>
    </w:p>
    <w:p>
      <w:pPr>
        <w:spacing w:line="257" w:lineRule="auto"/>
        <w:sectPr>
          <w:pgSz w:w="11907" w:h="16839"/>
          <w:pgMar w:top="1431" w:right="1689" w:bottom="0" w:left="1785" w:header="0" w:footer="0" w:gutter="0"/>
        </w:sectPr>
        <w:rPr/>
      </w:pPr>
    </w:p>
    <w:p>
      <w:pPr>
        <w:pStyle w:val="BodyText"/>
        <w:ind w:left="154" w:right="125" w:firstLine="5"/>
        <w:spacing w:before="86" w:line="258" w:lineRule="auto"/>
        <w:rPr/>
      </w:pPr>
      <w:r>
        <w:rPr>
          <w:spacing w:val="-4"/>
        </w:rPr>
        <w:t>一点上架、一点封装、一点全国推广、一点结算到一点评估的全</w:t>
      </w:r>
      <w:r>
        <w:rPr>
          <w:spacing w:val="-4"/>
        </w:rPr>
        <w:t>流程闭环运营。而营销域的产品服务设计中心、销售品中心、渠</w:t>
      </w:r>
      <w:r>
        <w:rPr>
          <w:spacing w:val="-4"/>
        </w:rPr>
        <w:t>道管理中心、订单中心、客户中心等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 </w:t>
      </w:r>
      <w:r>
        <w:rPr>
          <w:spacing w:val="-4"/>
        </w:rPr>
        <w:t>个中心都是分省、分</w:t>
      </w:r>
      <w:r>
        <w:rPr>
          <w:spacing w:val="-5"/>
        </w:rPr>
        <w:t>专业</w:t>
      </w:r>
      <w:r>
        <w:rPr>
          <w:spacing w:val="-4"/>
        </w:rPr>
        <w:t>条线运营的，一方面导致各省产品、客户、订单等信息无法共享</w:t>
      </w:r>
      <w:r>
        <w:rPr>
          <w:spacing w:val="-11"/>
        </w:rPr>
        <w:t>互通，另一方面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31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11"/>
        </w:rPr>
        <w:t>省或专业公司业务上线流</w:t>
      </w:r>
      <w:r>
        <w:rPr>
          <w:spacing w:val="-12"/>
        </w:rPr>
        <w:t>程、生产开通路径、</w:t>
      </w:r>
      <w:r>
        <w:rPr/>
        <w:t>营销服务方式等仍需分别对接，造成大量重复对接和资源消耗。</w:t>
      </w:r>
    </w:p>
    <w:p>
      <w:pPr>
        <w:pStyle w:val="BodyText"/>
        <w:ind w:left="754"/>
        <w:spacing w:before="284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．缺少集团级运营主体，职责分工复杂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3045" w:lineRule="exact"/>
        <w:rPr/>
      </w:pPr>
      <w:r>
        <w:rPr>
          <w:position w:val="-60"/>
        </w:rPr>
        <w:drawing>
          <wp:inline distT="0" distB="0" distL="0" distR="0">
            <wp:extent cx="5272906" cy="193395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906" cy="193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895"/>
        <w:spacing w:before="98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图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缺少运营主体数字化销售中台无法开展集约运营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54" w:firstLine="603"/>
        <w:spacing w:before="97" w:line="259" w:lineRule="auto"/>
        <w:jc w:val="both"/>
        <w:rPr/>
      </w:pPr>
      <w:r>
        <w:rPr>
          <w:spacing w:val="-5"/>
        </w:rPr>
        <w:t>现有的运营体系下，集团仅是业务管理单位，具体的业务运</w:t>
      </w:r>
      <w:r>
        <w:rPr>
          <w:spacing w:val="-4"/>
        </w:rPr>
        <w:t>营都是由省公司或专业公司完成。集团层面没有可以运营全域全</w:t>
      </w:r>
      <w:r>
        <w:rPr>
          <w:spacing w:val="-9"/>
        </w:rPr>
        <w:t>产品的主体，缺少业务集约运营的职能和资质。如在财务上， 业</w:t>
      </w:r>
      <w:r>
        <w:rPr>
          <w:spacing w:val="-6"/>
        </w:rPr>
        <w:t>务中台不能创建集约的收款账号，客户无法直接付款给集团公司，</w:t>
      </w:r>
      <w:r>
        <w:rPr>
          <w:spacing w:val="-4"/>
        </w:rPr>
        <w:t>业务中台也不能为客户开具集团抬头的发票，收付款和开具发票</w:t>
      </w:r>
      <w:r>
        <w:rPr>
          <w:spacing w:val="-6"/>
        </w:rPr>
        <w:t>不得不由其他具备运营资质的省公司或者专业公司完成。产品上，</w:t>
      </w:r>
      <w:r>
        <w:rPr>
          <w:spacing w:val="1"/>
        </w:rPr>
        <w:t>集团设计的全国集约产品也需要由省公司或专业公司承接落地，</w:t>
      </w:r>
      <w:r>
        <w:rPr>
          <w:spacing w:val="-4"/>
        </w:rPr>
        <w:t>不同运营单位导致产品和客户都无法集约管理。比如同为集团设</w:t>
      </w:r>
      <w:r>
        <w:rPr>
          <w:spacing w:val="-4"/>
        </w:rPr>
        <w:t>计销售的移动集约产品，派卡由上海公司运营，而星卡随心版由</w:t>
      </w:r>
      <w:r>
        <w:rPr>
          <w:spacing w:val="-4"/>
        </w:rPr>
        <w:t>全渠运营，派卡和星卡随心版不仅产品不兼容，客户也是分属各</w:t>
      </w:r>
      <w:r>
        <w:rPr>
          <w:spacing w:val="-5"/>
        </w:rPr>
        <w:t>自的渠道，无法集约管理。</w:t>
      </w:r>
    </w:p>
    <w:p>
      <w:pPr>
        <w:pStyle w:val="BodyText"/>
        <w:ind w:left="156" w:right="233" w:firstLine="598"/>
        <w:spacing w:before="271" w:line="261" w:lineRule="auto"/>
        <w:jc w:val="both"/>
        <w:rPr/>
      </w:pPr>
      <w:r>
        <w:rPr>
          <w:spacing w:val="-4"/>
        </w:rPr>
        <w:t>对标其他企业，业务中台的集约运营涵盖产品运营</w:t>
      </w:r>
      <w:r>
        <w:rPr>
          <w:spacing w:val="-5"/>
        </w:rPr>
        <w:t>、用户运</w:t>
      </w:r>
      <w:r>
        <w:rPr>
          <w:spacing w:val="-9"/>
        </w:rPr>
        <w:t>营、内容运营、活动运营、数据运营等多个方面， 而目前中国电</w:t>
      </w:r>
      <w:r>
        <w:rPr>
          <w:spacing w:val="-4"/>
        </w:rPr>
        <w:t>信的业务中台上的产品、客户、数据等都由前后端不同部门分散</w:t>
      </w:r>
    </w:p>
    <w:p>
      <w:pPr>
        <w:spacing w:line="261" w:lineRule="auto"/>
        <w:sectPr>
          <w:pgSz w:w="11907" w:h="16839"/>
          <w:pgMar w:top="1431" w:right="1566" w:bottom="0" w:left="1655" w:header="0" w:footer="0" w:gutter="0"/>
        </w:sectPr>
        <w:rPr/>
      </w:pPr>
    </w:p>
    <w:p>
      <w:pPr>
        <w:pStyle w:val="BodyText"/>
        <w:ind w:left="26" w:right="17"/>
        <w:spacing w:before="87" w:line="260" w:lineRule="auto"/>
        <w:jc w:val="both"/>
        <w:rPr/>
      </w:pPr>
      <w:r>
        <w:rPr>
          <w:spacing w:val="-1"/>
        </w:rPr>
        <w:t>运营。其中部分运营环节由系统开发人员或一线人员兼职完成，</w:t>
      </w:r>
      <w:r>
        <w:rPr>
          <w:spacing w:val="-4"/>
        </w:rPr>
        <w:t>缺少专职的业务运营人员。业务中台的集约运营职责架构也不够</w:t>
      </w:r>
      <w:r>
        <w:rPr>
          <w:spacing w:val="-13"/>
        </w:rPr>
        <w:t>清晰。</w:t>
      </w:r>
    </w:p>
    <w:p>
      <w:pPr>
        <w:ind w:firstLine="81"/>
        <w:spacing w:before="129" w:line="3000" w:lineRule="exact"/>
        <w:rPr/>
      </w:pPr>
      <w:r>
        <w:rPr>
          <w:position w:val="-60"/>
        </w:rPr>
        <w:drawing>
          <wp:inline distT="0" distB="0" distL="0" distR="0">
            <wp:extent cx="5187695" cy="19050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769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14"/>
        <w:spacing w:before="122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图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某互联网企业业务中台集约运营团队职</w:t>
      </w:r>
      <w:r>
        <w:rPr>
          <w:rFonts w:ascii="KaiTi" w:hAnsi="KaiTi" w:eastAsia="KaiTi" w:cs="KaiTi"/>
          <w:sz w:val="30"/>
          <w:szCs w:val="30"/>
          <w:spacing w:val="-3"/>
        </w:rPr>
        <w:t>能架构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．业务中台集约运营缺少标准及流程规范</w:t>
      </w:r>
    </w:p>
    <w:p>
      <w:pPr>
        <w:pStyle w:val="BodyText"/>
        <w:ind w:left="35" w:firstLine="590"/>
        <w:spacing w:before="317" w:line="261" w:lineRule="auto"/>
        <w:jc w:val="both"/>
        <w:rPr/>
      </w:pPr>
      <w:r>
        <w:rPr>
          <w:spacing w:val="7"/>
        </w:rPr>
        <w:t>基于业务中台的集约运营模式与传统电信产品分省分域运</w:t>
      </w:r>
      <w:r>
        <w:rPr>
          <w:spacing w:val="-1"/>
        </w:rPr>
        <w:t>营模式存在本质区别，所以无法直接复用原有标准及流程规范。</w:t>
      </w:r>
      <w:r>
        <w:rPr>
          <w:spacing w:val="-6"/>
        </w:rPr>
        <w:t>以业务中台集约运营宽带业务为例：</w:t>
      </w:r>
    </w:p>
    <w:p>
      <w:pPr>
        <w:pStyle w:val="BodyText"/>
        <w:ind w:left="25" w:right="17" w:firstLine="605"/>
        <w:spacing w:before="268" w:line="260" w:lineRule="auto"/>
        <w:jc w:val="both"/>
        <w:rPr/>
      </w:pPr>
      <w:r>
        <w:rPr>
          <w:spacing w:val="-5"/>
        </w:rPr>
        <w:t>首先，缺少宽带资源地址集约标准，各省资源地址无法统一</w:t>
      </w:r>
      <w:r>
        <w:rPr>
          <w:spacing w:val="-6"/>
        </w:rPr>
        <w:t>接入业务中台资源地址库。如某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 </w:t>
      </w:r>
      <w:r>
        <w:rPr>
          <w:spacing w:val="-6"/>
        </w:rPr>
        <w:t>省采用十级标准地址，宽带资</w:t>
      </w:r>
      <w:r>
        <w:rPr>
          <w:spacing w:val="-1"/>
        </w:rPr>
        <w:t>源位置从所在地市、区县逐级精确到小区、栋号、楼层和户号，</w:t>
      </w:r>
      <w:r>
        <w:rPr>
          <w:spacing w:val="-6"/>
        </w:rPr>
        <w:t>而某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省采用八级标准地址，缺少楼层和户号，宽带新装选址只</w:t>
      </w:r>
      <w:r>
        <w:rPr>
          <w:spacing w:val="-8"/>
        </w:rPr>
        <w:t>能分省受理。</w:t>
      </w:r>
    </w:p>
    <w:p>
      <w:pPr>
        <w:pStyle w:val="BodyText"/>
        <w:ind w:left="25" w:right="102" w:firstLine="602"/>
        <w:spacing w:before="272" w:line="259" w:lineRule="auto"/>
        <w:jc w:val="both"/>
        <w:rPr/>
      </w:pPr>
      <w:r>
        <w:rPr>
          <w:spacing w:val="-4"/>
        </w:rPr>
        <w:t>其次，未形成全集团统一的业务规则及流程。</w:t>
      </w:r>
      <w:r>
        <w:rPr>
          <w:spacing w:val="-5"/>
        </w:rPr>
        <w:t>如业务中台的</w:t>
      </w:r>
      <w:r>
        <w:rPr>
          <w:spacing w:val="-9"/>
        </w:rPr>
        <w:t>宽带客户有宽带拆机、移机需求时， 只能通过线上咨询的方式向</w:t>
      </w:r>
      <w:r>
        <w:rPr>
          <w:spacing w:val="-4"/>
        </w:rPr>
        <w:t>各省的客服人员提出诉求，由各省客服人工查验，待确认客户符</w:t>
      </w:r>
      <w:r>
        <w:rPr>
          <w:spacing w:val="-4"/>
        </w:rPr>
        <w:t>合业务办理条件后，通过短信方式发送业务链接，客户点击链接</w:t>
      </w:r>
      <w:r>
        <w:rPr>
          <w:spacing w:val="-3"/>
        </w:rPr>
        <w:t>才能办理业务，严重影响业务办理效率和客户体验。</w:t>
      </w:r>
    </w:p>
    <w:p>
      <w:pPr>
        <w:pStyle w:val="BodyText"/>
        <w:ind w:left="32" w:right="104" w:firstLine="596"/>
        <w:spacing w:before="273" w:line="260" w:lineRule="auto"/>
        <w:jc w:val="both"/>
        <w:rPr/>
      </w:pPr>
      <w:r>
        <w:rPr>
          <w:spacing w:val="-5"/>
        </w:rPr>
        <w:t>再次，缺少跨地域业务集中受理以及结算的规则。业务中台</w:t>
      </w:r>
      <w:r>
        <w:rPr>
          <w:spacing w:val="-8"/>
        </w:rPr>
        <w:t>虽在功能上支持不同省间移动、宽带业务的自由组合，</w:t>
      </w:r>
      <w:r>
        <w:rPr>
          <w:spacing w:val="-41"/>
        </w:rPr>
        <w:t xml:space="preserve"> </w:t>
      </w:r>
      <w:r>
        <w:rPr>
          <w:spacing w:val="-8"/>
        </w:rPr>
        <w:t>但在具体</w:t>
      </w:r>
      <w:r>
        <w:rPr>
          <w:spacing w:val="-4"/>
        </w:rPr>
        <w:t>实施的过程中该如何进行跨省的受理，后续业务省间管理</w:t>
      </w:r>
      <w:r>
        <w:rPr>
          <w:spacing w:val="-5"/>
        </w:rPr>
        <w:t>，收入</w:t>
      </w:r>
      <w:r>
        <w:rPr>
          <w:spacing w:val="-8"/>
        </w:rPr>
        <w:t>列收结算等缺少流程及规范。各省只能运营本省业务，</w:t>
      </w:r>
      <w:r>
        <w:rPr>
          <w:spacing w:val="-38"/>
        </w:rPr>
        <w:t xml:space="preserve"> </w:t>
      </w:r>
      <w:r>
        <w:rPr>
          <w:spacing w:val="-8"/>
        </w:rPr>
        <w:t>客</w:t>
      </w:r>
      <w:r>
        <w:rPr>
          <w:spacing w:val="-9"/>
        </w:rPr>
        <w:t>户订购</w:t>
      </w:r>
    </w:p>
    <w:p>
      <w:pPr>
        <w:spacing w:line="260" w:lineRule="auto"/>
        <w:sectPr>
          <w:pgSz w:w="11907" w:h="16839"/>
          <w:pgMar w:top="1431" w:right="1697" w:bottom="0" w:left="1785" w:header="0" w:footer="0" w:gutter="0"/>
        </w:sectPr>
        <w:rPr/>
      </w:pPr>
    </w:p>
    <w:p>
      <w:pPr>
        <w:pStyle w:val="BodyText"/>
        <w:ind w:left="40"/>
        <w:spacing w:before="86" w:line="220" w:lineRule="auto"/>
        <w:rPr/>
      </w:pPr>
      <w:r>
        <w:rPr>
          <w:spacing w:val="-5"/>
        </w:rPr>
        <w:t>多个省份业务只能分别下单。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三、业务中台集约运营思考和建议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．建立集团级运营团队，统筹管理业务中台运营工作</w:t>
      </w:r>
    </w:p>
    <w:p>
      <w:pPr>
        <w:pStyle w:val="BodyText"/>
        <w:ind w:left="28" w:right="2" w:firstLine="601"/>
        <w:spacing w:before="314" w:line="260" w:lineRule="auto"/>
        <w:jc w:val="both"/>
        <w:rPr/>
      </w:pPr>
      <w:r>
        <w:rPr>
          <w:spacing w:val="-10"/>
        </w:rPr>
        <w:t>建立集约化、专业化的业务中台运营主体， 明确业务中台运</w:t>
      </w:r>
      <w:r>
        <w:rPr>
          <w:spacing w:val="-4"/>
        </w:rPr>
        <w:t>营组织架构和职责划分，由集团统筹平台运营的决策、管理、监</w:t>
      </w:r>
      <w:r>
        <w:rPr>
          <w:spacing w:val="-9"/>
        </w:rPr>
        <w:t>督工作，明确总体运营目标、发展规划、考核政策， 组织协调相</w:t>
      </w:r>
      <w:r>
        <w:rPr>
          <w:spacing w:val="-4"/>
        </w:rPr>
        <w:t>关资源。各省公司、专业公司围绕平台运营管理部门的整体运营</w:t>
      </w:r>
      <w:r>
        <w:rPr>
          <w:spacing w:val="-11"/>
        </w:rPr>
        <w:t>目标及规划，完成具体运营方案设计与落地实施，开展产品运营、</w:t>
      </w:r>
      <w:r>
        <w:rPr>
          <w:spacing w:val="-4"/>
        </w:rPr>
        <w:t>用户运营、活动运营及运维支持等。</w:t>
      </w:r>
    </w:p>
    <w:p>
      <w:pPr>
        <w:pStyle w:val="BodyText"/>
        <w:ind w:left="35" w:right="116" w:firstLine="588"/>
        <w:spacing w:before="272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．制定业务中台业务运营全流程标准，推进业务规范化运</w:t>
      </w:r>
      <w:r>
        <w:rPr>
          <w:b/>
          <w:bCs/>
          <w:spacing w:val="-4"/>
        </w:rPr>
        <w:t>营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5" w:firstLine="628"/>
        <w:spacing w:before="97" w:line="259" w:lineRule="auto"/>
        <w:jc w:val="both"/>
        <w:rPr/>
      </w:pPr>
      <w:r>
        <w:rPr>
          <w:spacing w:val="-5"/>
        </w:rPr>
        <w:t>围绕业务中台能力及业务运营规划，提前制定</w:t>
      </w:r>
      <w:r>
        <w:rPr>
          <w:spacing w:val="-6"/>
        </w:rPr>
        <w:t>业务上线、销</w:t>
      </w:r>
      <w:r>
        <w:rPr/>
        <w:t>售、交付服务标准流程及规范。业务上线方面，制定业务设计、</w:t>
      </w:r>
      <w:r>
        <w:rPr>
          <w:spacing w:val="-4"/>
        </w:rPr>
        <w:t>优化迭代、审批管理规范。业务销售方面，确定跨地域业务及二</w:t>
      </w:r>
      <w:r>
        <w:rPr>
          <w:spacing w:val="-4"/>
        </w:rPr>
        <w:t>次业务集中受理模式及规范细则，明确业务结算规则、结算实施</w:t>
      </w:r>
      <w:r>
        <w:rPr/>
        <w:t>流程及财务处理原则。交付服务方面，制定装维上门服务标准、</w:t>
      </w:r>
      <w:r>
        <w:rPr>
          <w:spacing w:val="-3"/>
        </w:rPr>
        <w:t>线上客户服务规范、渠道佣金政策等。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274091</wp:posOffset>
            </wp:positionH>
            <wp:positionV relativeFrom="paragraph">
              <wp:posOffset>27552</wp:posOffset>
            </wp:positionV>
            <wp:extent cx="845819" cy="12710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5819" cy="1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31"/>
        <w:spacing w:before="92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潘波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【18901199801】</w:t>
      </w:r>
    </w:p>
    <w:p>
      <w:pPr>
        <w:ind w:left="2512" w:right="323" w:firstLine="2"/>
        <w:spacing w:before="113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硕士，高级工程师，主要从事市场营销、大数</w:t>
      </w:r>
      <w:r>
        <w:rPr>
          <w:rFonts w:ascii="KaiTi" w:hAnsi="KaiTi" w:eastAsia="KaiTi" w:cs="KaiTi"/>
          <w:sz w:val="28"/>
          <w:szCs w:val="28"/>
          <w:spacing w:val="-3"/>
        </w:rPr>
        <w:t>据相关的研究，在数字化营销、数字化平台、</w:t>
      </w:r>
      <w:r>
        <w:rPr>
          <w:rFonts w:ascii="KaiTi" w:hAnsi="KaiTi" w:eastAsia="KaiTi" w:cs="KaiTi"/>
          <w:sz w:val="28"/>
          <w:szCs w:val="28"/>
          <w:spacing w:val="-2"/>
        </w:rPr>
        <w:t>新销售模式等研究方向上具有丰富经验。</w:t>
      </w:r>
    </w:p>
    <w:p>
      <w:pPr>
        <w:spacing w:line="225" w:lineRule="auto"/>
        <w:sectPr>
          <w:pgSz w:w="11907" w:h="16839"/>
          <w:pgMar w:top="1431" w:right="1691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line="358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286283</wp:posOffset>
            </wp:positionH>
            <wp:positionV relativeFrom="paragraph">
              <wp:posOffset>89255</wp:posOffset>
            </wp:positionV>
            <wp:extent cx="821436" cy="121615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436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29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马睿文</w:t>
      </w:r>
    </w:p>
    <w:p>
      <w:pPr>
        <w:ind w:left="2516" w:right="229" w:hanging="2"/>
        <w:spacing w:before="116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硕士，长期从事云计算、前端数字化转型平台</w:t>
      </w:r>
      <w:r>
        <w:rPr>
          <w:rFonts w:ascii="KaiTi" w:hAnsi="KaiTi" w:eastAsia="KaiTi" w:cs="KaiTi"/>
          <w:sz w:val="28"/>
          <w:szCs w:val="28"/>
          <w:spacing w:val="-1"/>
        </w:rPr>
        <w:t>等研究领域，近年专注于研究产业数字化转</w:t>
      </w:r>
    </w:p>
    <w:p>
      <w:pPr>
        <w:ind w:left="2519"/>
        <w:spacing w:before="6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型、中国电信数字化平台能力落地方案等。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200939</wp:posOffset>
            </wp:positionH>
            <wp:positionV relativeFrom="paragraph">
              <wp:posOffset>94919</wp:posOffset>
            </wp:positionV>
            <wp:extent cx="984503" cy="121005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4503" cy="121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2522"/>
        <w:spacing w:before="92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王胤丰</w:t>
      </w:r>
    </w:p>
    <w:p>
      <w:pPr>
        <w:ind w:left="2513" w:right="229" w:firstLine="1"/>
        <w:spacing w:before="116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硕士，近年来专注于数字化转型、数字化销售</w:t>
      </w:r>
      <w:r>
        <w:rPr>
          <w:rFonts w:ascii="KaiTi" w:hAnsi="KaiTi" w:eastAsia="KaiTi" w:cs="KaiTi"/>
          <w:sz w:val="28"/>
          <w:szCs w:val="28"/>
          <w:spacing w:val="-1"/>
        </w:rPr>
        <w:t>及运营模式、数字化平台相关研究。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267995</wp:posOffset>
            </wp:positionH>
            <wp:positionV relativeFrom="paragraph">
              <wp:posOffset>101914</wp:posOffset>
            </wp:positionV>
            <wp:extent cx="856487" cy="1142999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6487" cy="1142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35"/>
        <w:spacing w:before="92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陈海龙</w:t>
      </w:r>
    </w:p>
    <w:p>
      <w:pPr>
        <w:ind w:left="2513" w:right="510" w:hanging="2"/>
        <w:spacing w:before="116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企业数字化研究中心总监，中国电信集团营</w:t>
      </w:r>
      <w:r>
        <w:rPr>
          <w:rFonts w:ascii="KaiTi" w:hAnsi="KaiTi" w:eastAsia="KaiTi" w:cs="KaiTi"/>
          <w:sz w:val="28"/>
          <w:szCs w:val="28"/>
          <w:spacing w:val="-1"/>
        </w:rPr>
        <w:t>销类高级专家，在数字化转型、营销策划领</w:t>
      </w:r>
      <w:r>
        <w:rPr>
          <w:rFonts w:ascii="KaiTi" w:hAnsi="KaiTi" w:eastAsia="KaiTi" w:cs="KaiTi"/>
          <w:sz w:val="28"/>
          <w:szCs w:val="28"/>
          <w:spacing w:val="-1"/>
        </w:rPr>
        <w:t>域有深厚研究积累。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2023-05-26T09:53:35Z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2025-11-04T15:55:34</vt:filetime>
  </property>
</Properties>
</file>