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C3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仿宋" w:eastAsia="方正小标宋简体"/>
          <w:sz w:val="40"/>
          <w:szCs w:val="40"/>
        </w:rPr>
      </w:pPr>
      <w:bookmarkStart w:id="0" w:name="_GoBack"/>
      <w:bookmarkEnd w:id="0"/>
      <w:r>
        <w:rPr>
          <w:rFonts w:hint="eastAsia" w:ascii="宋体" w:hAnsi="宋体" w:eastAsia="宋体" w:cs="Times New Roman"/>
          <w:b/>
          <w:bCs/>
          <w:kern w:val="44"/>
          <w:sz w:val="44"/>
          <w:szCs w:val="44"/>
        </w:rPr>
        <w:t>中国电信医疗AI业务发展问题与建议</w:t>
      </w:r>
    </w:p>
    <w:p w14:paraId="3FB24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20" w:firstLineChars="225"/>
        <w:jc w:val="center"/>
        <w:textAlignment w:val="auto"/>
        <w:rPr>
          <w:rFonts w:ascii="仿宋_GB2312" w:hAnsi="仿宋" w:eastAsia="仿宋_GB2312"/>
          <w:sz w:val="32"/>
          <w:szCs w:val="32"/>
        </w:rPr>
      </w:pPr>
    </w:p>
    <w:p w14:paraId="603A4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225"/>
        <w:jc w:val="left"/>
        <w:textAlignment w:val="auto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人工智能正全方位渗透医疗健康产业链，市场规模高速增长，并呈现向头部企业集中的趋势。中国电信的医疗AI业务存在模型性能、专业数据及商业生态三大核心短板。未来发展需聚焦模型能力提升、拓展数据采集与应用、深化合作构建生态联盟。</w:t>
      </w:r>
    </w:p>
    <w:p w14:paraId="36713E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黑体" w:hAnsi="黑体" w:eastAsia="黑体" w:cs="黑体"/>
          <w:kern w:val="0"/>
          <w:sz w:val="32"/>
        </w:rPr>
      </w:pPr>
      <w:r>
        <w:rPr>
          <w:rFonts w:hint="eastAsia" w:ascii="黑体" w:hAnsi="黑体" w:eastAsia="黑体" w:cs="黑体"/>
          <w:kern w:val="0"/>
          <w:sz w:val="32"/>
        </w:rPr>
        <w:t>发展趋势：行业前景广阔，市场向头部集中</w:t>
      </w:r>
    </w:p>
    <w:p w14:paraId="4A8B1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225"/>
        <w:textAlignment w:val="auto"/>
        <w:outlineLvl w:val="0"/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在人口老龄化加剧、医疗资源供需矛盾凸显，以及技术迭代和政策鼓励的多重驱动下，AI技术正渗透至医疗健康全产业链，覆盖新药研发、疾病治疗、健康管理、医疗保险及公共卫生管理等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val="en-US" w:eastAsia="zh-CN" w:bidi="ar"/>
        </w:rPr>
        <w:t>环节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。据国际咨询机构BCG测算，医疗是人工智能大模型第二大应用场景，预计2027年占比达到18%。2025年DeepSeek加速了大模型与医疗的结合进程，目前我国已累计发布了近三百个医疗大模型。</w:t>
      </w:r>
    </w:p>
    <w:p w14:paraId="4F86C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225"/>
        <w:textAlignment w:val="auto"/>
        <w:outlineLvl w:val="0"/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随着行业的迅猛发展，市场格局呈现头部集中趋势。互联网巨头阿里、科技领军企业华为等纷纷入局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val="en-US" w:eastAsia="zh-CN" w:bidi="ar"/>
        </w:rPr>
        <w:t>并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站稳脚跟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eastAsia="zh-CN" w:bidi="ar"/>
        </w:rPr>
        <w:t>，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如蚂蚁医疗大模型（阿里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val="en-US" w:eastAsia="zh-CN" w:bidi="ar"/>
        </w:rPr>
        <w:t>系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）、微医医疗大模型（腾讯领投）、润医医疗大模型（华为合作）占据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val="en-US" w:eastAsia="zh-CN" w:bidi="ar"/>
        </w:rPr>
        <w:t>7月底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中文医疗大模型评测MedBench榜单前三名。</w:t>
      </w:r>
    </w:p>
    <w:p w14:paraId="019AB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黑体" w:hAnsi="黑体" w:eastAsia="黑体" w:cs="黑体"/>
          <w:kern w:val="0"/>
          <w:sz w:val="32"/>
          <w:highlight w:val="yellow"/>
        </w:rPr>
      </w:pPr>
      <w:r>
        <w:rPr>
          <w:rFonts w:hint="eastAsia" w:ascii="黑体" w:hAnsi="黑体" w:eastAsia="黑体" w:cs="黑体"/>
          <w:kern w:val="0"/>
          <w:sz w:val="32"/>
        </w:rPr>
        <w:t>二、面临问题：模型性能、专业数据及商业生态三大短板</w:t>
      </w:r>
    </w:p>
    <w:p w14:paraId="27201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textAlignment w:val="auto"/>
        <w:outlineLvl w:val="0"/>
        <w:rPr>
          <w:rFonts w:ascii="仿宋_GB2312" w:hAnsi="仿宋" w:eastAsia="仿宋_GB2312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kern w:val="0"/>
          <w:sz w:val="32"/>
        </w:rPr>
        <w:t>（一）模型：开源冲击、技术追赶、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多模态三大难题</w:t>
      </w:r>
    </w:p>
    <w:p w14:paraId="15904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2" w:firstLineChars="225"/>
        <w:textAlignment w:val="auto"/>
        <w:outlineLvl w:val="0"/>
        <w:rPr>
          <w:rFonts w:hint="eastAsia" w:ascii="楷体" w:hAnsi="楷体" w:eastAsia="楷体" w:cs="楷体"/>
          <w:b/>
          <w:bCs/>
          <w:kern w:val="0"/>
          <w:sz w:val="28"/>
          <w:szCs w:val="21"/>
        </w:rPr>
      </w:pPr>
      <w:r>
        <w:rPr>
          <w:rFonts w:hint="eastAsia" w:ascii="仿宋_GB2312" w:hAnsi="仿宋" w:eastAsia="仿宋_GB2312"/>
          <w:b/>
          <w:bCs/>
          <w:sz w:val="28"/>
          <w:szCs w:val="28"/>
        </w:rPr>
        <w:t>一是头部模型</w:t>
      </w:r>
      <w:r>
        <w:rPr>
          <w:rFonts w:ascii="仿宋_GB2312" w:hAnsi="仿宋" w:eastAsia="仿宋_GB2312"/>
          <w:b/>
          <w:bCs/>
          <w:sz w:val="28"/>
          <w:szCs w:val="28"/>
        </w:rPr>
        <w:t>开源策略冲击</w:t>
      </w:r>
      <w:r>
        <w:rPr>
          <w:rFonts w:hint="eastAsia" w:ascii="仿宋_GB2312" w:hAnsi="仿宋" w:eastAsia="仿宋_GB2312"/>
          <w:b/>
          <w:bCs/>
          <w:sz w:val="28"/>
          <w:szCs w:val="28"/>
        </w:rPr>
        <w:t>。</w:t>
      </w:r>
      <w:r>
        <w:rPr>
          <w:rFonts w:ascii="仿宋_GB2312" w:hAnsi="仿宋" w:eastAsia="仿宋_GB2312"/>
          <w:sz w:val="28"/>
          <w:szCs w:val="28"/>
        </w:rPr>
        <w:t>DeepSeek、Qwen、京医千询等采取的开源策略，让行业客户对L0</w:t>
      </w:r>
      <w:r>
        <w:rPr>
          <w:rFonts w:hint="eastAsia" w:ascii="仿宋_GB2312" w:hAnsi="仿宋" w:eastAsia="仿宋_GB2312"/>
          <w:sz w:val="28"/>
          <w:szCs w:val="28"/>
        </w:rPr>
        <w:t>基础大模型</w:t>
      </w:r>
      <w:r>
        <w:rPr>
          <w:rFonts w:ascii="仿宋_GB2312" w:hAnsi="仿宋" w:eastAsia="仿宋_GB2312"/>
          <w:sz w:val="28"/>
          <w:szCs w:val="28"/>
        </w:rPr>
        <w:t>甚至L1</w:t>
      </w:r>
      <w:r>
        <w:rPr>
          <w:rFonts w:hint="eastAsia" w:ascii="仿宋_GB2312" w:hAnsi="仿宋" w:eastAsia="仿宋_GB2312"/>
          <w:sz w:val="28"/>
          <w:szCs w:val="28"/>
        </w:rPr>
        <w:t>行业</w:t>
      </w:r>
      <w:r>
        <w:rPr>
          <w:rFonts w:ascii="仿宋_GB2312" w:hAnsi="仿宋" w:eastAsia="仿宋_GB2312"/>
          <w:sz w:val="28"/>
          <w:szCs w:val="28"/>
        </w:rPr>
        <w:t>模型的商业依赖大幅降低</w:t>
      </w:r>
      <w:r>
        <w:rPr>
          <w:rFonts w:hint="eastAsia" w:ascii="仿宋_GB2312" w:hAnsi="仿宋" w:eastAsia="仿宋_GB2312"/>
          <w:sz w:val="28"/>
          <w:szCs w:val="28"/>
        </w:rPr>
        <w:t>。</w:t>
      </w:r>
      <w:r>
        <w:rPr>
          <w:rFonts w:hint="eastAsia" w:ascii="仿宋_GB2312" w:hAnsi="仿宋" w:eastAsia="仿宋_GB2312"/>
          <w:b/>
          <w:bCs/>
          <w:sz w:val="28"/>
          <w:szCs w:val="28"/>
        </w:rPr>
        <w:t>二是技术迭代</w:t>
      </w:r>
      <w:r>
        <w:rPr>
          <w:rFonts w:hint="eastAsia" w:ascii="仿宋_GB2312" w:hAnsi="仿宋" w:eastAsia="仿宋_GB2312"/>
          <w:b/>
          <w:bCs/>
          <w:sz w:val="28"/>
          <w:szCs w:val="28"/>
          <w:lang w:val="en-US" w:eastAsia="zh-CN"/>
        </w:rPr>
        <w:t>带来</w:t>
      </w:r>
      <w:r>
        <w:rPr>
          <w:rFonts w:hint="eastAsia" w:ascii="仿宋_GB2312" w:hAnsi="仿宋" w:eastAsia="仿宋_GB2312"/>
          <w:b/>
          <w:bCs/>
          <w:sz w:val="28"/>
          <w:szCs w:val="28"/>
        </w:rPr>
        <w:t>追赶</w:t>
      </w:r>
      <w:r>
        <w:rPr>
          <w:rFonts w:hint="eastAsia" w:ascii="仿宋_GB2312" w:hAnsi="仿宋" w:eastAsia="仿宋_GB2312"/>
          <w:b/>
          <w:bCs/>
          <w:sz w:val="28"/>
          <w:szCs w:val="28"/>
          <w:lang w:val="en-US" w:eastAsia="zh-CN"/>
        </w:rPr>
        <w:t>压力</w:t>
      </w:r>
      <w:r>
        <w:rPr>
          <w:rFonts w:hint="eastAsia" w:ascii="仿宋_GB2312" w:hAnsi="仿宋" w:eastAsia="仿宋_GB2312"/>
          <w:b/>
          <w:bCs/>
          <w:sz w:val="28"/>
          <w:szCs w:val="28"/>
        </w:rPr>
        <w:t>。</w:t>
      </w:r>
      <w:r>
        <w:rPr>
          <w:rFonts w:hint="eastAsia" w:ascii="仿宋_GB2312" w:hAnsi="仿宋" w:eastAsia="仿宋_GB2312"/>
          <w:sz w:val="28"/>
          <w:szCs w:val="28"/>
        </w:rPr>
        <w:t>大模型技术演进速度越来越快，模型蒸馏、强化学习GRPO算法等层出不穷，技术迭代周期有时甚至以周计算。这种速度对中国电信“星辰·济世”大模型团队的研发能力构成了极致挑战</w:t>
      </w:r>
      <w:r>
        <w:rPr>
          <w:rFonts w:hint="eastAsia" w:ascii="仿宋_GB2312" w:hAnsi="仿宋" w:eastAsia="仿宋_GB2312"/>
          <w:sz w:val="28"/>
          <w:szCs w:val="28"/>
          <w:lang w:eastAsia="zh-CN"/>
        </w:rPr>
        <w:t>，</w:t>
      </w:r>
      <w:r>
        <w:rPr>
          <w:rFonts w:hint="eastAsia" w:ascii="仿宋_GB2312" w:hAnsi="仿宋" w:eastAsia="仿宋_GB2312"/>
          <w:sz w:val="28"/>
          <w:szCs w:val="28"/>
        </w:rPr>
        <w:t>其团队规模（18人</w:t>
      </w:r>
      <w:r>
        <w:rPr>
          <w:rFonts w:hint="eastAsia" w:ascii="仿宋_GB2312" w:hAnsi="仿宋" w:eastAsia="仿宋_GB2312"/>
          <w:sz w:val="28"/>
          <w:szCs w:val="28"/>
          <w:lang w:eastAsia="zh-CN"/>
        </w:rPr>
        <w:t>，</w:t>
      </w:r>
      <w:r>
        <w:rPr>
          <w:rFonts w:hint="eastAsia" w:ascii="仿宋_GB2312" w:hAnsi="仿宋" w:eastAsia="仿宋_GB2312"/>
          <w:sz w:val="28"/>
          <w:szCs w:val="28"/>
          <w:lang w:val="en-US" w:eastAsia="zh-CN"/>
        </w:rPr>
        <w:t>包括</w:t>
      </w:r>
      <w:r>
        <w:rPr>
          <w:rFonts w:hint="eastAsia" w:ascii="仿宋_GB2312" w:hAnsi="仿宋" w:eastAsia="仿宋_GB2312"/>
          <w:sz w:val="28"/>
          <w:szCs w:val="28"/>
        </w:rPr>
        <w:t>算法工程师6人、数据工程师2人、产品经理2人、医学专家1人以及工程开发7人）在面对激烈竞争时显得捉襟见肘，技术追赶难度巨大。</w:t>
      </w:r>
      <w:r>
        <w:rPr>
          <w:rFonts w:hint="eastAsia" w:ascii="仿宋_GB2312" w:hAnsi="仿宋" w:eastAsia="仿宋_GB2312"/>
          <w:b/>
          <w:bCs/>
          <w:sz w:val="28"/>
          <w:szCs w:val="28"/>
        </w:rPr>
        <w:t>三是多模态能力欠缺。</w:t>
      </w:r>
      <w:r>
        <w:rPr>
          <w:rFonts w:hint="eastAsia" w:ascii="仿宋_GB2312" w:hAnsi="仿宋" w:eastAsia="仿宋_GB2312"/>
          <w:sz w:val="28"/>
          <w:szCs w:val="28"/>
        </w:rPr>
        <w:t>医疗核心场景天然需要处理影像、视频、语音等多模态信息。“星辰·济世”大模型在多模态能力上尚无技术储备，难以满足临床诊断、影像分析等关键需求，限制了其应用场景的广度与深度。</w:t>
      </w:r>
    </w:p>
    <w:p w14:paraId="5AEED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textAlignment w:val="auto"/>
        <w:outlineLvl w:val="0"/>
        <w:rPr>
          <w:rFonts w:hint="eastAsia" w:ascii="楷体" w:hAnsi="楷体" w:eastAsia="楷体" w:cs="楷体"/>
          <w:b/>
          <w:bCs/>
          <w:kern w:val="0"/>
          <w:sz w:val="32"/>
        </w:rPr>
      </w:pPr>
      <w:r>
        <w:rPr>
          <w:rFonts w:hint="eastAsia" w:ascii="楷体" w:hAnsi="楷体" w:eastAsia="楷体" w:cs="楷体"/>
          <w:b/>
          <w:bCs/>
          <w:kern w:val="0"/>
          <w:sz w:val="32"/>
        </w:rPr>
        <w:t>（二）数据:增量获取、标注效率、应用滞后三大问题</w:t>
      </w:r>
    </w:p>
    <w:p w14:paraId="16DA5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2" w:firstLineChars="225"/>
        <w:textAlignment w:val="auto"/>
        <w:outlineLvl w:val="0"/>
        <w:rPr>
          <w:rFonts w:hint="eastAsia" w:ascii="仿宋" w:hAnsi="仿宋" w:eastAsia="仿宋" w:cs="仿宋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一是增量数据获取不足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。由于数据分散在各级医院、公卫系统、医保等系统中，存在“系统孤岛”和接口差异，目前中国电信对三甲医院、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疾控中心等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shd w:val="clear" w:color="auto" w:fill="FFFFFF"/>
          <w:lang w:bidi="ar"/>
        </w:rPr>
        <w:t>系统开发接口适配工具，没有实现全部系统的接口统一化，获取的医疗数据有限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。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二是医疗数据标注耗时长。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中国电信虽接入6000万+条医疗数据，不同医院医疗数据信息和标准存在差异，60%的字段仍需人工审核标注，专业标注成本极高，如胸部 CT 影像单例标注成本可达数百元，临床专家耗时数小时。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三是基层数据不足，应用存在滞后性。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中国电信济世医疗大模型虽接入35 +知识库，但基层诊疗场景的数据适配度较低，医疗模型在基层场景的准确率不足；同时70%的医疗数据是病历文本、影像等非结构化数据，处理周期较长无法支撑AI模型的快速迭代，存在应用决策的滞后性。</w:t>
      </w:r>
    </w:p>
    <w:p w14:paraId="50A33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150"/>
        <w:textAlignment w:val="auto"/>
        <w:outlineLvl w:val="0"/>
        <w:rPr>
          <w:rFonts w:hint="eastAsia" w:ascii="楷体" w:hAnsi="楷体" w:eastAsia="楷体" w:cs="楷体"/>
          <w:b/>
          <w:bCs/>
          <w:kern w:val="0"/>
          <w:sz w:val="32"/>
        </w:rPr>
      </w:pPr>
      <w:r>
        <w:rPr>
          <w:rFonts w:hint="eastAsia" w:ascii="楷体" w:hAnsi="楷体" w:eastAsia="楷体" w:cs="楷体"/>
          <w:b/>
          <w:bCs/>
          <w:kern w:val="0"/>
          <w:sz w:val="32"/>
        </w:rPr>
        <w:t>（三）生态:品牌认知、业务协同、资源整合三大问题</w:t>
      </w:r>
    </w:p>
    <w:p w14:paraId="2A4D5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2" w:firstLineChars="225"/>
        <w:textAlignment w:val="auto"/>
        <w:outlineLvl w:val="0"/>
        <w:rPr>
          <w:rFonts w:hint="eastAsia" w:ascii="仿宋" w:hAnsi="仿宋" w:eastAsia="仿宋" w:cs="仿宋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一是用户品牌认知不足。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品牌认知不如平安好医生、阿里健康等平台，如平安好医生有“名医直播”“健康科普”等内容营销树立专业形象，阿里有“正品保障”强化用户认知与信任。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二是合作深度与业务协同欠缺。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翼康公司技术合作局限于单点（如与协和医院合作“协和智枢”），尚未涉及药企、保险公司；而阿里健康与欧加隆等药企合作，提供“药品+健康管理”一站式服务。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三是生态开放与资源整合能力不强。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竞争对手通过产学研合作加速技术转化（如平安好医生建联合实验室、阿里健康制定行业标准），翼康虽参与国家级项目，但成果仅停留在试点。</w:t>
      </w:r>
    </w:p>
    <w:p w14:paraId="13580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黑体" w:hAnsi="黑体" w:eastAsia="黑体" w:cs="黑体"/>
          <w:kern w:val="0"/>
          <w:sz w:val="32"/>
          <w:highlight w:val="yellow"/>
        </w:rPr>
      </w:pPr>
      <w:r>
        <w:rPr>
          <w:rFonts w:hint="eastAsia" w:ascii="黑体" w:hAnsi="黑体" w:eastAsia="黑体" w:cs="黑体"/>
          <w:kern w:val="0"/>
          <w:sz w:val="32"/>
          <w:lang w:val="en-US" w:eastAsia="zh-CN"/>
        </w:rPr>
        <w:t>三</w:t>
      </w:r>
      <w:r>
        <w:rPr>
          <w:rFonts w:hint="eastAsia" w:ascii="黑体" w:hAnsi="黑体" w:eastAsia="黑体" w:cs="黑体"/>
          <w:kern w:val="0"/>
          <w:sz w:val="32"/>
        </w:rPr>
        <w:t>、发展建议</w:t>
      </w:r>
    </w:p>
    <w:p w14:paraId="32C73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3" w:firstLineChars="225"/>
        <w:jc w:val="left"/>
        <w:textAlignment w:val="auto"/>
        <w:rPr>
          <w:rFonts w:hint="eastAsia" w:ascii="黑体" w:hAnsi="黑体" w:eastAsia="黑体" w:cs="黑体"/>
          <w:kern w:val="0"/>
          <w:sz w:val="32"/>
          <w:highlight w:val="yellow"/>
        </w:rPr>
      </w:pPr>
      <w:r>
        <w:rPr>
          <w:rFonts w:hint="eastAsia" w:ascii="楷体" w:hAnsi="楷体" w:eastAsia="楷体" w:cs="楷体"/>
          <w:b/>
          <w:bCs/>
          <w:kern w:val="0"/>
          <w:sz w:val="32"/>
        </w:rPr>
        <w:t>（一）模型能力提升：新技术范式与优势业务结合</w:t>
      </w:r>
    </w:p>
    <w:p w14:paraId="2059D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2" w:firstLineChars="225"/>
        <w:textAlignment w:val="auto"/>
        <w:outlineLvl w:val="0"/>
        <w:rPr>
          <w:rFonts w:hint="eastAsia" w:ascii="楷体" w:hAnsi="楷体" w:eastAsia="楷体" w:cs="楷体"/>
          <w:b/>
          <w:bCs/>
          <w:kern w:val="0"/>
          <w:sz w:val="28"/>
          <w:szCs w:val="21"/>
        </w:rPr>
      </w:pPr>
      <w:r>
        <w:rPr>
          <w:rFonts w:hint="eastAsia" w:ascii="仿宋_GB2312" w:hAnsi="仿宋" w:eastAsia="仿宋_GB2312"/>
          <w:b/>
          <w:bCs/>
          <w:sz w:val="28"/>
          <w:szCs w:val="28"/>
        </w:rPr>
        <w:t>一是快速引入新技术范式。</w:t>
      </w:r>
      <w:r>
        <w:rPr>
          <w:rFonts w:hint="eastAsia" w:ascii="仿宋_GB2312" w:hAnsi="仿宋" w:eastAsia="仿宋_GB2312"/>
          <w:sz w:val="28"/>
          <w:szCs w:val="28"/>
        </w:rPr>
        <w:t>紧跟技术发展，将如模型蒸馏、高效微调等新技术范式快速引入医疗场景的开发中，强化轻量模型的应用价值，以降低部署成本并提升效率。</w:t>
      </w:r>
      <w:r>
        <w:rPr>
          <w:rFonts w:hint="eastAsia" w:ascii="仿宋_GB2312" w:hAnsi="仿宋" w:eastAsia="仿宋_GB2312"/>
          <w:b/>
          <w:bCs/>
          <w:sz w:val="28"/>
          <w:szCs w:val="28"/>
        </w:rPr>
        <w:t>二是</w:t>
      </w:r>
      <w:r>
        <w:rPr>
          <w:rFonts w:hint="eastAsia" w:ascii="仿宋_GB2312" w:hAnsi="仿宋" w:eastAsia="仿宋_GB2312"/>
          <w:b/>
          <w:bCs/>
          <w:sz w:val="28"/>
          <w:szCs w:val="28"/>
          <w:lang w:val="en-US" w:eastAsia="zh-CN"/>
        </w:rPr>
        <w:t>与主营</w:t>
      </w:r>
      <w:r>
        <w:rPr>
          <w:rFonts w:hint="eastAsia" w:ascii="仿宋_GB2312" w:hAnsi="仿宋" w:eastAsia="仿宋_GB2312"/>
          <w:b/>
          <w:bCs/>
          <w:sz w:val="28"/>
          <w:szCs w:val="28"/>
        </w:rPr>
        <w:t>优势业务</w:t>
      </w:r>
      <w:r>
        <w:rPr>
          <w:rFonts w:hint="eastAsia" w:ascii="仿宋_GB2312" w:hAnsi="仿宋" w:eastAsia="仿宋_GB2312"/>
          <w:b/>
          <w:bCs/>
          <w:sz w:val="28"/>
          <w:szCs w:val="28"/>
          <w:lang w:val="en-US" w:eastAsia="zh-CN"/>
        </w:rPr>
        <w:t>结合</w:t>
      </w:r>
      <w:r>
        <w:rPr>
          <w:rFonts w:hint="eastAsia" w:ascii="仿宋_GB2312" w:hAnsi="仿宋" w:eastAsia="仿宋_GB2312"/>
          <w:b/>
          <w:bCs/>
          <w:sz w:val="28"/>
          <w:szCs w:val="28"/>
        </w:rPr>
        <w:t>。</w:t>
      </w:r>
      <w:r>
        <w:rPr>
          <w:rFonts w:hint="eastAsia" w:ascii="仿宋_GB2312" w:hAnsi="仿宋" w:eastAsia="仿宋_GB2312"/>
          <w:sz w:val="28"/>
          <w:szCs w:val="28"/>
        </w:rPr>
        <w:t>重新审视模型开发路径（L0基础模型-L1行业模型-L3细分场景模型），应结合自身优势资源进行开发，</w:t>
      </w:r>
      <w:r>
        <w:rPr>
          <w:rFonts w:hint="eastAsia" w:ascii="仿宋_GB2312" w:hAnsi="仿宋" w:eastAsia="仿宋_GB2312"/>
          <w:sz w:val="28"/>
          <w:szCs w:val="28"/>
          <w:lang w:val="en-US" w:eastAsia="zh-CN"/>
        </w:rPr>
        <w:t>可</w:t>
      </w:r>
      <w:r>
        <w:rPr>
          <w:rFonts w:hint="eastAsia" w:ascii="仿宋_GB2312" w:hAnsi="仿宋" w:eastAsia="仿宋_GB2312"/>
          <w:sz w:val="28"/>
          <w:szCs w:val="28"/>
        </w:rPr>
        <w:t>基于中国电信的医疗行业数字平台、天翼云和AI公司，构建融合文本、影像、</w:t>
      </w:r>
      <w:r>
        <w:rPr>
          <w:rFonts w:hint="eastAsia" w:ascii="仿宋_GB2312" w:hAnsi="仿宋" w:eastAsia="仿宋_GB2312"/>
          <w:sz w:val="28"/>
          <w:szCs w:val="28"/>
          <w:lang w:val="en-US" w:eastAsia="zh-CN"/>
        </w:rPr>
        <w:t>语音</w:t>
      </w:r>
      <w:r>
        <w:rPr>
          <w:rFonts w:hint="eastAsia" w:ascii="仿宋_GB2312" w:hAnsi="仿宋" w:eastAsia="仿宋_GB2312"/>
          <w:sz w:val="28"/>
          <w:szCs w:val="28"/>
        </w:rPr>
        <w:t>数据的多模态医疗大模型，形成差异化竞争力。</w:t>
      </w:r>
    </w:p>
    <w:p w14:paraId="328C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3" w:firstLineChars="225"/>
        <w:jc w:val="left"/>
        <w:textAlignment w:val="auto"/>
        <w:rPr>
          <w:rFonts w:hint="eastAsia" w:ascii="黑体" w:hAnsi="黑体" w:eastAsia="黑体" w:cs="黑体"/>
          <w:kern w:val="0"/>
          <w:sz w:val="32"/>
          <w:highlight w:val="yellow"/>
        </w:rPr>
      </w:pPr>
      <w:r>
        <w:rPr>
          <w:rFonts w:hint="eastAsia" w:ascii="楷体" w:hAnsi="楷体" w:eastAsia="楷体" w:cs="楷体"/>
          <w:b/>
          <w:bCs/>
          <w:kern w:val="0"/>
          <w:sz w:val="32"/>
        </w:rPr>
        <w:t>（二）数据：拓展数据采集范围与深度，加速数据应用</w:t>
      </w:r>
    </w:p>
    <w:p w14:paraId="5F9DB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2" w:firstLineChars="225"/>
        <w:textAlignment w:val="auto"/>
        <w:outlineLvl w:val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一是强化增量数据获取能力。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中电信应加大技术研发投入，开发适用于各级医疗系统的适配工具，尤其是基层医疗的 HIS/LIS/PACS 系统，在各级医疗机构部署边缘节点，优化实时数据同步机制。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二是提升数据标注效率与质量。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复用星海大数据平台的数据集成、加工、服务、运维管理等通用能力，结合医疗行业业务特点、数据特征，应用AI智能标注工具。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三是加速数据应用适配与迭代。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中电信应建立基层诊疗数据专题库，新增基层的医疗系统数据，同时实行敏捷模型迭代机制，快速调整模型参数与训练数据，及时适应最新变化与需求。</w:t>
      </w:r>
    </w:p>
    <w:p w14:paraId="41540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eastAsia" w:ascii="黑体" w:hAnsi="黑体" w:eastAsia="黑体" w:cs="黑体"/>
          <w:kern w:val="0"/>
          <w:sz w:val="32"/>
          <w:highlight w:val="yellow"/>
        </w:rPr>
      </w:pPr>
      <w:r>
        <w:rPr>
          <w:rFonts w:hint="eastAsia" w:ascii="楷体" w:hAnsi="楷体" w:eastAsia="楷体" w:cs="楷体"/>
          <w:b/>
          <w:bCs/>
          <w:kern w:val="0"/>
          <w:sz w:val="32"/>
        </w:rPr>
        <w:t>（三）生态：强化品牌、深化保险合作、构建联盟</w:t>
      </w:r>
    </w:p>
    <w:p w14:paraId="7491B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2" w:firstLineChars="225"/>
        <w:jc w:val="left"/>
        <w:textAlignment w:val="auto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一是强化品牌建设。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在电信营业厅设“智慧健康体验区”，展示AI问诊等功能，通过短视频平台发布医生科普内容，提升品牌可信度。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二是深化保险合作。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参考平安好医生“保险直赔”模式，打通医保等支付通道，在县域医共体试点“一站式理赔”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  <w:lang w:val="en-US" w:eastAsia="zh-CN"/>
        </w:rPr>
        <w:t>深化与保险、医疗机构的合作协同，强化用户粘性，提升竞争力。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三是构建开放共赢的生态联盟。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发起“数字医疗创新联盟”，吸引多方加入并制定相关标准规范；整合智能体平台、可穿戴设备数据和线下药房资源，为慢病患者提供“监测-用药-干预”全周期服务包，以运营商话费积分兑换降低使用门槛。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39E53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A7D95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A7D95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9B5852"/>
    <w:multiLevelType w:val="singleLevel"/>
    <w:tmpl w:val="389B58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265D62"/>
    <w:rsid w:val="00062EB2"/>
    <w:rsid w:val="002D6C3B"/>
    <w:rsid w:val="0061198C"/>
    <w:rsid w:val="006F11A7"/>
    <w:rsid w:val="00700947"/>
    <w:rsid w:val="007922DB"/>
    <w:rsid w:val="007C237A"/>
    <w:rsid w:val="00A17146"/>
    <w:rsid w:val="00C9442E"/>
    <w:rsid w:val="00F53332"/>
    <w:rsid w:val="0828199A"/>
    <w:rsid w:val="19974BAF"/>
    <w:rsid w:val="1D8831DD"/>
    <w:rsid w:val="1E265D62"/>
    <w:rsid w:val="1F115704"/>
    <w:rsid w:val="1F5472F6"/>
    <w:rsid w:val="274B2448"/>
    <w:rsid w:val="274E4EBE"/>
    <w:rsid w:val="2C9C15A1"/>
    <w:rsid w:val="2F005429"/>
    <w:rsid w:val="30191779"/>
    <w:rsid w:val="34C9402B"/>
    <w:rsid w:val="3FC450FE"/>
    <w:rsid w:val="42BD5E0D"/>
    <w:rsid w:val="471E2449"/>
    <w:rsid w:val="4EB56B63"/>
    <w:rsid w:val="4F521092"/>
    <w:rsid w:val="5366330B"/>
    <w:rsid w:val="5AB67479"/>
    <w:rsid w:val="5E9756C1"/>
    <w:rsid w:val="6072236A"/>
    <w:rsid w:val="626E34A3"/>
    <w:rsid w:val="6E3218C2"/>
    <w:rsid w:val="7549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40" w:after="140" w:line="413" w:lineRule="auto"/>
      <w:outlineLvl w:val="1"/>
    </w:pPr>
    <w:rPr>
      <w:rFonts w:ascii="Arial" w:hAnsi="Arial" w:eastAsia="宋体"/>
      <w:b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样式1"/>
    <w:basedOn w:val="1"/>
    <w:next w:val="1"/>
    <w:qFormat/>
    <w:uiPriority w:val="0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6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2146</Words>
  <Characters>2218</Characters>
  <Lines>16</Lines>
  <Paragraphs>4</Paragraphs>
  <TotalTime>15</TotalTime>
  <ScaleCrop>false</ScaleCrop>
  <LinksUpToDate>false</LinksUpToDate>
  <CharactersWithSpaces>2223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2025-08-20T08:26:00Z</dcterms:created>
  <dc:creator>莹</dc:creator>
  <cp:lastModifiedBy>莹</cp:lastModifiedBy>
  <dcterms:modified xsi:type="dcterms:W3CDTF">2025-09-05T08:06:58Z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8BEB2D5B5E2042CAB46FED159F47AE0F_13</vt:lpwstr>
  </property>
  <property fmtid="{D5CDD505-2E9C-101B-9397-08002B2CF9AE}" pid="4" name="KSOTemplateDocerSaveRecord">
    <vt:lpwstr>eyJoZGlkIjoiZjkyNjJiOWIyNTliMDY3Mjg4ZGM0ZjFhNDFmYWZkZmEiLCJ1c2VySWQiOiI2NTA1NTc5OTcifQ==</vt:lpwstr>
  </property>
</Properties>
</file>