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b/>
          <w:bCs/>
          <w:sz w:val="36"/>
          <w:szCs w:val="4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6"/>
          <w:szCs w:val="48"/>
          <w:lang w:val="en-US" w:eastAsia="zh-CN"/>
        </w:rPr>
        <w:t>中国电信在人工智能领域的优势和亟需破解的痛点</w:t>
      </w:r>
    </w:p>
    <w:p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sz w:val="30"/>
          <w:szCs w:val="40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sz w:val="32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44"/>
          <w:lang w:val="en-US" w:eastAsia="zh-CN"/>
        </w:rPr>
        <w:t>中国电信在人工智能领域的优势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600"/>
        <w:jc w:val="both"/>
        <w:textAlignment w:val="auto"/>
        <w:outlineLvl w:val="1"/>
        <w:rPr>
          <w:rFonts w:hint="eastAsia" w:ascii="楷体" w:hAnsi="楷体" w:eastAsia="楷体" w:cs="楷体"/>
          <w:sz w:val="30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0"/>
          <w:szCs w:val="32"/>
          <w:lang w:val="en-US" w:eastAsia="zh-CN"/>
        </w:rPr>
        <w:t>中国电信准确把握人工智能发展趋势，持续加大科技创新力度，形成了“1+1+1+M+N”的人工智能总体布局，在算力基础设施、数据、基座大模型和推进大模型应用落地等方面形成了独特的优势。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600"/>
        <w:jc w:val="both"/>
        <w:textAlignment w:val="auto"/>
        <w:outlineLvl w:val="1"/>
        <w:rPr>
          <w:rFonts w:hint="eastAsia" w:ascii="楷体" w:hAnsi="楷体" w:eastAsia="楷体" w:cs="楷体"/>
          <w:sz w:val="30"/>
          <w:szCs w:val="32"/>
        </w:rPr>
      </w:pPr>
      <w:r>
        <w:rPr>
          <w:rFonts w:hint="eastAsia" w:ascii="楷体" w:hAnsi="楷体" w:eastAsia="楷体" w:cs="楷体"/>
          <w:b/>
          <w:bCs/>
          <w:sz w:val="30"/>
          <w:szCs w:val="40"/>
          <w:lang w:val="en-US" w:eastAsia="zh-CN"/>
        </w:rPr>
        <w:t>优势一：</w:t>
      </w:r>
      <w:r>
        <w:rPr>
          <w:rFonts w:hint="eastAsia" w:ascii="楷体" w:hAnsi="楷体" w:eastAsia="楷体" w:cs="楷体"/>
          <w:b/>
          <w:sz w:val="30"/>
          <w:szCs w:val="32"/>
        </w:rPr>
        <w:t>持续推进算力基础设施优化升级，夯实国云智算底座。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首先是</w:t>
      </w:r>
      <w:r>
        <w:rPr>
          <w:rFonts w:hint="eastAsia" w:ascii="楷体" w:hAnsi="楷体" w:eastAsia="楷体" w:cs="楷体"/>
          <w:b/>
          <w:sz w:val="30"/>
          <w:szCs w:val="32"/>
        </w:rPr>
        <w:t>算力资源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规模大、网络覆盖广</w:t>
      </w:r>
      <w:r>
        <w:rPr>
          <w:rFonts w:hint="eastAsia" w:ascii="楷体" w:hAnsi="楷体" w:eastAsia="楷体" w:cs="楷体"/>
          <w:b/>
          <w:sz w:val="30"/>
          <w:szCs w:val="32"/>
        </w:rPr>
        <w:t>，</w:t>
      </w:r>
      <w:r>
        <w:rPr>
          <w:rFonts w:hint="eastAsia" w:ascii="楷体" w:hAnsi="楷体" w:eastAsia="楷体" w:cs="楷体"/>
          <w:sz w:val="30"/>
          <w:szCs w:val="32"/>
        </w:rPr>
        <w:t>建设覆盖全国的“2+3+7+X”公共智算云池，建成京津冀、长三角国产化全液冷单集群万卡智算中心，自建智算22EFLOPS，接入合作伙伴算力达27EFLOPS。</w:t>
      </w:r>
      <w:r>
        <w:rPr>
          <w:rFonts w:hint="eastAsia" w:ascii="楷体" w:hAnsi="楷体" w:eastAsia="楷体" w:cs="楷体"/>
          <w:sz w:val="30"/>
          <w:szCs w:val="32"/>
          <w:lang w:val="en-US" w:eastAsia="zh-CN"/>
        </w:rPr>
        <w:t>与此同时，</w:t>
      </w:r>
      <w:r>
        <w:rPr>
          <w:rFonts w:hint="eastAsia" w:ascii="楷体" w:hAnsi="楷体" w:eastAsia="楷体" w:cs="楷体"/>
          <w:sz w:val="30"/>
          <w:szCs w:val="32"/>
        </w:rPr>
        <w:t>中国电信已建成一张扁平化、网络全光化、运营智慧化的智能极速全光网络</w:t>
      </w:r>
      <w:r>
        <w:rPr>
          <w:rFonts w:hint="eastAsia" w:ascii="楷体" w:hAnsi="楷体" w:eastAsia="楷体" w:cs="楷体"/>
          <w:sz w:val="30"/>
          <w:szCs w:val="32"/>
          <w:lang w:eastAsia="zh-CN"/>
        </w:rPr>
        <w:t>，覆盖城乡的高速率网络为AI</w:t>
      </w:r>
      <w:r>
        <w:rPr>
          <w:rFonts w:hint="eastAsia" w:ascii="楷体" w:hAnsi="楷体" w:eastAsia="楷体" w:cs="楷体"/>
          <w:sz w:val="30"/>
          <w:szCs w:val="32"/>
          <w:lang w:val="en-US" w:eastAsia="zh-CN"/>
        </w:rPr>
        <w:t>算力调度</w:t>
      </w:r>
      <w:r>
        <w:rPr>
          <w:rFonts w:hint="eastAsia" w:ascii="楷体" w:hAnsi="楷体" w:eastAsia="楷体" w:cs="楷体"/>
          <w:sz w:val="30"/>
          <w:szCs w:val="32"/>
          <w:lang w:eastAsia="zh-CN"/>
        </w:rPr>
        <w:t>提供了低延迟、高可靠的基础。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其次</w:t>
      </w:r>
      <w:r>
        <w:rPr>
          <w:rFonts w:hint="eastAsia" w:ascii="楷体" w:hAnsi="楷体" w:eastAsia="楷体" w:cs="楷体"/>
          <w:b/>
          <w:sz w:val="30"/>
          <w:szCs w:val="32"/>
        </w:rPr>
        <w:t>是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建成了</w:t>
      </w:r>
      <w:r>
        <w:rPr>
          <w:rFonts w:hint="eastAsia" w:ascii="楷体" w:hAnsi="楷体" w:eastAsia="楷体" w:cs="楷体"/>
          <w:b/>
          <w:sz w:val="30"/>
          <w:szCs w:val="32"/>
        </w:rPr>
        <w:t>分布式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的</w:t>
      </w:r>
      <w:r>
        <w:rPr>
          <w:rFonts w:hint="eastAsia" w:ascii="楷体" w:hAnsi="楷体" w:eastAsia="楷体" w:cs="楷体"/>
          <w:b/>
          <w:sz w:val="30"/>
          <w:szCs w:val="32"/>
        </w:rPr>
        <w:t>推理池</w:t>
      </w:r>
      <w:r>
        <w:rPr>
          <w:rFonts w:hint="eastAsia" w:ascii="楷体" w:hAnsi="楷体" w:eastAsia="楷体" w:cs="楷体"/>
          <w:b/>
          <w:sz w:val="30"/>
          <w:szCs w:val="32"/>
          <w:lang w:eastAsia="zh-CN"/>
        </w:rPr>
        <w:t>。</w:t>
      </w:r>
      <w:r>
        <w:rPr>
          <w:rFonts w:hint="eastAsia" w:ascii="楷体" w:hAnsi="楷体" w:eastAsia="楷体" w:cs="楷体"/>
          <w:sz w:val="30"/>
          <w:szCs w:val="32"/>
        </w:rPr>
        <w:t>构建以“息壤”为核心的一体化智算服务平台，集算网调度、计算加速、模型训推于一体，并率先完成国产算力与DeepSeek-R1/V3系列大模型深度适配优化，实现全栈国产化推理服务落地。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最后</w:t>
      </w:r>
      <w:r>
        <w:rPr>
          <w:rFonts w:hint="eastAsia" w:ascii="楷体" w:hAnsi="楷体" w:eastAsia="楷体" w:cs="楷体"/>
          <w:b/>
          <w:sz w:val="30"/>
          <w:szCs w:val="32"/>
        </w:rPr>
        <w:t>是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将</w:t>
      </w:r>
      <w:r>
        <w:rPr>
          <w:rFonts w:hint="eastAsia" w:ascii="楷体" w:hAnsi="楷体" w:eastAsia="楷体" w:cs="楷体"/>
          <w:b/>
          <w:sz w:val="30"/>
          <w:szCs w:val="32"/>
        </w:rPr>
        <w:t>安全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能力植入算力运营</w:t>
      </w:r>
      <w:r>
        <w:rPr>
          <w:rFonts w:hint="eastAsia" w:ascii="楷体" w:hAnsi="楷体" w:eastAsia="楷体" w:cs="楷体"/>
          <w:b/>
          <w:sz w:val="30"/>
          <w:szCs w:val="32"/>
        </w:rPr>
        <w:t>，</w:t>
      </w:r>
      <w:r>
        <w:rPr>
          <w:rFonts w:hint="eastAsia" w:ascii="楷体" w:hAnsi="楷体" w:eastAsia="楷体" w:cs="楷体"/>
          <w:sz w:val="30"/>
          <w:szCs w:val="32"/>
          <w:lang w:val="en-US" w:eastAsia="zh-CN"/>
        </w:rPr>
        <w:t>自研</w:t>
      </w:r>
      <w:r>
        <w:rPr>
          <w:rFonts w:hint="eastAsia" w:ascii="楷体" w:hAnsi="楷体" w:eastAsia="楷体" w:cs="楷体"/>
          <w:sz w:val="30"/>
          <w:szCs w:val="32"/>
        </w:rPr>
        <w:t>安全垂类大模型，以实际攻防场景为切入点，深度嵌入</w:t>
      </w:r>
      <w:r>
        <w:rPr>
          <w:rFonts w:hint="eastAsia" w:ascii="楷体" w:hAnsi="楷体" w:eastAsia="楷体" w:cs="楷体"/>
          <w:sz w:val="30"/>
          <w:szCs w:val="32"/>
          <w:lang w:val="en-US" w:eastAsia="zh-CN"/>
        </w:rPr>
        <w:t>算力</w:t>
      </w:r>
      <w:r>
        <w:rPr>
          <w:rFonts w:hint="eastAsia" w:ascii="楷体" w:hAnsi="楷体" w:eastAsia="楷体" w:cs="楷体"/>
          <w:sz w:val="30"/>
          <w:szCs w:val="32"/>
        </w:rPr>
        <w:t>运营流程，形成数字地貌、智能渗透、威胁研判等五大能力。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602" w:firstLineChars="200"/>
        <w:jc w:val="both"/>
        <w:textAlignment w:val="auto"/>
        <w:outlineLvl w:val="1"/>
        <w:rPr>
          <w:rFonts w:hint="eastAsia" w:ascii="楷体" w:hAnsi="楷体" w:eastAsia="楷体" w:cs="楷体"/>
          <w:sz w:val="30"/>
          <w:szCs w:val="32"/>
        </w:rPr>
      </w:pP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优势二：</w:t>
      </w:r>
      <w:r>
        <w:rPr>
          <w:rFonts w:hint="eastAsia" w:ascii="楷体" w:hAnsi="楷体" w:eastAsia="楷体" w:cs="楷体"/>
          <w:b/>
          <w:sz w:val="30"/>
          <w:szCs w:val="32"/>
        </w:rPr>
        <w:t>汇聚海量数据资源，形成可信开放的全栈数据要素能力体系。一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方面，</w:t>
      </w:r>
      <w:r>
        <w:rPr>
          <w:rFonts w:hint="eastAsia" w:ascii="楷体" w:hAnsi="楷体" w:eastAsia="楷体" w:cs="楷体"/>
          <w:b/>
          <w:sz w:val="30"/>
          <w:szCs w:val="32"/>
        </w:rPr>
        <w:t>加速数据资源开发利用</w:t>
      </w:r>
      <w:r>
        <w:rPr>
          <w:rFonts w:hint="eastAsia" w:ascii="楷体" w:hAnsi="楷体" w:eastAsia="楷体" w:cs="楷体"/>
          <w:b/>
          <w:sz w:val="30"/>
          <w:szCs w:val="32"/>
          <w:lang w:eastAsia="zh-CN"/>
        </w:rPr>
        <w:t>。</w:t>
      </w:r>
      <w:r>
        <w:rPr>
          <w:rFonts w:hint="eastAsia" w:ascii="楷体" w:hAnsi="楷体" w:eastAsia="楷体" w:cs="楷体"/>
          <w:sz w:val="30"/>
          <w:szCs w:val="32"/>
        </w:rPr>
        <w:t>构建“星海”数据资源地图，融合电信日均1.6PB自有数据、金融/互联网等27个行业数据和33省市/15类公共数据，通过集中入湖、隐私互联等方式，打造开放共享的可信数据空间。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另一方面通过三大平台，</w:t>
      </w:r>
      <w:r>
        <w:rPr>
          <w:rFonts w:hint="eastAsia" w:ascii="楷体" w:hAnsi="楷体" w:eastAsia="楷体" w:cs="楷体"/>
          <w:b/>
          <w:sz w:val="30"/>
          <w:szCs w:val="32"/>
        </w:rPr>
        <w:t>提供全栈式数据要素服务</w:t>
      </w:r>
      <w:r>
        <w:rPr>
          <w:rFonts w:hint="eastAsia" w:ascii="楷体" w:hAnsi="楷体" w:eastAsia="楷体" w:cs="楷体"/>
          <w:sz w:val="30"/>
          <w:szCs w:val="32"/>
          <w:lang w:eastAsia="zh-CN"/>
        </w:rPr>
        <w:t>。</w:t>
      </w:r>
      <w:r>
        <w:rPr>
          <w:rFonts w:hint="eastAsia" w:ascii="楷体" w:hAnsi="楷体" w:eastAsia="楷体" w:cs="楷体"/>
          <w:sz w:val="30"/>
          <w:szCs w:val="32"/>
        </w:rPr>
        <w:t>围绕大数据PaaS、融AI多模态治理等10大核心能力，打造三大服务平台，覆盖数据底座、采集、清洗、加工、标注、安全、交易等全流程服务。</w:t>
      </w:r>
      <w:r>
        <w:rPr>
          <w:rFonts w:hint="eastAsia" w:ascii="楷体" w:hAnsi="楷体" w:eastAsia="楷体" w:cs="楷体"/>
          <w:sz w:val="30"/>
          <w:szCs w:val="32"/>
          <w:lang w:val="en-US" w:eastAsia="zh-CN"/>
        </w:rPr>
        <w:t>其中，</w:t>
      </w:r>
      <w:r>
        <w:rPr>
          <w:rFonts w:hint="eastAsia" w:ascii="楷体" w:hAnsi="楷体" w:eastAsia="楷体" w:cs="楷体"/>
          <w:sz w:val="30"/>
          <w:szCs w:val="32"/>
        </w:rPr>
        <w:t>星海数据智能中台支持百万级混合任务调度，服务超过150家政企客户</w:t>
      </w:r>
      <w:r>
        <w:rPr>
          <w:rFonts w:hint="eastAsia" w:ascii="楷体" w:hAnsi="楷体" w:eastAsia="楷体" w:cs="楷体"/>
          <w:sz w:val="30"/>
          <w:szCs w:val="32"/>
          <w:lang w:eastAsia="zh-CN"/>
        </w:rPr>
        <w:t>。</w:t>
      </w:r>
      <w:r>
        <w:rPr>
          <w:rFonts w:hint="eastAsia" w:ascii="楷体" w:hAnsi="楷体" w:eastAsia="楷体" w:cs="楷体"/>
          <w:sz w:val="30"/>
          <w:szCs w:val="32"/>
        </w:rPr>
        <w:t>灵泽2.0数据要素平台提供数据确权登记、数据融合计算等功能，服务6个省级、27个地市级数据局进行数据要素市场化拓展</w:t>
      </w:r>
      <w:r>
        <w:rPr>
          <w:rFonts w:hint="eastAsia" w:ascii="楷体" w:hAnsi="楷体" w:eastAsia="楷体" w:cs="楷体"/>
          <w:sz w:val="30"/>
          <w:szCs w:val="32"/>
          <w:lang w:eastAsia="zh-CN"/>
        </w:rPr>
        <w:t>。</w:t>
      </w:r>
      <w:r>
        <w:rPr>
          <w:rFonts w:hint="eastAsia" w:ascii="楷体" w:hAnsi="楷体" w:eastAsia="楷体" w:cs="楷体"/>
          <w:sz w:val="30"/>
          <w:szCs w:val="32"/>
        </w:rPr>
        <w:t>银河数据跨境平台</w:t>
      </w:r>
      <w:r>
        <w:rPr>
          <w:rFonts w:hint="eastAsia" w:ascii="楷体" w:hAnsi="楷体" w:eastAsia="楷体" w:cs="楷体"/>
          <w:sz w:val="30"/>
          <w:szCs w:val="32"/>
          <w:lang w:val="en-US" w:eastAsia="zh-CN"/>
        </w:rPr>
        <w:t>则</w:t>
      </w:r>
      <w:r>
        <w:rPr>
          <w:rFonts w:hint="eastAsia" w:ascii="楷体" w:hAnsi="楷体" w:eastAsia="楷体" w:cs="楷体"/>
          <w:sz w:val="30"/>
          <w:szCs w:val="32"/>
        </w:rPr>
        <w:t>具备数据跨境存储、计算和传输全链路能力，已支持</w:t>
      </w:r>
      <w:r>
        <w:rPr>
          <w:rFonts w:hint="eastAsia" w:ascii="楷体" w:hAnsi="楷体" w:eastAsia="楷体" w:cs="楷体"/>
          <w:sz w:val="30"/>
          <w:szCs w:val="32"/>
          <w:lang w:val="en-US" w:eastAsia="zh-CN"/>
        </w:rPr>
        <w:t>多</w:t>
      </w:r>
      <w:r>
        <w:rPr>
          <w:rFonts w:hint="eastAsia" w:ascii="楷体" w:hAnsi="楷体" w:eastAsia="楷体" w:cs="楷体"/>
          <w:sz w:val="30"/>
          <w:szCs w:val="32"/>
        </w:rPr>
        <w:t>地试点运行。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602" w:firstLineChars="200"/>
        <w:jc w:val="both"/>
        <w:textAlignment w:val="auto"/>
        <w:outlineLvl w:val="1"/>
        <w:rPr>
          <w:rFonts w:hint="eastAsia" w:ascii="楷体" w:hAnsi="楷体" w:eastAsia="楷体" w:cs="楷体"/>
          <w:b w:val="0"/>
          <w:bCs/>
          <w:sz w:val="30"/>
          <w:szCs w:val="32"/>
          <w:lang w:eastAsia="zh-CN"/>
        </w:rPr>
      </w:pP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优势三：</w:t>
      </w:r>
      <w:r>
        <w:rPr>
          <w:rFonts w:hint="eastAsia" w:ascii="楷体" w:hAnsi="楷体" w:eastAsia="楷体" w:cs="楷体"/>
          <w:b/>
          <w:sz w:val="30"/>
          <w:szCs w:val="32"/>
        </w:rPr>
        <w:t>自主研发基础大模型底座，构建开源开放生态体系。</w:t>
      </w:r>
      <w:r>
        <w:rPr>
          <w:rFonts w:hint="eastAsia" w:ascii="楷体" w:hAnsi="楷体" w:eastAsia="楷体" w:cs="楷体"/>
          <w:b w:val="0"/>
          <w:bCs/>
          <w:sz w:val="30"/>
          <w:szCs w:val="32"/>
          <w:lang w:val="en-US" w:eastAsia="zh-CN"/>
        </w:rPr>
        <w:t>首先是，</w:t>
      </w:r>
      <w:r>
        <w:rPr>
          <w:rFonts w:hint="eastAsia" w:ascii="楷体" w:hAnsi="楷体" w:eastAsia="楷体" w:cs="楷体"/>
          <w:b w:val="0"/>
          <w:bCs/>
          <w:sz w:val="30"/>
          <w:szCs w:val="32"/>
        </w:rPr>
        <w:t>全栈自主研发覆盖语义、语音、视觉、多模态的全模态星辰大模型体系</w:t>
      </w:r>
      <w:r>
        <w:rPr>
          <w:rFonts w:hint="eastAsia" w:ascii="楷体" w:hAnsi="楷体" w:eastAsia="楷体" w:cs="楷体"/>
          <w:b w:val="0"/>
          <w:bCs/>
          <w:sz w:val="30"/>
          <w:szCs w:val="32"/>
          <w:lang w:eastAsia="zh-CN"/>
        </w:rPr>
        <w:t>，TeleAI已完成国内首个全国产化万卡万参大模型的研发</w:t>
      </w:r>
      <w:r>
        <w:rPr>
          <w:rFonts w:hint="eastAsia" w:ascii="楷体" w:hAnsi="楷体" w:eastAsia="楷体" w:cs="楷体"/>
          <w:b w:val="0"/>
          <w:bCs/>
          <w:sz w:val="30"/>
          <w:szCs w:val="32"/>
        </w:rPr>
        <w:t>。</w:t>
      </w:r>
      <w:r>
        <w:rPr>
          <w:rFonts w:hint="eastAsia" w:ascii="楷体" w:hAnsi="楷体" w:eastAsia="楷体" w:cs="楷体"/>
          <w:b w:val="0"/>
          <w:bCs/>
          <w:sz w:val="30"/>
          <w:szCs w:val="32"/>
          <w:lang w:val="en-US" w:eastAsia="zh-CN"/>
        </w:rPr>
        <w:t>其次是</w:t>
      </w:r>
      <w:r>
        <w:rPr>
          <w:rFonts w:hint="eastAsia" w:ascii="楷体" w:hAnsi="楷体" w:eastAsia="楷体" w:cs="楷体"/>
          <w:b w:val="0"/>
          <w:bCs/>
          <w:sz w:val="30"/>
          <w:szCs w:val="32"/>
        </w:rPr>
        <w:t>在央企中率先开源多尺寸语音、语义大模型。</w:t>
      </w:r>
      <w:r>
        <w:rPr>
          <w:rFonts w:hint="eastAsia" w:ascii="楷体" w:hAnsi="楷体" w:eastAsia="楷体" w:cs="楷体"/>
          <w:b w:val="0"/>
          <w:bCs/>
          <w:sz w:val="30"/>
          <w:szCs w:val="32"/>
          <w:lang w:val="en-US" w:eastAsia="zh-CN"/>
        </w:rPr>
        <w:t>最后</w:t>
      </w:r>
      <w:r>
        <w:rPr>
          <w:rFonts w:hint="eastAsia" w:ascii="楷体" w:hAnsi="楷体" w:eastAsia="楷体" w:cs="楷体"/>
          <w:b w:val="0"/>
          <w:bCs/>
          <w:sz w:val="30"/>
          <w:szCs w:val="32"/>
        </w:rPr>
        <w:t>是坚持开放合作，持续完善星辰MaaS（模型即服务）服务能力，引入通用、行业大模型64个，集成109个头部厂商模型能力工具</w:t>
      </w:r>
      <w:r>
        <w:rPr>
          <w:rFonts w:hint="eastAsia" w:ascii="楷体" w:hAnsi="楷体" w:eastAsia="楷体" w:cs="楷体"/>
          <w:b w:val="0"/>
          <w:bCs/>
          <w:sz w:val="30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602" w:firstLineChars="200"/>
        <w:jc w:val="both"/>
        <w:textAlignment w:val="auto"/>
        <w:outlineLvl w:val="1"/>
        <w:rPr>
          <w:rFonts w:hint="eastAsia" w:ascii="楷体" w:hAnsi="楷体" w:eastAsia="楷体" w:cs="楷体"/>
          <w:sz w:val="30"/>
          <w:szCs w:val="32"/>
        </w:rPr>
      </w:pP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优势四：</w:t>
      </w:r>
      <w:r>
        <w:rPr>
          <w:rFonts w:hint="eastAsia" w:ascii="楷体" w:hAnsi="楷体" w:eastAsia="楷体" w:cs="楷体"/>
          <w:b/>
          <w:sz w:val="30"/>
          <w:szCs w:val="32"/>
        </w:rPr>
        <w:t>依托海量用户生态，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具备</w:t>
      </w:r>
      <w:r>
        <w:rPr>
          <w:rFonts w:hint="eastAsia" w:ascii="楷体" w:hAnsi="楷体" w:eastAsia="楷体" w:cs="楷体"/>
          <w:b/>
          <w:sz w:val="30"/>
          <w:szCs w:val="32"/>
        </w:rPr>
        <w:t>全域场景</w:t>
      </w:r>
      <w:r>
        <w:rPr>
          <w:rFonts w:hint="eastAsia" w:ascii="楷体" w:hAnsi="楷体" w:eastAsia="楷体" w:cs="楷体"/>
          <w:b/>
          <w:sz w:val="30"/>
          <w:szCs w:val="32"/>
          <w:lang w:val="en-US" w:eastAsia="zh-CN"/>
        </w:rPr>
        <w:t>落地</w:t>
      </w:r>
      <w:r>
        <w:rPr>
          <w:rFonts w:hint="eastAsia" w:ascii="楷体" w:hAnsi="楷体" w:eastAsia="楷体" w:cs="楷体"/>
          <w:b/>
          <w:sz w:val="30"/>
          <w:szCs w:val="32"/>
        </w:rPr>
        <w:t>能力</w:t>
      </w:r>
      <w:r>
        <w:rPr>
          <w:rFonts w:hint="eastAsia" w:ascii="楷体" w:hAnsi="楷体" w:eastAsia="楷体" w:cs="楷体"/>
          <w:sz w:val="30"/>
          <w:szCs w:val="32"/>
        </w:rPr>
        <w:t>。</w:t>
      </w:r>
      <w:r>
        <w:rPr>
          <w:rFonts w:hint="eastAsia" w:ascii="楷体" w:hAnsi="楷体" w:eastAsia="楷体" w:cs="楷体"/>
          <w:b/>
          <w:sz w:val="30"/>
          <w:szCs w:val="32"/>
        </w:rPr>
        <w:t>一方面，以“客户+渠道”优势牵引应用落地</w:t>
      </w:r>
      <w:r>
        <w:rPr>
          <w:rFonts w:hint="eastAsia" w:ascii="楷体" w:hAnsi="楷体" w:eastAsia="楷体" w:cs="楷体"/>
          <w:sz w:val="30"/>
          <w:szCs w:val="32"/>
        </w:rPr>
        <w:t>，拥有超4亿移动用户数、天翼云企业客户数超455万，为AI产品应用推广提供广阔市场空间；持续推进渠道“三化”（自有渠道连锁化、线上渠道智慧化、社会渠道生态化）升级，连锁年销规模破千万，线上AI服务替代传统服务比例超18%，社会渠道达10万家。</w:t>
      </w:r>
      <w:r>
        <w:rPr>
          <w:rFonts w:hint="eastAsia" w:ascii="楷体" w:hAnsi="楷体" w:eastAsia="楷体" w:cs="楷体"/>
          <w:b/>
          <w:sz w:val="30"/>
          <w:szCs w:val="32"/>
        </w:rPr>
        <w:t>另一方面，积极拓展全域场景覆盖，</w:t>
      </w:r>
      <w:r>
        <w:rPr>
          <w:rFonts w:hint="eastAsia" w:ascii="楷体" w:hAnsi="楷体" w:eastAsia="楷体" w:cs="楷体"/>
          <w:sz w:val="30"/>
          <w:szCs w:val="32"/>
        </w:rPr>
        <w:t>对内面向网络运营、客户服务等场景开发应用十余个内部大模型，促进企业降本、提质、增效</w:t>
      </w:r>
      <w:r>
        <w:rPr>
          <w:rFonts w:hint="eastAsia" w:ascii="楷体" w:hAnsi="楷体" w:eastAsia="楷体" w:cs="楷体"/>
          <w:sz w:val="30"/>
          <w:szCs w:val="32"/>
          <w:lang w:eastAsia="zh-CN"/>
        </w:rPr>
        <w:t>。</w:t>
      </w:r>
      <w:r>
        <w:rPr>
          <w:rFonts w:hint="eastAsia" w:ascii="楷体" w:hAnsi="楷体" w:eastAsia="楷体" w:cs="楷体"/>
          <w:sz w:val="30"/>
          <w:szCs w:val="32"/>
          <w:lang w:val="en-US" w:eastAsia="zh-CN"/>
        </w:rPr>
        <w:t>通过</w:t>
      </w:r>
      <w:r>
        <w:rPr>
          <w:rFonts w:hint="eastAsia" w:ascii="楷体" w:hAnsi="楷体" w:eastAsia="楷体" w:cs="楷体"/>
          <w:sz w:val="30"/>
          <w:szCs w:val="32"/>
        </w:rPr>
        <w:t>自研AI节能系统，广泛部署在基站、IT云主机、AB类机房</w:t>
      </w:r>
      <w:r>
        <w:rPr>
          <w:rFonts w:hint="eastAsia" w:ascii="楷体" w:hAnsi="楷体" w:eastAsia="楷体" w:cs="楷体"/>
          <w:sz w:val="30"/>
          <w:szCs w:val="32"/>
          <w:lang w:eastAsia="zh-CN"/>
        </w:rPr>
        <w:t>，</w:t>
      </w:r>
      <w:r>
        <w:rPr>
          <w:rFonts w:hint="eastAsia" w:ascii="楷体" w:hAnsi="楷体" w:eastAsia="楷体" w:cs="楷体"/>
          <w:sz w:val="30"/>
          <w:szCs w:val="32"/>
          <w:lang w:val="en-US" w:eastAsia="zh-CN"/>
        </w:rPr>
        <w:t>实现年均</w:t>
      </w:r>
      <w:r>
        <w:rPr>
          <w:rFonts w:hint="eastAsia" w:ascii="楷体" w:hAnsi="楷体" w:eastAsia="楷体" w:cs="楷体"/>
          <w:sz w:val="30"/>
          <w:szCs w:val="32"/>
        </w:rPr>
        <w:t>智能节电</w:t>
      </w:r>
      <w:r>
        <w:rPr>
          <w:rFonts w:hint="eastAsia" w:ascii="楷体" w:hAnsi="楷体" w:eastAsia="楷体" w:cs="楷体"/>
          <w:sz w:val="30"/>
          <w:szCs w:val="32"/>
          <w:lang w:val="en-US" w:eastAsia="zh-CN"/>
        </w:rPr>
        <w:t>约</w:t>
      </w:r>
      <w:r>
        <w:rPr>
          <w:rFonts w:hint="eastAsia" w:ascii="楷体" w:hAnsi="楷体" w:eastAsia="楷体" w:cs="楷体"/>
          <w:sz w:val="30"/>
          <w:szCs w:val="32"/>
        </w:rPr>
        <w:t>8亿度</w:t>
      </w:r>
      <w:r>
        <w:rPr>
          <w:rFonts w:hint="eastAsia" w:ascii="楷体" w:hAnsi="楷体" w:eastAsia="楷体" w:cs="楷体"/>
          <w:sz w:val="30"/>
          <w:szCs w:val="32"/>
          <w:lang w:eastAsia="zh-CN"/>
        </w:rPr>
        <w:t>。</w:t>
      </w:r>
      <w:r>
        <w:rPr>
          <w:rFonts w:hint="eastAsia" w:ascii="楷体" w:hAnsi="楷体" w:eastAsia="楷体" w:cs="楷体"/>
          <w:sz w:val="30"/>
          <w:szCs w:val="32"/>
        </w:rPr>
        <w:t>对外已面向政务、工业、教育等领域推出50多个场景大模型，重点打造80多个行业大模型和20个行业智能体，提供“算力+平台+数据+模型+应用”的一体化服务</w:t>
      </w:r>
      <w:r>
        <w:rPr>
          <w:rFonts w:hint="eastAsia" w:ascii="楷体" w:hAnsi="楷体" w:eastAsia="楷体" w:cs="楷体"/>
          <w:sz w:val="30"/>
          <w:szCs w:val="32"/>
          <w:lang w:eastAsia="zh-CN"/>
        </w:rPr>
        <w:t>，</w:t>
      </w:r>
      <w:r>
        <w:rPr>
          <w:rFonts w:hint="eastAsia" w:ascii="楷体" w:hAnsi="楷体" w:eastAsia="楷体" w:cs="楷体"/>
          <w:sz w:val="30"/>
          <w:szCs w:val="32"/>
        </w:rPr>
        <w:t>服务客户超1万家；推进“AI+产品”专项行动，加速AI手机、AI云电脑、AI云盘、AI摄像头等十余款产品规模推广。</w:t>
      </w:r>
    </w:p>
    <w:p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sz w:val="30"/>
          <w:szCs w:val="40"/>
          <w:lang w:val="en-US" w:eastAsia="zh-CN"/>
        </w:rPr>
      </w:pPr>
    </w:p>
    <w:p>
      <w:pPr>
        <w:jc w:val="left"/>
        <w:rPr>
          <w:rFonts w:hint="default" w:ascii="楷体" w:hAnsi="楷体" w:eastAsia="楷体" w:cs="楷体"/>
          <w:b/>
          <w:bCs/>
          <w:sz w:val="32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44"/>
          <w:lang w:val="en-US" w:eastAsia="zh-CN"/>
        </w:rPr>
        <w:t>中国电信加快</w:t>
      </w:r>
      <w:r>
        <w:rPr>
          <w:rFonts w:hint="eastAsia" w:ascii="楷体" w:hAnsi="楷体" w:eastAsia="楷体" w:cs="楷体"/>
          <w:b/>
          <w:bCs/>
          <w:sz w:val="32"/>
          <w:szCs w:val="44"/>
        </w:rPr>
        <w:t>发展人工智能</w:t>
      </w:r>
      <w:r>
        <w:rPr>
          <w:rFonts w:hint="eastAsia" w:ascii="楷体" w:hAnsi="楷体" w:eastAsia="楷体" w:cs="楷体"/>
          <w:b/>
          <w:bCs/>
          <w:sz w:val="32"/>
          <w:szCs w:val="44"/>
          <w:lang w:val="en-US" w:eastAsia="zh-CN"/>
        </w:rPr>
        <w:t>亟需破解的痛点</w:t>
      </w:r>
    </w:p>
    <w:p>
      <w:pPr>
        <w:numPr>
          <w:ilvl w:val="0"/>
          <w:numId w:val="0"/>
        </w:numPr>
        <w:ind w:firstLine="602" w:firstLineChars="200"/>
        <w:rPr>
          <w:rFonts w:hint="eastAsia" w:ascii="楷体" w:hAnsi="楷体" w:eastAsia="楷体" w:cs="楷体"/>
          <w:sz w:val="30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6"/>
          <w:lang w:val="en-US" w:eastAsia="zh-CN"/>
        </w:rPr>
        <w:t>一是需要进一步提升基座大模型技术研发能力</w:t>
      </w:r>
    </w:p>
    <w:p>
      <w:pPr>
        <w:numPr>
          <w:ilvl w:val="0"/>
          <w:numId w:val="0"/>
        </w:numPr>
        <w:ind w:firstLine="600" w:firstLineChars="200"/>
        <w:rPr>
          <w:rFonts w:hint="eastAsia" w:ascii="楷体" w:hAnsi="楷体" w:eastAsia="楷体" w:cs="楷体"/>
          <w:sz w:val="30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0"/>
          <w:szCs w:val="36"/>
          <w:lang w:val="en-US" w:eastAsia="zh-CN"/>
        </w:rPr>
        <w:t>目前中国电信的开源大模型性能和影响力弱于头部企业，IDC报告显示星辰大模型在国内市场应用份额排名第六（2024年），属于第二梯队。当前AI大模型技术进步十分迅速，中国电信尤其需要在算力自主化、数据治理、产品适配和算法创新上加快突破，进一步加强技术研发和生态建设，提升AI技术的商业化应用水平，以全面缩小与全球领先人工智能企业的差距。</w:t>
      </w:r>
    </w:p>
    <w:p>
      <w:pPr>
        <w:widowControl w:val="0"/>
        <w:numPr>
          <w:ilvl w:val="0"/>
          <w:numId w:val="0"/>
        </w:numPr>
        <w:ind w:leftChars="0" w:firstLine="602" w:firstLineChars="200"/>
        <w:jc w:val="both"/>
        <w:rPr>
          <w:rFonts w:hint="default" w:ascii="楷体" w:hAnsi="楷体" w:eastAsia="楷体" w:cs="楷体"/>
          <w:b/>
          <w:bCs/>
          <w:sz w:val="30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6"/>
          <w:lang w:val="en-US" w:eastAsia="zh-CN"/>
        </w:rPr>
        <w:t>二是需要加强打造顶尖AI技术专家和AI落地应用人才队伍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" w:hAnsi="楷体" w:eastAsia="楷体" w:cs="楷体"/>
          <w:sz w:val="30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0"/>
          <w:szCs w:val="36"/>
          <w:lang w:val="en-US" w:eastAsia="zh-CN"/>
        </w:rPr>
        <w:t xml:space="preserve">    目前，中国电信的AI人才储备还不能满足2025年两会有关持续推动“AI+产业”融合应用协同发展的需要，特别是缺少顶尖AI专家、AI工程化人才和AI实际场景应用落地人才。中国电信需要通过校企合作和灵活用人制度不断吸引和培养AI人才。</w:t>
      </w:r>
    </w:p>
    <w:p>
      <w:pPr>
        <w:numPr>
          <w:ilvl w:val="0"/>
          <w:numId w:val="0"/>
        </w:numPr>
        <w:ind w:firstLine="602" w:firstLineChars="200"/>
        <w:rPr>
          <w:rFonts w:hint="default" w:ascii="楷体" w:hAnsi="楷体" w:eastAsia="楷体" w:cs="楷体"/>
          <w:b/>
          <w:bCs/>
          <w:sz w:val="30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6"/>
          <w:lang w:val="en-US" w:eastAsia="zh-CN"/>
        </w:rPr>
        <w:t>三是需要进一步加强高质量行业数据集建设，赋能行业智能化升级</w:t>
      </w:r>
      <w:bookmarkStart w:id="0" w:name="_GoBack"/>
      <w:bookmarkEnd w:id="0"/>
    </w:p>
    <w:p>
      <w:pPr>
        <w:numPr>
          <w:ilvl w:val="0"/>
          <w:numId w:val="0"/>
        </w:numPr>
        <w:ind w:firstLine="560"/>
        <w:rPr>
          <w:rFonts w:hint="eastAsia" w:ascii="楷体" w:hAnsi="楷体" w:eastAsia="楷体" w:cs="楷体"/>
          <w:sz w:val="30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0"/>
          <w:szCs w:val="36"/>
          <w:lang w:val="en-US" w:eastAsia="zh-CN"/>
        </w:rPr>
        <w:t>面向大模型落地的各个行业数据集，受到行业数据隐私保护和数据安全合规性要求影响，不能满足通用大模型在垂直领域应用落地的要求。中国电信还需要进一步加强与行业数据伙伴合作，解决数据分散且标注成本高的问题，共同开发建设高质量行业数据集。</w:t>
      </w:r>
    </w:p>
    <w:p>
      <w:pPr>
        <w:numPr>
          <w:ilvl w:val="0"/>
          <w:numId w:val="0"/>
        </w:numPr>
        <w:ind w:firstLine="560"/>
        <w:rPr>
          <w:rFonts w:hint="eastAsia" w:ascii="楷体" w:hAnsi="楷体" w:eastAsia="楷体" w:cs="楷体"/>
          <w:sz w:val="30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71708E"/>
    <w:rsid w:val="0171708E"/>
    <w:rsid w:val="0EFA12F9"/>
    <w:rsid w:val="0FD336E9"/>
    <w:rsid w:val="10D32D80"/>
    <w:rsid w:val="1A5204BD"/>
    <w:rsid w:val="1BC6259D"/>
    <w:rsid w:val="1C802EE2"/>
    <w:rsid w:val="1D2F096E"/>
    <w:rsid w:val="2BA928B4"/>
    <w:rsid w:val="2C1A3E08"/>
    <w:rsid w:val="2E3572F6"/>
    <w:rsid w:val="34EC41DF"/>
    <w:rsid w:val="35566799"/>
    <w:rsid w:val="36DC5481"/>
    <w:rsid w:val="38F51C1A"/>
    <w:rsid w:val="3903463C"/>
    <w:rsid w:val="3D784FED"/>
    <w:rsid w:val="432B5BCB"/>
    <w:rsid w:val="433F4264"/>
    <w:rsid w:val="529350AB"/>
    <w:rsid w:val="594F5D97"/>
    <w:rsid w:val="5A4F7C19"/>
    <w:rsid w:val="6A3A40C8"/>
    <w:rsid w:val="760A7A23"/>
    <w:rsid w:val="771F6B20"/>
    <w:rsid w:val="7C0B0025"/>
    <w:rsid w:val="7FD0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2025-03-19T02:33:00Z</dcterms:created>
  <dc:creator>张小东</dc:creator>
  <cp:lastModifiedBy>张小东</cp:lastModifiedBy>
  <dcterms:modified xsi:type="dcterms:W3CDTF">2025-03-24T03:52:49Z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BA5D18A038BC409586F1112FBDF3EB14_13</vt:lpwstr>
  </property>
</Properties>
</file>