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8CA0">
      <w:pPr>
        <w:jc w:val="center"/>
        <w:rPr>
          <w:rFonts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中国电信大模型卓越产品市场发展策略</w:t>
      </w:r>
    </w:p>
    <w:p w14:paraId="2DF7E01E">
      <w:pPr>
        <w:jc w:val="center"/>
        <w:rPr>
          <w:rFonts w:ascii="黑体" w:hAnsi="黑体" w:eastAsia="黑体" w:cs="黑体"/>
          <w:sz w:val="36"/>
          <w:szCs w:val="36"/>
        </w:rPr>
      </w:pPr>
    </w:p>
    <w:p w14:paraId="5DDC9B01">
      <w:pPr>
        <w:numPr>
          <w:ilvl w:val="255"/>
          <w:numId w:val="0"/>
        </w:numPr>
        <w:ind w:firstLine="641" w:firstLineChars="200"/>
        <w:jc w:val="left"/>
        <w:rPr>
          <w:rFonts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2025年世界人工智能大会（WAIC）热度空前，尤其是在大模型商业化和场景应用领域关注度持续攀升。然而，受经济下行压力，政企客户体验前沿技术的消费意愿大幅下降，购买带有实际降本增效的产品几乎成为市场唯一需求，大模型市场呈现“关注高、营收低”的特征。从需求侧看，百万以上商单用户注重大模型带来的实际经济效果与运营保障，十万级用户则呈现需求散点化特征。综合电信大模型产品特征，本文重点聚焦</w:t>
      </w:r>
      <w:r>
        <w:rPr>
          <w:rFonts w:ascii="华文仿宋" w:hAnsi="华文仿宋" w:eastAsia="华文仿宋" w:cs="华文仿宋"/>
          <w:b/>
          <w:bCs/>
          <w:sz w:val="32"/>
          <w:szCs w:val="32"/>
        </w:rPr>
        <w:t>高单价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大模型产品的发展策略，以“0号客户”路径为牵引，综合市场需求、竞争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  <w:lang w:val="en-GB"/>
        </w:rPr>
        <w:t>势态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等，建议构建大模型卓越产品，以点带面，整合力量，加速中国电信产品升级，拓展未来市场空间。</w:t>
      </w:r>
    </w:p>
    <w:p w14:paraId="6B986C36">
      <w:pPr>
        <w:ind w:firstLine="641" w:firstLineChars="200"/>
        <w:rPr>
          <w:rFonts w:ascii="华文仿宋" w:hAnsi="华文仿宋" w:eastAsia="华文仿宋" w:cs="华文仿宋"/>
          <w:b/>
          <w:bCs/>
          <w:sz w:val="32"/>
          <w:szCs w:val="32"/>
        </w:rPr>
      </w:pPr>
    </w:p>
    <w:p w14:paraId="23CB7AE4">
      <w:pPr>
        <w:numPr>
          <w:ilvl w:val="0"/>
          <w:numId w:val="1"/>
        </w:numPr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大模型产品现状</w:t>
      </w:r>
    </w:p>
    <w:p w14:paraId="5A9055A9">
      <w:pPr>
        <w:numPr>
          <w:ilvl w:val="0"/>
          <w:numId w:val="2"/>
        </w:numPr>
        <w:spacing w:line="360" w:lineRule="auto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行业现状：大模型产品商业化未成熟，多作为核心产品附属能力，ToC模式盈利受限</w:t>
      </w:r>
    </w:p>
    <w:p w14:paraId="3CD087E2">
      <w:pPr>
        <w:spacing w:line="360" w:lineRule="auto"/>
        <w:ind w:firstLine="641" w:firstLineChars="200"/>
        <w:rPr>
          <w:rFonts w:ascii="华文仿宋" w:hAnsi="华文仿宋" w:eastAsia="华文仿宋" w:cs="华文仿宋"/>
          <w:b/>
          <w:bCs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一是大模型产品并未独立形成收入规模，多以核心产品的附属能力提供</w:t>
      </w:r>
      <w:r>
        <w:rPr>
          <w:rFonts w:ascii="华文仿宋" w:hAnsi="华文仿宋" w:eastAsia="华文仿宋" w:cs="华文仿宋"/>
          <w:b/>
          <w:bCs/>
          <w:sz w:val="32"/>
          <w:szCs w:val="32"/>
        </w:rPr>
        <w:t>。</w:t>
      </w:r>
      <w:r>
        <w:rPr>
          <w:rFonts w:hint="eastAsia" w:ascii="华文仿宋" w:hAnsi="华文仿宋" w:eastAsia="华文仿宋" w:cs="华文仿宋"/>
          <w:sz w:val="32"/>
          <w:szCs w:val="32"/>
        </w:rPr>
        <w:t>如阿里依托大模型热度推动2025年Q1云业务收入同比增长18%；谷歌和百度通过大模型与搜索业务的高度适配，分别带动百度App月活用户增长和搜索体验改善，谷歌AI概览在全球范围内推动搜索查询量增长超10%，并进一步促进两者云业务收入同比增长28%和42%。尽管大模型显著助力核心业务增长，但大模型产品的独立收入占比极低，各大巨头均避免提及。</w:t>
      </w:r>
      <w:r>
        <w:commentReference w:id="0"/>
      </w:r>
      <w:r>
        <w:rPr>
          <w:rFonts w:hint="eastAsia" w:ascii="华文仿宋" w:hAnsi="华文仿宋" w:eastAsia="华文仿宋" w:cs="华文仿宋"/>
          <w:sz w:val="32"/>
          <w:szCs w:val="32"/>
          <w:u w:val="dotted"/>
        </w:rPr>
        <w:t>二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是ToC标准化大模型产品变现困难</w:t>
      </w:r>
      <w:r>
        <w:rPr>
          <w:rFonts w:hint="eastAsia" w:ascii="华文仿宋" w:hAnsi="华文仿宋" w:eastAsia="华文仿宋" w:cs="华文仿宋"/>
          <w:sz w:val="32"/>
          <w:szCs w:val="32"/>
        </w:rPr>
        <w:t>。其主要盈利模式为API调用和订阅制，但均难以实现盈利：API调用深陷价格战，如2024年DeepSeek-V2 API定价仅为国际云厂商的约5%，引发全行业降价，进一步压缩盈利空间；订阅制方面，头部厂商亦持续亏损，如OpenAI 2024年化收入约37亿美元，其中75%来自ChatGPT订阅，但全年仍亏损50亿美元，且预计2023–2028年累计亏损达440亿美元。</w:t>
      </w:r>
    </w:p>
    <w:p w14:paraId="316BC2B4">
      <w:pPr>
        <w:numPr>
          <w:ilvl w:val="0"/>
          <w:numId w:val="2"/>
        </w:numPr>
        <w:spacing w:line="360" w:lineRule="auto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中国电信：大模型变现规模不足，自研模型以示范为主，深度定制化业务进展有限</w:t>
      </w:r>
    </w:p>
    <w:p w14:paraId="723BEC3D">
      <w:pPr>
        <w:spacing w:line="360" w:lineRule="auto"/>
        <w:ind w:firstLine="641" w:firstLineChars="200"/>
        <w:rPr>
          <w:rFonts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一是大模型应用变现规模不足</w:t>
      </w:r>
      <w:r>
        <w:rPr>
          <w:rFonts w:hint="eastAsia" w:ascii="华文仿宋" w:hAnsi="华文仿宋" w:eastAsia="华文仿宋" w:cs="华文仿宋"/>
          <w:sz w:val="32"/>
          <w:szCs w:val="32"/>
        </w:rPr>
        <w:t>。由于RAG及写作类大模型应用（如知识问答、公文写作等）竞争过于激烈，该类产品普遍商单金额偏小，或在合同项目中仅作为增值模块存在，难以形成规模效应和稳定收入来源。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二是自研垂直模型落地转化处于标杆打造阶段</w:t>
      </w:r>
      <w:r>
        <w:rPr>
          <w:rFonts w:hint="eastAsia" w:ascii="华文仿宋" w:hAnsi="华文仿宋" w:eastAsia="华文仿宋" w:cs="华文仿宋"/>
          <w:sz w:val="32"/>
          <w:szCs w:val="32"/>
        </w:rPr>
        <w:t>。电信垂直领域大模型发展迅速，但多以打造行业标杆为主，起到了良好的示范作用。但在拓</w:t>
      </w:r>
      <w:bookmarkStart w:id="0" w:name="_GoBack"/>
      <w:bookmarkEnd w:id="0"/>
      <w:r>
        <w:rPr>
          <w:rFonts w:hint="eastAsia" w:ascii="华文仿宋" w:hAnsi="华文仿宋" w:eastAsia="华文仿宋" w:cs="华文仿宋"/>
          <w:sz w:val="32"/>
          <w:szCs w:val="32"/>
        </w:rPr>
        <w:t>展政企市场时，缺少量化的经济成效案例，用户对大模型带来业务提升的实际价值感知不足，难以转化为购买意愿。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三是开发运营一体化能力不足。</w:t>
      </w:r>
      <w:r>
        <w:rPr>
          <w:rFonts w:hint="eastAsia" w:ascii="华文仿宋" w:hAnsi="华文仿宋" w:eastAsia="华文仿宋" w:cs="华文仿宋"/>
          <w:sz w:val="32"/>
          <w:szCs w:val="32"/>
        </w:rPr>
        <w:t>省公司已具备较强产品二开能力和AI人才基础，但在面向客户需求的深度定制化大模型产品进展有限，AI公司支撑力度不够，用户对产品信心不足，尚未形成有效的业务增长点。</w:t>
      </w:r>
    </w:p>
    <w:p w14:paraId="4349EF3A">
      <w:pPr>
        <w:ind w:firstLine="560" w:firstLineChars="200"/>
        <w:rPr>
          <w:rFonts w:ascii="华文仿宋" w:hAnsi="华文仿宋" w:eastAsia="华文仿宋" w:cs="华文仿宋"/>
          <w:sz w:val="28"/>
          <w:szCs w:val="28"/>
        </w:rPr>
      </w:pPr>
    </w:p>
    <w:p w14:paraId="007A6BC0">
      <w:pPr>
        <w:numPr>
          <w:ilvl w:val="0"/>
          <w:numId w:val="1"/>
        </w:numPr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大模型产品收益困境分析</w:t>
      </w:r>
    </w:p>
    <w:p w14:paraId="299E84C4">
      <w:pPr>
        <w:numPr>
          <w:ilvl w:val="0"/>
          <w:numId w:val="3"/>
        </w:numPr>
        <w:ind w:left="0" w:firstLine="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供给侧原因：产品技术能力与价值呈现不足，难以有效支撑市场拓展</w:t>
      </w:r>
    </w:p>
    <w:p w14:paraId="205ED82D">
      <w:pPr>
        <w:numPr>
          <w:ilvl w:val="255"/>
          <w:numId w:val="0"/>
        </w:numPr>
        <w:ind w:firstLine="641" w:firstLineChars="200"/>
        <w:rPr>
          <w:rFonts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一是当前大模型能力尚不足，效果未达预期。</w:t>
      </w:r>
      <w:r>
        <w:rPr>
          <w:rFonts w:hint="eastAsia" w:ascii="华文仿宋" w:hAnsi="华文仿宋" w:eastAsia="华文仿宋" w:cs="华文仿宋"/>
          <w:sz w:val="32"/>
          <w:szCs w:val="32"/>
        </w:rPr>
        <w:t>据《斯坦福2025年AI指数报告》显示，近三年大模型参数规模虽增长超百倍，但在实际业务中的准确率提升不足30%，能力提升未有效转化为场景价值。同时，AI为企业带来的效益仍处于较低水平，如受访企业中49%在服务运营环节实现成本节约但节约幅度低于10%，71%在市场营销环节实现收入增长但增幅不足5%。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二是对需求识别和价值呈现不清晰，产品供给缺乏有效牵引。</w:t>
      </w:r>
      <w:r>
        <w:rPr>
          <w:rFonts w:hint="eastAsia" w:ascii="华文仿宋" w:hAnsi="华文仿宋" w:eastAsia="华文仿宋" w:cs="华文仿宋"/>
          <w:sz w:val="32"/>
          <w:szCs w:val="32"/>
        </w:rPr>
        <w:t>调研结果表明，约80%客户对自身业务痛点及大模型应用场景缺乏明确认知，而电信自身亦未建立完善的产品价值量化体系。当前，大模型产品多以反复沟通、多次迭代方式摸索客户需求，交付周期长、转化效率低，难以形成标准化、可规模化的市场供给能力。</w:t>
      </w:r>
    </w:p>
    <w:p w14:paraId="49B77C16">
      <w:pPr>
        <w:numPr>
          <w:ilvl w:val="0"/>
          <w:numId w:val="3"/>
        </w:numPr>
        <w:ind w:left="0" w:firstLine="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需求侧原因：头部市场以自研为主，中腰部市场呈观望状态，既有生态锁定效应突出</w:t>
      </w:r>
    </w:p>
    <w:p w14:paraId="79152CBF">
      <w:pPr>
        <w:ind w:firstLine="641" w:firstLineChars="200"/>
        <w:rPr>
          <w:rFonts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一是头部企业倾向自研或绑定业内龙头大模型，外购大模型产品意愿有限。</w:t>
      </w:r>
      <w:r>
        <w:rPr>
          <w:rFonts w:hint="eastAsia" w:ascii="华文仿宋" w:hAnsi="华文仿宋" w:eastAsia="华文仿宋" w:cs="华文仿宋"/>
          <w:sz w:val="32"/>
          <w:szCs w:val="32"/>
        </w:rPr>
        <w:t>大型头部企业出于数据安全、技术可控与战略自主考虑，普遍选择自建行业专属模型或与DeepSeek等领先生态厂商深度合作。例如，中国核工业集团自研“龙吟·万界”模型，中国石油联合科大讯飞构建“昆仑”模型，国家管网集团部署DeepSeek模型。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二是地方企业，尤其是国有企业数字化转型意愿强烈，但付费意愿不足。</w:t>
      </w:r>
      <w:r>
        <w:rPr>
          <w:rFonts w:hint="eastAsia" w:ascii="华文仿宋" w:hAnsi="华文仿宋" w:eastAsia="华文仿宋" w:cs="华文仿宋"/>
          <w:sz w:val="32"/>
          <w:szCs w:val="32"/>
        </w:rPr>
        <w:t>受政策导向和绩效考核驱动，地方国企普遍具备较强数字化转型意愿，但尚未有效转化为采购需求。</w:t>
      </w:r>
      <w:commentRangeStart w:id="1"/>
      <w:r>
        <w:rPr>
          <w:rFonts w:hint="eastAsia" w:ascii="华文仿宋" w:hAnsi="华文仿宋" w:eastAsia="华文仿宋" w:cs="华文仿宋"/>
          <w:sz w:val="32"/>
          <w:szCs w:val="32"/>
        </w:rPr>
        <w:t>地方国企虽具备资金能力，但对通用型AI产品应用价值存疑，更关注具备明确投资回报预期的垂直化产品方案。</w:t>
      </w:r>
      <w:commentRangeEnd w:id="1"/>
      <w:r>
        <w:commentReference w:id="1"/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三是既有生态存在锁定效应，市场替代空间受限。</w:t>
      </w:r>
      <w:r>
        <w:rPr>
          <w:rFonts w:hint="eastAsia" w:ascii="华文仿宋" w:hAnsi="华文仿宋" w:eastAsia="华文仿宋" w:cs="华文仿宋"/>
          <w:sz w:val="32"/>
          <w:szCs w:val="32"/>
        </w:rPr>
        <w:t>当前客户侧，尤其是政企客户群体，普遍存在较强的生态绑定效应。尽管部分客户积极关注中国电信大模型产品，但由于其现有数字化平台和业务系统已与其他主流厂商深度绑定，整体架构倾向于在原有生态内迭代升级，实际采购替代性方案的意愿较低。</w:t>
      </w:r>
    </w:p>
    <w:p w14:paraId="63E2FDF7">
      <w:pPr>
        <w:rPr>
          <w:rFonts w:ascii="华文仿宋" w:hAnsi="华文仿宋" w:eastAsia="华文仿宋" w:cs="华文仿宋"/>
          <w:sz w:val="32"/>
          <w:szCs w:val="32"/>
        </w:rPr>
      </w:pPr>
    </w:p>
    <w:p w14:paraId="6B8594FC">
      <w:pPr>
        <w:numPr>
          <w:ilvl w:val="0"/>
          <w:numId w:val="1"/>
        </w:numPr>
        <w:rPr>
          <w:rFonts w:ascii="华文仿宋" w:hAnsi="华文仿宋" w:eastAsia="华文仿宋" w:cs="华文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高单价大模型产品布局建议：以构建大模型卓越产品为目标，聚焦环形产品，依托“0号客户”路径验证收益，抢占重点领域市场，加速大模型产品扭亏为盈</w:t>
      </w:r>
    </w:p>
    <w:p w14:paraId="15FAD958">
      <w:pPr>
        <w:numPr>
          <w:ilvl w:val="0"/>
          <w:numId w:val="4"/>
        </w:numPr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构建大模型卓越产品：重点关注地市级政府与企业需求，坚持产品打造与运营维护并重，以点带面建立高单价产品的稳定运行模式</w:t>
      </w:r>
    </w:p>
    <w:p w14:paraId="6F029021">
      <w:pPr>
        <w:numPr>
          <w:ilvl w:val="255"/>
          <w:numId w:val="0"/>
        </w:numPr>
        <w:ind w:firstLine="640" w:firstLineChars="200"/>
        <w:rPr>
          <w:rFonts w:ascii="华文仿宋" w:hAnsi="华文仿宋" w:eastAsia="华文仿宋" w:cs="华文仿宋"/>
          <w:b w:val="0"/>
          <w:bCs w:val="0"/>
          <w:sz w:val="32"/>
          <w:szCs w:val="32"/>
        </w:rPr>
      </w:pPr>
      <w:r>
        <w:rPr>
          <w:rFonts w:hint="eastAsia" w:ascii="华文仿宋" w:hAnsi="华文仿宋" w:eastAsia="华文仿宋" w:cs="华文仿宋"/>
          <w:b w:val="0"/>
          <w:bCs w:val="0"/>
          <w:sz w:val="32"/>
          <w:szCs w:val="32"/>
        </w:rPr>
        <w:t>地市级政府与企业</w:t>
      </w:r>
      <w:r>
        <w:rPr>
          <w:rFonts w:hint="eastAsia" w:ascii="华文仿宋" w:hAnsi="华文仿宋" w:eastAsia="华文仿宋" w:cs="华文仿宋"/>
          <w:sz w:val="32"/>
          <w:szCs w:val="32"/>
        </w:rPr>
        <w:t>自研能力较弱，采购需求旺盛，且具备百万级大模型产品采购能力。若产品能带来显著的营收提升或成本降低效益，这类客户愿意付出更高价格。与省级客户相比，地市级客户数量更多、采购意愿更强，且</w:t>
      </w:r>
      <w:r>
        <w:rPr>
          <w:rFonts w:ascii="华文仿宋" w:hAnsi="华文仿宋" w:eastAsia="华文仿宋" w:cs="华文仿宋"/>
          <w:sz w:val="32"/>
          <w:szCs w:val="32"/>
        </w:rPr>
        <w:t>需求相对同质、</w:t>
      </w:r>
      <w:r>
        <w:rPr>
          <w:rFonts w:hint="eastAsia" w:ascii="华文仿宋" w:hAnsi="华文仿宋" w:eastAsia="华文仿宋" w:cs="华文仿宋"/>
          <w:sz w:val="32"/>
          <w:szCs w:val="32"/>
        </w:rPr>
        <w:t>产品复用性高，是切入高单价市场的优先突破口。因此，电信应集中团队与资源，打造收益效果明确、运营维护到位的大模型卓越产品，以实际商单成果树立客户信心并吸引更多客户采购。</w:t>
      </w:r>
    </w:p>
    <w:p w14:paraId="225AE000">
      <w:pPr>
        <w:numPr>
          <w:ilvl w:val="0"/>
          <w:numId w:val="4"/>
        </w:numPr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聚焦环形产品：避核心、避通用，锚定电信优势场景快速落地</w:t>
      </w:r>
    </w:p>
    <w:p w14:paraId="0A71671D">
      <w:pPr>
        <w:pStyle w:val="2"/>
        <w:ind w:firstLine="640" w:firstLineChars="200"/>
        <w:rPr>
          <w:rFonts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sz w:val="32"/>
          <w:szCs w:val="32"/>
        </w:rPr>
        <w:t>中国电信大模型卓越产品应优先聚焦“环形产品”：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一是前期尽量避开核心业务系统改造。</w:t>
      </w:r>
      <w:r>
        <w:rPr>
          <w:rFonts w:hint="eastAsia" w:ascii="华文仿宋" w:hAnsi="华文仿宋" w:eastAsia="华文仿宋" w:cs="华文仿宋"/>
          <w:sz w:val="32"/>
          <w:szCs w:val="32"/>
        </w:rPr>
        <w:t>核心系统对稳定性、可控性、定制化要求高，用户对风险容忍度低，大模型能力尚难满足；同时其与现有流程和厂商方案深度绑定，迁移成本高、替换阻力大，竞争壁垒高，不适于竞争前期布局。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二是不参与通用红海竞争。</w:t>
      </w:r>
      <w:r>
        <w:rPr>
          <w:rFonts w:hint="eastAsia" w:ascii="华文仿宋" w:hAnsi="华文仿宋" w:eastAsia="华文仿宋" w:cs="华文仿宋"/>
          <w:sz w:val="32"/>
          <w:szCs w:val="32"/>
        </w:rPr>
        <w:t>通用问答、公文写作等基础场景已被互联网巨头充分覆盖，产品同质化严重，价格竞争激烈，用户阈值高，电信缺乏规模优势，盈利难度大。</w:t>
      </w: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三是聚焦电信自身独特优势。</w:t>
      </w:r>
      <w:r>
        <w:rPr>
          <w:rFonts w:hint="eastAsia" w:ascii="华文仿宋" w:hAnsi="华文仿宋" w:eastAsia="华文仿宋" w:cs="华文仿宋"/>
          <w:sz w:val="32"/>
          <w:szCs w:val="32"/>
        </w:rPr>
        <w:t>依托算力、云网、数据、客户触点等资源禀赋，优先切入电信具备独特服务能力、可直接降本增效的场景，打造交付可控、效果可证、具备行业壁垒的特色大模型产品方案。</w:t>
      </w:r>
    </w:p>
    <w:p w14:paraId="1046E553">
      <w:pPr>
        <w:numPr>
          <w:ilvl w:val="0"/>
          <w:numId w:val="4"/>
        </w:numPr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推行“0号客户”路径：内验能力、外塑标杆</w:t>
      </w:r>
    </w:p>
    <w:p w14:paraId="0E9DDB00">
      <w:pPr>
        <w:pStyle w:val="2"/>
        <w:ind w:firstLine="641" w:firstLineChars="200"/>
        <w:rPr>
          <w:rFonts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“0号客户”路径是指企业将自身作为首个服务对象，优先运用大模型解决内部实际问题。在验证价值、积累能力后，再将成熟方案转化为对外的产品、业务或服务进行复制推广</w:t>
      </w:r>
      <w:r>
        <w:rPr>
          <w:rFonts w:hint="eastAsia" w:ascii="华文仿宋" w:hAnsi="华文仿宋" w:eastAsia="华文仿宋" w:cs="华文仿宋"/>
          <w:sz w:val="32"/>
          <w:szCs w:val="32"/>
        </w:rPr>
        <w:t>。由于高单价大模型的成本高，用户对于投资回报率与投资回报周期都十分敏感。电信应重点梳理内部大模型产品的成功实践经验，明确成本、收益、回报期等关键指标，直观向潜在客户展示验证方案的可用性与真实价值，降低客户的采购疑虑与试错成本，增强付费意愿。</w:t>
      </w:r>
    </w:p>
    <w:p w14:paraId="11F0A8AF">
      <w:pPr>
        <w:numPr>
          <w:ilvl w:val="255"/>
          <w:numId w:val="0"/>
        </w:numPr>
        <w:rPr>
          <w:rFonts w:ascii="黑体" w:hAnsi="黑体" w:eastAsia="黑体" w:cs="黑体"/>
          <w:b/>
          <w:bCs/>
          <w:sz w:val="32"/>
          <w:szCs w:val="32"/>
        </w:rPr>
      </w:pPr>
    </w:p>
    <w:p w14:paraId="50EE7469">
      <w:pPr>
        <w:numPr>
          <w:ilvl w:val="255"/>
          <w:numId w:val="0"/>
        </w:numPr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附：推荐卓越产品研发方向</w:t>
      </w:r>
    </w:p>
    <w:p w14:paraId="73F7D08B">
      <w:pPr>
        <w:ind w:firstLine="641" w:firstLineChars="200"/>
        <w:rPr>
          <w:rFonts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一是AI智能运维（AIOps），面向有自有机房、但AI能力薄弱的中腰部客户，支持私有化/混合云灵活部署的智能运维方案，快速切入可复制市场。</w:t>
      </w:r>
      <w:r>
        <w:rPr>
          <w:rFonts w:hint="eastAsia" w:ascii="华文仿宋" w:hAnsi="华文仿宋" w:eastAsia="华文仿宋" w:cs="华文仿宋"/>
          <w:sz w:val="32"/>
          <w:szCs w:val="32"/>
        </w:rPr>
        <w:t>据调研显示，城商行、地方国企等在IT运维智能化上存在实际痛点，普遍缺乏AI开发和运维能力，对外采具备现实需求，市场空间显著，具备较强规模拓展潜力。中国电信在AIOps领域具备自用样板、算力和运维管理经验优势，能够以“电信级”标准提供更贴近行业需求的AIOps方案，兼顾成本、交付速度和效果验证。</w:t>
      </w:r>
    </w:p>
    <w:p w14:paraId="6D43C1E2">
      <w:pPr>
        <w:ind w:firstLine="641" w:firstLineChars="200"/>
        <w:rPr>
          <w:rFonts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二是AI反诈系统，基于翼安“96110反诈”平台等经验，升级AI能力，配合私有云部署抢占地方政府、公安和企事业单位市场</w:t>
      </w:r>
      <w:r>
        <w:rPr>
          <w:rFonts w:hint="eastAsia" w:ascii="华文仿宋" w:hAnsi="华文仿宋" w:eastAsia="华文仿宋" w:cs="华文仿宋"/>
          <w:sz w:val="32"/>
          <w:szCs w:val="32"/>
        </w:rPr>
        <w:t>。政府和公安体系对AI反诈系统需求强烈，中国电信作为运营商央企具有大量通信数据、网络控制能力、一体化“云-网-边-端”技术平台和国家云安全底座等天然资源禀赋和竞争优势，同时凭借翼安“96110反诈”平台实施经验、省市级政企资源和运维保障能力，在地方反诈中心、公安体系和基层事业单位等需求部门具有广阔市场空间。</w:t>
      </w:r>
    </w:p>
    <w:p w14:paraId="03155F02">
      <w:pPr>
        <w:ind w:firstLine="641" w:firstLineChars="200"/>
        <w:rPr>
          <w:rFonts w:ascii="华文仿宋" w:hAnsi="华文仿宋" w:eastAsia="华文仿宋" w:cs="华文仿宋"/>
          <w:sz w:val="32"/>
          <w:szCs w:val="32"/>
        </w:rPr>
      </w:pPr>
      <w:r>
        <w:rPr>
          <w:rFonts w:hint="eastAsia" w:ascii="华文仿宋" w:hAnsi="华文仿宋" w:eastAsia="华文仿宋" w:cs="华文仿宋"/>
          <w:b/>
          <w:bCs/>
          <w:sz w:val="32"/>
          <w:szCs w:val="32"/>
        </w:rPr>
        <w:t>三是研发云平台已在中国电信内部规模化验证，效果可证、能力成熟，具备向外部市场规模复制的条件与优势</w:t>
      </w:r>
      <w:r>
        <w:rPr>
          <w:rFonts w:hint="eastAsia" w:ascii="华文仿宋" w:hAnsi="华文仿宋" w:eastAsia="华文仿宋" w:cs="华文仿宋"/>
          <w:sz w:val="32"/>
          <w:szCs w:val="32"/>
        </w:rPr>
        <w:t>。经过集团内部深度验证，研发云有效解决了研发过程可管可视、成果共享复用、效率智能提效等关键痛点。当前，随着信创替代与数字化转型政策加速推进，研发云已具备“内部自用示范、外部快速复制”的先发优势，具备向更多行业市场推广的广阔前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ear" w:date="2025-07-30T15:42:00Z" w:initials="">
    <w:p w14:paraId="6D52B963">
      <w:pPr>
        <w:pStyle w:val="2"/>
      </w:pPr>
      <w:r>
        <w:rPr>
          <w:rFonts w:hint="eastAsia"/>
        </w:rPr>
        <w:t>有没有收入数据</w:t>
      </w:r>
    </w:p>
  </w:comment>
  <w:comment w:id="1" w:author="bear" w:date="2025-07-31T17:14:00Z" w:initials="">
    <w:p w14:paraId="4B054E9E">
      <w:pPr>
        <w:pStyle w:val="2"/>
      </w:pPr>
      <w:r>
        <w:rPr>
          <w:rFonts w:hint="eastAsia"/>
        </w:rPr>
        <w:t>不能说地市没钱，否则和后面的结论对冲。应该是相对来说单价较省偏低，但需求更多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D52B963" w15:done="0"/>
  <w15:commentEx w15:paraId="4B054E9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E4AB2"/>
    <w:multiLevelType w:val="singleLevel"/>
    <w:tmpl w:val="026E4AB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484DE903"/>
    <w:multiLevelType w:val="singleLevel"/>
    <w:tmpl w:val="484DE903"/>
    <w:lvl w:ilvl="0" w:tentative="0">
      <w:start w:val="1"/>
      <w:numFmt w:val="chineseCounting"/>
      <w:suff w:val="nothing"/>
      <w:lvlText w:val="%1、"/>
      <w:lvlJc w:val="left"/>
      <w:rPr>
        <w:rFonts w:hint="eastAsia" w:ascii="黑体" w:hAnsi="黑体" w:eastAsia="黑体" w:cs="黑体"/>
      </w:rPr>
    </w:lvl>
  </w:abstractNum>
  <w:abstractNum w:abstractNumId="2">
    <w:nsid w:val="685493F7"/>
    <w:multiLevelType w:val="singleLevel"/>
    <w:tmpl w:val="685493F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7C3D2E7D"/>
    <w:multiLevelType w:val="singleLevel"/>
    <w:tmpl w:val="7C3D2E7D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ear">
    <w15:presenceInfo w15:providerId="None" w15:userId="bea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trackRevision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1506A"/>
    <w:rsid w:val="000A5A82"/>
    <w:rsid w:val="003B57DD"/>
    <w:rsid w:val="003D5CFB"/>
    <w:rsid w:val="008A7465"/>
    <w:rsid w:val="020A7CDD"/>
    <w:rsid w:val="04122272"/>
    <w:rsid w:val="08A2174C"/>
    <w:rsid w:val="091D2F14"/>
    <w:rsid w:val="0B657FAE"/>
    <w:rsid w:val="0CB27527"/>
    <w:rsid w:val="0CCB55DE"/>
    <w:rsid w:val="0CF72F47"/>
    <w:rsid w:val="0DEC2970"/>
    <w:rsid w:val="11495E53"/>
    <w:rsid w:val="17F83B61"/>
    <w:rsid w:val="199C744D"/>
    <w:rsid w:val="1BC21932"/>
    <w:rsid w:val="1BD36EF3"/>
    <w:rsid w:val="1D570C71"/>
    <w:rsid w:val="20EC5472"/>
    <w:rsid w:val="21907AE0"/>
    <w:rsid w:val="22C65FF3"/>
    <w:rsid w:val="2B2160A9"/>
    <w:rsid w:val="2BE32FB6"/>
    <w:rsid w:val="2C340D58"/>
    <w:rsid w:val="316D2048"/>
    <w:rsid w:val="31B41014"/>
    <w:rsid w:val="34117087"/>
    <w:rsid w:val="35DF3EF5"/>
    <w:rsid w:val="377B1525"/>
    <w:rsid w:val="379A454D"/>
    <w:rsid w:val="38402264"/>
    <w:rsid w:val="3D17730C"/>
    <w:rsid w:val="3E73217C"/>
    <w:rsid w:val="4344151C"/>
    <w:rsid w:val="460A42E8"/>
    <w:rsid w:val="47CD1334"/>
    <w:rsid w:val="4BE07362"/>
    <w:rsid w:val="4CCE79E7"/>
    <w:rsid w:val="4CDD40CE"/>
    <w:rsid w:val="4D063625"/>
    <w:rsid w:val="511300BE"/>
    <w:rsid w:val="53272538"/>
    <w:rsid w:val="54660E4D"/>
    <w:rsid w:val="55DD05F5"/>
    <w:rsid w:val="59A14844"/>
    <w:rsid w:val="5AC16EF5"/>
    <w:rsid w:val="5AFD5E2D"/>
    <w:rsid w:val="5DA87DE0"/>
    <w:rsid w:val="612F25D4"/>
    <w:rsid w:val="62854B94"/>
    <w:rsid w:val="64461838"/>
    <w:rsid w:val="68C90375"/>
    <w:rsid w:val="69B67D29"/>
    <w:rsid w:val="6A4F1C31"/>
    <w:rsid w:val="6C09233A"/>
    <w:rsid w:val="6D3A657B"/>
    <w:rsid w:val="71B32943"/>
    <w:rsid w:val="7591625E"/>
    <w:rsid w:val="761115FE"/>
    <w:rsid w:val="77B76E79"/>
    <w:rsid w:val="7BBF55FE"/>
    <w:rsid w:val="7D30604C"/>
    <w:rsid w:val="7FE1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annotation reference"/>
    <w:basedOn w:val="5"/>
    <w:qFormat/>
    <w:uiPriority w:val="0"/>
    <w:rPr>
      <w:sz w:val="16"/>
      <w:szCs w:val="16"/>
    </w:rPr>
  </w:style>
  <w:style w:type="paragraph" w:customStyle="1" w:styleId="8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3193</Words>
  <Characters>3326</Characters>
  <Lines>90</Lines>
  <Paragraphs>28</Paragraphs>
  <TotalTime>16</TotalTime>
  <ScaleCrop>false</ScaleCrop>
  <LinksUpToDate>false</LinksUpToDate>
  <CharactersWithSpaces>3328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2025-07-02T08:03:00Z</dcterms:created>
  <dc:creator>Zhe Wei</dc:creator>
  <cp:lastModifiedBy>Zhe Wei</cp:lastModifiedBy>
  <dcterms:modified xsi:type="dcterms:W3CDTF">2025-11-04T02:03:53Z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335A72F47A00453281077D219289F18F_13</vt:lpwstr>
  </property>
  <property fmtid="{D5CDD505-2E9C-101B-9397-08002B2CF9AE}" pid="4" name="KSOTemplateDocerSaveRecord">
    <vt:lpwstr>eyJoZGlkIjoiZTliZmM5NWQ0NmUwMGM2NDY3OGY2NjM5NjRhZjBlNTIiLCJ1c2VySWQiOiI0MjM0NjY3MjcifQ==</vt:lpwstr>
  </property>
</Properties>
</file>