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27B44">
      <w:pPr>
        <w:spacing w:after="156" w:afterLines="50" w:line="460" w:lineRule="exact"/>
        <w:jc w:val="center"/>
        <w:rPr>
          <w:rFonts w:hint="default" w:ascii="幼圆" w:eastAsia="幼圆"/>
          <w:color w:val="1F4E79"/>
          <w:sz w:val="44"/>
          <w:szCs w:val="44"/>
          <w:highlight w:val="none"/>
          <w:lang w:val="en-US" w:eastAsia="zh-CN"/>
        </w:rPr>
      </w:pPr>
      <w:r>
        <w:rPr>
          <w:rFonts w:hint="eastAsia" w:ascii="幼圆" w:eastAsia="幼圆"/>
          <w:color w:val="1F4E79"/>
          <w:sz w:val="44"/>
          <w:szCs w:val="44"/>
          <w:highlight w:val="none"/>
          <w:lang w:val="en-US" w:eastAsia="zh-CN"/>
        </w:rPr>
        <w:t>公众客户市场竞争现状调研分析报告系列</w:t>
      </w:r>
    </w:p>
    <w:p w14:paraId="72FECC28">
      <w:pPr>
        <w:spacing w:before="312" w:beforeLines="100" w:line="420" w:lineRule="exact"/>
        <w:outlineLvl w:val="0"/>
        <w:rPr>
          <w:rFonts w:hint="eastAsia" w:ascii="黑体" w:hAnsi="黑体" w:eastAsia="黑体"/>
          <w:sz w:val="30"/>
          <w:szCs w:val="30"/>
          <w:highlight w:val="none"/>
          <w:lang w:val="en-US" w:eastAsia="zh-CN"/>
        </w:rPr>
      </w:pPr>
      <w:bookmarkStart w:id="0" w:name="_Hlk160869418"/>
      <w:r>
        <w:rPr>
          <w:sz w:val="24"/>
          <w:szCs w:val="24"/>
          <w:highlight w:val="none"/>
        </w:rPr>
        <w:t>◇</w:t>
      </w:r>
      <w:r>
        <w:rPr>
          <w:rFonts w:ascii="黑体" w:hAnsi="黑体" w:eastAsia="黑体"/>
          <w:sz w:val="30"/>
          <w:szCs w:val="30"/>
          <w:highlight w:val="none"/>
        </w:rPr>
        <w:t xml:space="preserve"> </w:t>
      </w:r>
      <w:r>
        <w:rPr>
          <w:rFonts w:hint="eastAsia" w:ascii="黑体" w:hAnsi="黑体" w:eastAsia="黑体"/>
          <w:sz w:val="30"/>
          <w:szCs w:val="30"/>
          <w:highlight w:val="none"/>
          <w:lang w:val="en-US" w:eastAsia="zh-CN"/>
        </w:rPr>
        <w:t>调研主题</w:t>
      </w:r>
      <w:bookmarkStart w:id="1" w:name="_GoBack"/>
      <w:bookmarkEnd w:id="1"/>
    </w:p>
    <w:p w14:paraId="078950BE">
      <w:pPr>
        <w:spacing w:before="156" w:beforeLines="50" w:line="400" w:lineRule="exact"/>
        <w:ind w:firstLine="560" w:firstLineChars="200"/>
        <w:jc w:val="both"/>
        <w:rPr>
          <w:rFonts w:hint="default" w:eastAsia="等线"/>
          <w:sz w:val="28"/>
          <w:szCs w:val="28"/>
          <w:highlight w:val="none"/>
          <w:lang w:val="en-US" w:eastAsia="zh-CN"/>
        </w:rPr>
      </w:pPr>
      <w:r>
        <w:rPr>
          <w:rFonts w:hint="eastAsia"/>
          <w:sz w:val="28"/>
          <w:szCs w:val="28"/>
          <w:highlight w:val="none"/>
          <w:lang w:val="en-US" w:eastAsia="zh-CN"/>
        </w:rPr>
        <w:t>本次调研围绕中国电信在家庭高值客户市场的运营策略、及友商相应策略进行调研和对比分析，以期发现中国电信在家庭高值客户运营方面存在的问题，为后续家庭高值客户的政策优化提供参考。</w:t>
      </w:r>
    </w:p>
    <w:p w14:paraId="618FEBE3">
      <w:pPr>
        <w:spacing w:before="312" w:beforeLines="100" w:line="420" w:lineRule="exact"/>
        <w:outlineLvl w:val="0"/>
        <w:rPr>
          <w:rFonts w:hint="default" w:ascii="黑体" w:hAnsi="黑体" w:eastAsia="黑体"/>
          <w:sz w:val="30"/>
          <w:szCs w:val="30"/>
          <w:highlight w:val="none"/>
          <w:lang w:val="en-US" w:eastAsia="zh-CN"/>
        </w:rPr>
      </w:pPr>
      <w:r>
        <w:rPr>
          <w:sz w:val="24"/>
          <w:szCs w:val="24"/>
          <w:highlight w:val="none"/>
        </w:rPr>
        <w:t>◇</w:t>
      </w:r>
      <w:r>
        <w:rPr>
          <w:rFonts w:ascii="黑体" w:hAnsi="黑体" w:eastAsia="黑体"/>
          <w:sz w:val="30"/>
          <w:szCs w:val="30"/>
          <w:highlight w:val="none"/>
        </w:rPr>
        <w:t xml:space="preserve"> </w:t>
      </w:r>
      <w:r>
        <w:rPr>
          <w:rFonts w:hint="eastAsia" w:ascii="黑体" w:hAnsi="黑体" w:eastAsia="黑体"/>
          <w:sz w:val="30"/>
          <w:szCs w:val="30"/>
          <w:highlight w:val="none"/>
          <w:lang w:val="en-US" w:eastAsia="zh-CN"/>
        </w:rPr>
        <w:t>调研与分析框架</w:t>
      </w:r>
    </w:p>
    <w:p w14:paraId="4CC7945B">
      <w:pPr>
        <w:spacing w:before="156" w:beforeLines="50" w:line="400" w:lineRule="exact"/>
        <w:ind w:firstLine="560" w:firstLineChars="200"/>
        <w:jc w:val="both"/>
        <w:rPr>
          <w:rFonts w:hint="default" w:eastAsia="等线"/>
          <w:sz w:val="28"/>
          <w:szCs w:val="28"/>
          <w:highlight w:val="none"/>
          <w:lang w:val="en-US" w:eastAsia="zh-CN"/>
        </w:rPr>
      </w:pPr>
      <w:r>
        <w:rPr>
          <w:rFonts w:hint="eastAsia"/>
          <w:sz w:val="28"/>
          <w:szCs w:val="28"/>
          <w:highlight w:val="none"/>
          <w:lang w:val="en-US" w:eastAsia="zh-CN"/>
        </w:rPr>
        <w:t>基于调研主题，将家庭高值客户运营分为目标客户定位、商机获取、资费政策与套餐、推广策略与拓展渠道、客户维护与保有五个环节，进行调研素材的获取与分析。调研中发现，家庭高值客户的提值目标对象是所有家庭客户，因此仅从后面四个环节进行分析。</w:t>
      </w:r>
    </w:p>
    <w:p w14:paraId="4609E7AB">
      <w:pPr>
        <w:spacing w:before="312" w:beforeLines="100" w:line="420" w:lineRule="exact"/>
        <w:outlineLvl w:val="0"/>
        <w:rPr>
          <w:rFonts w:hint="default" w:ascii="黑体" w:hAnsi="黑体" w:eastAsia="黑体"/>
          <w:sz w:val="30"/>
          <w:szCs w:val="30"/>
          <w:highlight w:val="none"/>
          <w:lang w:val="en-US" w:eastAsia="zh-CN"/>
        </w:rPr>
      </w:pPr>
      <w:r>
        <w:rPr>
          <w:sz w:val="24"/>
          <w:szCs w:val="24"/>
          <w:highlight w:val="none"/>
        </w:rPr>
        <w:t>◇</w:t>
      </w:r>
      <w:r>
        <w:rPr>
          <w:rFonts w:ascii="黑体" w:hAnsi="黑体" w:eastAsia="黑体"/>
          <w:sz w:val="30"/>
          <w:szCs w:val="30"/>
          <w:highlight w:val="none"/>
        </w:rPr>
        <w:t xml:space="preserve"> </w:t>
      </w:r>
      <w:r>
        <w:rPr>
          <w:rFonts w:hint="eastAsia" w:ascii="黑体" w:hAnsi="黑体" w:eastAsia="黑体"/>
          <w:sz w:val="30"/>
          <w:szCs w:val="30"/>
          <w:highlight w:val="none"/>
          <w:lang w:val="en-US" w:eastAsia="zh-CN"/>
        </w:rPr>
        <w:t>调研方式</w:t>
      </w:r>
    </w:p>
    <w:p w14:paraId="332736F6">
      <w:pPr>
        <w:spacing w:before="156" w:beforeLines="50" w:line="400" w:lineRule="exact"/>
        <w:ind w:firstLine="560" w:firstLineChars="200"/>
        <w:jc w:val="both"/>
        <w:rPr>
          <w:rFonts w:hint="default" w:eastAsia="等线"/>
          <w:sz w:val="28"/>
          <w:szCs w:val="28"/>
          <w:highlight w:val="none"/>
          <w:lang w:val="en-US" w:eastAsia="zh-CN"/>
        </w:rPr>
      </w:pPr>
      <w:r>
        <w:rPr>
          <w:rFonts w:hint="eastAsia"/>
          <w:sz w:val="28"/>
          <w:szCs w:val="28"/>
          <w:highlight w:val="none"/>
          <w:lang w:val="en-US" w:eastAsia="zh-CN"/>
        </w:rPr>
        <w:t>本次调研采取线上一对一访谈的方式，共计实施21场。面向中国电信南方某大省的地市分公司营销策划人员、存量经营人员、一线人员进行调研，力求覆盖家庭高值客户运营相关的所有重点团队人员。</w:t>
      </w:r>
    </w:p>
    <w:p w14:paraId="4C3C7A0F">
      <w:pPr>
        <w:spacing w:before="156" w:beforeLines="50" w:line="400" w:lineRule="exact"/>
        <w:ind w:firstLine="560" w:firstLineChars="200"/>
        <w:jc w:val="both"/>
        <w:rPr>
          <w:rFonts w:hint="default"/>
          <w:sz w:val="28"/>
          <w:szCs w:val="28"/>
          <w:highlight w:val="none"/>
          <w:lang w:val="en-US" w:eastAsia="zh-CN"/>
        </w:rPr>
      </w:pPr>
    </w:p>
    <w:p w14:paraId="2EA9A684">
      <w:pPr>
        <w:jc w:val="center"/>
        <w:rPr>
          <w:rFonts w:hint="eastAsia" w:ascii="微软雅黑" w:hAnsi="微软雅黑" w:eastAsia="微软雅黑" w:cs="微软雅黑"/>
          <w:b/>
          <w:bCs/>
          <w:kern w:val="44"/>
          <w:sz w:val="44"/>
          <w:szCs w:val="44"/>
          <w:highlight w:val="none"/>
          <w:lang w:val="en-US" w:eastAsia="zh-CN" w:bidi="ar-SA"/>
        </w:rPr>
      </w:pPr>
      <w:r>
        <w:rPr>
          <w:rFonts w:hint="eastAsia" w:ascii="微软雅黑" w:hAnsi="微软雅黑" w:eastAsia="微软雅黑" w:cs="微软雅黑"/>
          <w:b/>
          <w:bCs/>
          <w:kern w:val="44"/>
          <w:sz w:val="44"/>
          <w:szCs w:val="44"/>
          <w:highlight w:val="none"/>
          <w:lang w:val="en-US" w:eastAsia="zh-CN" w:bidi="ar-SA"/>
        </w:rPr>
        <w:t>系列二：中国电信家庭高值客户运营现状调研分析报告</w:t>
      </w:r>
    </w:p>
    <w:p w14:paraId="38A0F2E1">
      <w:pPr>
        <w:jc w:val="center"/>
        <w:rPr>
          <w:rFonts w:hint="default" w:ascii="微软雅黑" w:hAnsi="微软雅黑" w:eastAsia="微软雅黑" w:cs="微软雅黑"/>
          <w:b/>
          <w:bCs/>
          <w:kern w:val="44"/>
          <w:sz w:val="40"/>
          <w:szCs w:val="40"/>
          <w:highlight w:val="none"/>
          <w:lang w:val="en-US" w:eastAsia="zh-CN" w:bidi="ar-SA"/>
        </w:rPr>
      </w:pPr>
      <w:r>
        <w:rPr>
          <w:rFonts w:hint="eastAsia" w:ascii="华文楷体" w:hAnsi="华文楷体" w:eastAsia="华文楷体" w:cs="微软雅黑"/>
          <w:sz w:val="28"/>
          <w:szCs w:val="28"/>
          <w:highlight w:val="none"/>
          <w:lang w:val="en-US" w:eastAsia="zh-CN"/>
        </w:rPr>
        <w:t>柴雪芳</w:t>
      </w:r>
    </w:p>
    <w:p w14:paraId="5000475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outlineLvl w:val="0"/>
        <w:rPr>
          <w:rFonts w:hint="eastAsia" w:ascii="黑体" w:hAnsi="黑体" w:eastAsia="黑体" w:cs="黑体"/>
          <w:b/>
          <w:bCs/>
          <w:sz w:val="32"/>
          <w:szCs w:val="24"/>
          <w:highlight w:val="none"/>
          <w:lang w:val="en-US"/>
        </w:rPr>
      </w:pPr>
      <w:r>
        <w:rPr>
          <w:rFonts w:hint="eastAsia" w:ascii="黑体" w:hAnsi="黑体" w:eastAsia="黑体" w:cs="黑体"/>
          <w:b/>
          <w:bCs/>
          <w:sz w:val="32"/>
          <w:szCs w:val="28"/>
          <w:highlight w:val="none"/>
          <w:lang w:val="en-US" w:eastAsia="zh-CN"/>
        </w:rPr>
        <w:t>调研核心发现</w:t>
      </w:r>
    </w:p>
    <w:p w14:paraId="4FD495F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整体来看，三个方面的因素结合，导致友商中移动对中电信家庭高值客户的发展与维系形成较大冲击</w:t>
      </w:r>
      <w:r>
        <w:rPr>
          <w:rFonts w:hint="eastAsia" w:ascii="仿宋" w:hAnsi="仿宋" w:eastAsia="仿宋_GB2312" w:cs="仿宋"/>
          <w:b w:val="0"/>
          <w:bCs w:val="0"/>
          <w:sz w:val="32"/>
          <w:szCs w:val="28"/>
          <w:highlight w:val="none"/>
          <w:lang w:val="en-US" w:eastAsia="zh-CN"/>
        </w:rPr>
        <w:t>：一是激进的低价策略；二是对第三方渠道执行高佣金政策；三是在一线运营管理模式、网络质量、装维服务等方面，中移动与中电信的差距越来越小。</w:t>
      </w:r>
    </w:p>
    <w:p w14:paraId="6CCDF8D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40" w:firstLineChars="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目前</w:t>
      </w:r>
      <w:r>
        <w:rPr>
          <w:rFonts w:hint="eastAsia" w:ascii="仿宋" w:hAnsi="仿宋" w:eastAsia="仿宋_GB2312" w:cs="仿宋"/>
          <w:b/>
          <w:bCs/>
          <w:sz w:val="32"/>
          <w:szCs w:val="28"/>
          <w:highlight w:val="none"/>
          <w:lang w:val="en-US" w:eastAsia="zh-CN"/>
        </w:rPr>
        <w:t>商机获取以传统人找人方式为主，场景化、系统性获取商机的方式相对较少；且触客效率低、商机转化率低</w:t>
      </w:r>
      <w:r>
        <w:rPr>
          <w:rFonts w:hint="eastAsia" w:ascii="仿宋" w:hAnsi="仿宋" w:eastAsia="仿宋_GB2312" w:cs="仿宋"/>
          <w:b w:val="0"/>
          <w:bCs w:val="0"/>
          <w:sz w:val="32"/>
          <w:szCs w:val="28"/>
          <w:highlight w:val="none"/>
          <w:lang w:val="en-US" w:eastAsia="zh-CN"/>
        </w:rPr>
        <w:t>，迫切需要发掘新的获取商机的手段。</w:t>
      </w:r>
    </w:p>
    <w:p w14:paraId="4E26C38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友商采取激进的低价策略抢占高值家庭客户市场；中电信的高套餐资费政策与市场竞争和客户需求均不匹配</w:t>
      </w:r>
      <w:r>
        <w:rPr>
          <w:rFonts w:hint="eastAsia" w:ascii="仿宋" w:hAnsi="仿宋" w:eastAsia="仿宋_GB2312" w:cs="仿宋"/>
          <w:b w:val="0"/>
          <w:bCs w:val="0"/>
          <w:sz w:val="32"/>
          <w:szCs w:val="28"/>
          <w:highlight w:val="none"/>
          <w:lang w:val="en-US" w:eastAsia="zh-CN"/>
        </w:rPr>
        <w:t>，且目前还没有较好的办法来应对，只能加强防守，步步为营。</w:t>
      </w:r>
    </w:p>
    <w:p w14:paraId="258B7EB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sz w:val="32"/>
          <w:szCs w:val="28"/>
          <w:highlight w:val="none"/>
          <w:lang w:val="en-US" w:eastAsia="zh-CN"/>
        </w:rPr>
      </w:pPr>
      <w:r>
        <w:rPr>
          <w:rFonts w:hint="eastAsia" w:ascii="仿宋" w:hAnsi="仿宋" w:eastAsia="仿宋_GB2312" w:cs="仿宋"/>
          <w:b/>
          <w:bCs/>
          <w:sz w:val="32"/>
          <w:szCs w:val="28"/>
          <w:highlight w:val="none"/>
          <w:lang w:val="en-US" w:eastAsia="zh-CN"/>
        </w:rPr>
        <w:t>存量客户维系方面与中移动存在较大差距</w:t>
      </w:r>
      <w:r>
        <w:rPr>
          <w:rFonts w:hint="eastAsia" w:ascii="仿宋" w:hAnsi="仿宋" w:eastAsia="仿宋_GB2312" w:cs="仿宋"/>
          <w:b w:val="0"/>
          <w:bCs w:val="0"/>
          <w:sz w:val="32"/>
          <w:szCs w:val="28"/>
          <w:highlight w:val="none"/>
          <w:lang w:val="en-US" w:eastAsia="zh-CN"/>
        </w:rPr>
        <w:t>，主要表现在：一是针对携转客户拆挽反应速度慢；二是权益体系/忠诚度体系建设相对滞后，对老客户基本上没有提供服务、权益、流量、速率等关怀价值，客户粘性不足，未能对高值客户维系起到有效辅助作用。</w:t>
      </w:r>
    </w:p>
    <w:p w14:paraId="1F38BAA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outlineLvl w:val="0"/>
        <w:rPr>
          <w:rFonts w:hint="default" w:ascii="黑体" w:hAnsi="黑体" w:eastAsia="黑体" w:cs="黑体"/>
          <w:b/>
          <w:bCs/>
          <w:sz w:val="32"/>
          <w:szCs w:val="28"/>
          <w:highlight w:val="none"/>
          <w:lang w:val="en-US" w:eastAsia="zh-CN"/>
        </w:rPr>
      </w:pPr>
      <w:r>
        <w:rPr>
          <w:rFonts w:hint="eastAsia" w:ascii="黑体" w:hAnsi="黑体" w:eastAsia="黑体" w:cs="黑体"/>
          <w:b/>
          <w:bCs/>
          <w:sz w:val="32"/>
          <w:szCs w:val="28"/>
          <w:highlight w:val="none"/>
          <w:lang w:val="en-US" w:eastAsia="zh-CN"/>
        </w:rPr>
        <w:t>调研详情分析</w:t>
      </w:r>
    </w:p>
    <w:p w14:paraId="7D01DDB3">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r>
        <w:rPr>
          <w:rFonts w:hint="default" w:ascii="仿宋" w:hAnsi="仿宋" w:eastAsia="仿宋_GB2312" w:cs="仿宋"/>
          <w:b w:val="0"/>
          <w:bCs w:val="0"/>
          <w:sz w:val="32"/>
          <w:szCs w:val="28"/>
          <w:highlight w:val="none"/>
          <w:lang w:val="en-US" w:eastAsia="zh-CN"/>
        </w:rPr>
        <w:t>目前家庭</w:t>
      </w:r>
      <w:r>
        <w:rPr>
          <w:rFonts w:hint="eastAsia" w:ascii="仿宋" w:hAnsi="仿宋" w:eastAsia="仿宋_GB2312" w:cs="仿宋"/>
          <w:b w:val="0"/>
          <w:bCs w:val="0"/>
          <w:sz w:val="32"/>
          <w:szCs w:val="28"/>
          <w:highlight w:val="none"/>
          <w:lang w:val="en-US" w:eastAsia="zh-CN"/>
        </w:rPr>
        <w:t>高值客户的目标群体</w:t>
      </w:r>
      <w:r>
        <w:rPr>
          <w:rFonts w:hint="default" w:ascii="仿宋" w:hAnsi="仿宋" w:eastAsia="仿宋_GB2312" w:cs="仿宋"/>
          <w:b w:val="0"/>
          <w:bCs w:val="0"/>
          <w:sz w:val="32"/>
          <w:szCs w:val="28"/>
          <w:highlight w:val="none"/>
          <w:lang w:val="en-US" w:eastAsia="zh-CN"/>
        </w:rPr>
        <w:t>是面向</w:t>
      </w:r>
      <w:r>
        <w:rPr>
          <w:rFonts w:hint="eastAsia" w:ascii="仿宋" w:hAnsi="仿宋" w:eastAsia="仿宋_GB2312" w:cs="仿宋"/>
          <w:b w:val="0"/>
          <w:bCs w:val="0"/>
          <w:sz w:val="32"/>
          <w:szCs w:val="28"/>
          <w:highlight w:val="none"/>
          <w:lang w:val="en-US" w:eastAsia="zh-CN"/>
        </w:rPr>
        <w:t>除</w:t>
      </w:r>
      <w:r>
        <w:rPr>
          <w:rFonts w:hint="default" w:ascii="仿宋" w:hAnsi="仿宋" w:eastAsia="仿宋_GB2312" w:cs="仿宋"/>
          <w:b w:val="0"/>
          <w:bCs w:val="0"/>
          <w:sz w:val="32"/>
          <w:szCs w:val="28"/>
          <w:highlight w:val="none"/>
          <w:lang w:val="en-US" w:eastAsia="zh-CN"/>
        </w:rPr>
        <w:t>城中村等特殊区域</w:t>
      </w:r>
      <w:r>
        <w:rPr>
          <w:rFonts w:hint="eastAsia" w:ascii="仿宋" w:hAnsi="仿宋" w:eastAsia="仿宋_GB2312" w:cs="仿宋"/>
          <w:b w:val="0"/>
          <w:bCs w:val="0"/>
          <w:sz w:val="32"/>
          <w:szCs w:val="28"/>
          <w:highlight w:val="none"/>
          <w:lang w:val="en-US" w:eastAsia="zh-CN"/>
        </w:rPr>
        <w:t>外</w:t>
      </w:r>
      <w:r>
        <w:rPr>
          <w:rFonts w:hint="default" w:ascii="仿宋" w:hAnsi="仿宋" w:eastAsia="仿宋_GB2312" w:cs="仿宋"/>
          <w:b w:val="0"/>
          <w:bCs w:val="0"/>
          <w:sz w:val="32"/>
          <w:szCs w:val="28"/>
          <w:highlight w:val="none"/>
          <w:lang w:val="en-US" w:eastAsia="zh-CN"/>
        </w:rPr>
        <w:t>的所有主流社区家庭客户，所以</w:t>
      </w:r>
      <w:r>
        <w:rPr>
          <w:rFonts w:hint="eastAsia" w:ascii="仿宋" w:hAnsi="仿宋" w:eastAsia="仿宋_GB2312" w:cs="仿宋"/>
          <w:b w:val="0"/>
          <w:bCs w:val="0"/>
          <w:sz w:val="32"/>
          <w:szCs w:val="28"/>
          <w:highlight w:val="none"/>
          <w:lang w:val="en-US" w:eastAsia="zh-CN"/>
        </w:rPr>
        <w:t>本文</w:t>
      </w:r>
      <w:r>
        <w:rPr>
          <w:rFonts w:hint="default" w:ascii="仿宋" w:hAnsi="仿宋" w:eastAsia="仿宋_GB2312" w:cs="仿宋"/>
          <w:b w:val="0"/>
          <w:bCs w:val="0"/>
          <w:sz w:val="32"/>
          <w:szCs w:val="28"/>
          <w:highlight w:val="none"/>
          <w:lang w:val="en-US" w:eastAsia="zh-CN"/>
        </w:rPr>
        <w:t>从“商机获取、资费政策与套餐、推广策略与拓展渠道、高套客户的维护与保有”这四个方面、结合友商策略进行总结分析。</w:t>
      </w:r>
    </w:p>
    <w:p w14:paraId="02194BF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0"/>
        <w:jc w:val="left"/>
        <w:textAlignment w:val="auto"/>
        <w:outlineLvl w:val="1"/>
        <w:rPr>
          <w:rFonts w:hint="default" w:ascii="仿宋" w:hAnsi="仿宋" w:eastAsia="仿宋_GB2312" w:cs="仿宋"/>
          <w:b/>
          <w:bCs/>
          <w:color w:val="auto"/>
          <w:sz w:val="32"/>
          <w:szCs w:val="28"/>
          <w:highlight w:val="none"/>
          <w:lang w:val="en-US" w:eastAsia="zh-CN"/>
        </w:rPr>
      </w:pPr>
      <w:r>
        <w:rPr>
          <w:rFonts w:hint="eastAsia" w:ascii="仿宋" w:hAnsi="仿宋" w:eastAsia="仿宋_GB2312" w:cs="仿宋"/>
          <w:b/>
          <w:bCs/>
          <w:color w:val="auto"/>
          <w:sz w:val="32"/>
          <w:szCs w:val="28"/>
          <w:highlight w:val="none"/>
          <w:lang w:val="en-US" w:eastAsia="zh-CN"/>
        </w:rPr>
        <w:t>商机获取：以传统的人找人方式为主，缺乏新的、足够的触客方式，且触客效率低。</w:t>
      </w:r>
    </w:p>
    <w:p w14:paraId="2035A14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640" w:firstLineChars="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目前商机获取主要有系统存量客户标签、线下生态触点和进场营销三种方式，类似智慧社区/数字乡村/数字公寓、过网清单等</w:t>
      </w:r>
      <w:r>
        <w:rPr>
          <w:rFonts w:hint="eastAsia" w:ascii="仿宋" w:hAnsi="仿宋" w:eastAsia="仿宋_GB2312" w:cs="仿宋"/>
          <w:b/>
          <w:bCs/>
          <w:sz w:val="32"/>
          <w:szCs w:val="28"/>
          <w:highlight w:val="none"/>
          <w:lang w:val="en-US" w:eastAsia="zh-CN"/>
        </w:rPr>
        <w:t>场景化、系统性获取商机的方式相对较少，迫切需要发掘新的获取商机的手段</w:t>
      </w:r>
      <w:r>
        <w:rPr>
          <w:rFonts w:hint="default" w:ascii="仿宋" w:hAnsi="仿宋" w:eastAsia="仿宋_GB2312" w:cs="仿宋"/>
          <w:b w:val="0"/>
          <w:bCs w:val="0"/>
          <w:sz w:val="32"/>
          <w:szCs w:val="28"/>
          <w:highlight w:val="none"/>
          <w:lang w:val="en-US" w:eastAsia="zh-CN"/>
        </w:rPr>
        <w:t>。需注意的</w:t>
      </w:r>
      <w:r>
        <w:rPr>
          <w:rFonts w:hint="eastAsia" w:ascii="仿宋" w:hAnsi="仿宋" w:eastAsia="仿宋_GB2312" w:cs="仿宋"/>
          <w:b w:val="0"/>
          <w:bCs w:val="0"/>
          <w:sz w:val="32"/>
          <w:szCs w:val="28"/>
          <w:highlight w:val="none"/>
          <w:lang w:val="en-US" w:eastAsia="zh-CN"/>
        </w:rPr>
        <w:t>是，</w:t>
      </w:r>
      <w:r>
        <w:rPr>
          <w:rFonts w:hint="default" w:ascii="仿宋" w:hAnsi="仿宋" w:eastAsia="仿宋_GB2312" w:cs="仿宋"/>
          <w:b w:val="0"/>
          <w:bCs w:val="0"/>
          <w:sz w:val="32"/>
          <w:szCs w:val="28"/>
          <w:highlight w:val="none"/>
          <w:lang w:val="en-US" w:eastAsia="zh-CN"/>
        </w:rPr>
        <w:t>部分地市在场景化营销的执行上偏弱，尤其在智慧社区、数字乡村进场营销的场次也较少，而友商在这一块策反力度加大，已出现此消彼长的势头。</w:t>
      </w:r>
    </w:p>
    <w:p w14:paraId="00354CC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640" w:firstLineChars="0"/>
        <w:jc w:val="left"/>
        <w:textAlignment w:val="auto"/>
        <w:rPr>
          <w:rFonts w:hint="default" w:ascii="仿宋" w:hAnsi="仿宋" w:eastAsia="仿宋_GB2312" w:cs="仿宋"/>
          <w:b w:val="0"/>
          <w:bCs w:val="0"/>
          <w:sz w:val="32"/>
          <w:szCs w:val="28"/>
          <w:highlight w:val="none"/>
          <w:lang w:val="en-US" w:eastAsia="zh-CN"/>
        </w:rPr>
      </w:pPr>
      <w:r>
        <w:rPr>
          <w:rFonts w:hint="default" w:ascii="仿宋" w:hAnsi="仿宋" w:eastAsia="仿宋_GB2312" w:cs="仿宋"/>
          <w:b/>
          <w:bCs/>
          <w:sz w:val="32"/>
          <w:szCs w:val="28"/>
          <w:highlight w:val="none"/>
          <w:lang w:val="en-US" w:eastAsia="zh-CN"/>
        </w:rPr>
        <w:t>从触客范围和转化率两个方面来看，触客效率低</w:t>
      </w:r>
      <w:r>
        <w:rPr>
          <w:rFonts w:hint="default" w:ascii="仿宋" w:hAnsi="仿宋" w:eastAsia="仿宋_GB2312" w:cs="仿宋"/>
          <w:b w:val="0"/>
          <w:bCs w:val="0"/>
          <w:sz w:val="32"/>
          <w:szCs w:val="28"/>
          <w:highlight w:val="none"/>
          <w:lang w:val="en-US" w:eastAsia="zh-CN"/>
        </w:rPr>
        <w:t>。</w:t>
      </w:r>
      <w:r>
        <w:rPr>
          <w:rFonts w:hint="eastAsia" w:ascii="仿宋" w:hAnsi="仿宋" w:eastAsia="仿宋_GB2312" w:cs="仿宋"/>
          <w:b w:val="0"/>
          <w:bCs w:val="0"/>
          <w:sz w:val="32"/>
          <w:szCs w:val="28"/>
          <w:highlight w:val="none"/>
          <w:lang w:val="en-US" w:eastAsia="zh-CN"/>
        </w:rPr>
        <w:t>首先，触客范围窄。</w:t>
      </w:r>
      <w:r>
        <w:rPr>
          <w:rFonts w:hint="eastAsia" w:ascii="仿宋" w:hAnsi="仿宋" w:eastAsia="仿宋_GB2312" w:cs="仿宋"/>
          <w:b w:val="0"/>
          <w:bCs w:val="0"/>
          <w:sz w:val="32"/>
          <w:szCs w:val="28"/>
          <w:highlight w:val="none"/>
          <w:lang w:val="en-US" w:eastAsia="zh-CN"/>
        </w:rPr>
        <w:t>某地市</w:t>
      </w:r>
      <w:r>
        <w:rPr>
          <w:rFonts w:hint="default" w:ascii="仿宋" w:hAnsi="仿宋" w:eastAsia="仿宋_GB2312" w:cs="仿宋"/>
          <w:b w:val="0"/>
          <w:bCs w:val="0"/>
          <w:sz w:val="32"/>
          <w:szCs w:val="28"/>
          <w:highlight w:val="none"/>
          <w:lang w:val="en-US" w:eastAsia="zh-CN"/>
        </w:rPr>
        <w:t>内部数据统计显示</w:t>
      </w:r>
      <w:r>
        <w:rPr>
          <w:rFonts w:hint="eastAsia" w:ascii="仿宋" w:hAnsi="仿宋" w:eastAsia="仿宋_GB2312" w:cs="仿宋"/>
          <w:b w:val="0"/>
          <w:bCs w:val="0"/>
          <w:sz w:val="32"/>
          <w:szCs w:val="28"/>
          <w:highlight w:val="none"/>
          <w:lang w:val="en-US" w:eastAsia="zh-CN"/>
        </w:rPr>
        <w:t>，目前的触客方式下，</w:t>
      </w:r>
      <w:r>
        <w:rPr>
          <w:rFonts w:hint="default" w:ascii="仿宋" w:hAnsi="仿宋" w:eastAsia="仿宋_GB2312" w:cs="仿宋"/>
          <w:b w:val="0"/>
          <w:bCs w:val="0"/>
          <w:sz w:val="32"/>
          <w:szCs w:val="28"/>
          <w:highlight w:val="none"/>
          <w:lang w:val="en-US" w:eastAsia="zh-CN"/>
        </w:rPr>
        <w:t>一年</w:t>
      </w:r>
      <w:r>
        <w:rPr>
          <w:rFonts w:hint="eastAsia" w:ascii="仿宋" w:hAnsi="仿宋" w:eastAsia="仿宋_GB2312" w:cs="仿宋"/>
          <w:b w:val="0"/>
          <w:bCs w:val="0"/>
          <w:sz w:val="32"/>
          <w:szCs w:val="28"/>
          <w:highlight w:val="none"/>
          <w:lang w:val="en-US" w:eastAsia="zh-CN"/>
        </w:rPr>
        <w:t>内仅</w:t>
      </w:r>
      <w:r>
        <w:rPr>
          <w:rFonts w:hint="default" w:ascii="仿宋" w:hAnsi="仿宋" w:eastAsia="仿宋_GB2312" w:cs="仿宋"/>
          <w:b w:val="0"/>
          <w:bCs w:val="0"/>
          <w:sz w:val="32"/>
          <w:szCs w:val="28"/>
          <w:highlight w:val="none"/>
          <w:lang w:val="en-US" w:eastAsia="zh-CN"/>
        </w:rPr>
        <w:t>约30%的客户能被</w:t>
      </w:r>
      <w:r>
        <w:rPr>
          <w:rFonts w:hint="eastAsia" w:ascii="仿宋" w:hAnsi="仿宋" w:eastAsia="仿宋_GB2312" w:cs="仿宋"/>
          <w:b w:val="0"/>
          <w:bCs w:val="0"/>
          <w:sz w:val="32"/>
          <w:szCs w:val="28"/>
          <w:highlight w:val="none"/>
          <w:lang w:val="en-US" w:eastAsia="zh-CN"/>
        </w:rPr>
        <w:t>接</w:t>
      </w:r>
      <w:r>
        <w:rPr>
          <w:rFonts w:hint="default" w:ascii="仿宋" w:hAnsi="仿宋" w:eastAsia="仿宋_GB2312" w:cs="仿宋"/>
          <w:b w:val="0"/>
          <w:bCs w:val="0"/>
          <w:sz w:val="32"/>
          <w:szCs w:val="28"/>
          <w:highlight w:val="none"/>
          <w:lang w:val="en-US" w:eastAsia="zh-CN"/>
        </w:rPr>
        <w:t>触到。智慧社区等场景化触客方式效率较高，但目前</w:t>
      </w:r>
      <w:r>
        <w:rPr>
          <w:rFonts w:hint="eastAsia" w:ascii="仿宋" w:hAnsi="仿宋" w:eastAsia="仿宋_GB2312" w:cs="仿宋"/>
          <w:b w:val="0"/>
          <w:bCs w:val="0"/>
          <w:sz w:val="32"/>
          <w:szCs w:val="28"/>
          <w:highlight w:val="none"/>
          <w:lang w:val="en-US" w:eastAsia="zh-CN"/>
        </w:rPr>
        <w:t>智慧社区在主流社区中占比较低</w:t>
      </w:r>
      <w:r>
        <w:rPr>
          <w:rFonts w:hint="default" w:ascii="仿宋" w:hAnsi="仿宋" w:eastAsia="仿宋_GB2312" w:cs="仿宋"/>
          <w:b w:val="0"/>
          <w:bCs w:val="0"/>
          <w:sz w:val="32"/>
          <w:szCs w:val="28"/>
          <w:highlight w:val="none"/>
          <w:lang w:val="en-US" w:eastAsia="zh-CN"/>
        </w:rPr>
        <w:t>，如</w:t>
      </w:r>
      <w:r>
        <w:rPr>
          <w:rFonts w:hint="eastAsia" w:ascii="仿宋" w:hAnsi="仿宋" w:eastAsia="仿宋_GB2312" w:cs="仿宋"/>
          <w:b w:val="0"/>
          <w:bCs w:val="0"/>
          <w:sz w:val="32"/>
          <w:szCs w:val="28"/>
          <w:highlight w:val="none"/>
          <w:lang w:val="en-US" w:eastAsia="zh-CN"/>
        </w:rPr>
        <w:t>某地市</w:t>
      </w:r>
      <w:r>
        <w:rPr>
          <w:rFonts w:hint="default" w:ascii="仿宋" w:hAnsi="仿宋" w:eastAsia="仿宋_GB2312" w:cs="仿宋"/>
          <w:b w:val="0"/>
          <w:bCs w:val="0"/>
          <w:sz w:val="32"/>
          <w:szCs w:val="28"/>
          <w:highlight w:val="none"/>
          <w:lang w:val="en-US" w:eastAsia="zh-CN"/>
        </w:rPr>
        <w:t>只有100个智慧社区</w:t>
      </w:r>
      <w:r>
        <w:rPr>
          <w:rFonts w:hint="eastAsia" w:ascii="仿宋" w:hAnsi="仿宋" w:eastAsia="仿宋_GB2312" w:cs="仿宋"/>
          <w:b w:val="0"/>
          <w:bCs w:val="0"/>
          <w:sz w:val="32"/>
          <w:szCs w:val="28"/>
          <w:highlight w:val="none"/>
          <w:lang w:val="en-US" w:eastAsia="zh-CN"/>
        </w:rPr>
        <w:t>，在主城区住宅小区中占比约13%</w:t>
      </w:r>
      <w:r>
        <w:rPr>
          <w:rFonts w:hint="default" w:ascii="仿宋" w:hAnsi="仿宋" w:eastAsia="仿宋_GB2312" w:cs="仿宋"/>
          <w:b w:val="0"/>
          <w:bCs w:val="0"/>
          <w:sz w:val="32"/>
          <w:szCs w:val="28"/>
          <w:highlight w:val="none"/>
          <w:lang w:val="en-US" w:eastAsia="zh-CN"/>
        </w:rPr>
        <w:t>。</w:t>
      </w:r>
      <w:r>
        <w:rPr>
          <w:rFonts w:hint="eastAsia" w:ascii="仿宋" w:hAnsi="仿宋" w:eastAsia="仿宋_GB2312" w:cs="仿宋"/>
          <w:b w:val="0"/>
          <w:bCs w:val="0"/>
          <w:sz w:val="32"/>
          <w:szCs w:val="28"/>
          <w:highlight w:val="none"/>
          <w:lang w:val="en-US" w:eastAsia="zh-CN"/>
        </w:rPr>
        <w:t>其次，</w:t>
      </w:r>
      <w:r>
        <w:rPr>
          <w:rFonts w:hint="default" w:ascii="仿宋" w:hAnsi="仿宋" w:eastAsia="仿宋_GB2312" w:cs="仿宋"/>
          <w:b w:val="0"/>
          <w:bCs w:val="0"/>
          <w:sz w:val="32"/>
          <w:szCs w:val="28"/>
          <w:highlight w:val="none"/>
          <w:lang w:val="en-US" w:eastAsia="zh-CN"/>
        </w:rPr>
        <w:t>接触到之后的转化率低，部分地市反馈</w:t>
      </w:r>
      <w:r>
        <w:rPr>
          <w:rFonts w:hint="eastAsia" w:ascii="仿宋" w:hAnsi="仿宋" w:eastAsia="仿宋_GB2312" w:cs="仿宋"/>
          <w:b w:val="0"/>
          <w:bCs w:val="0"/>
          <w:sz w:val="32"/>
          <w:szCs w:val="28"/>
          <w:highlight w:val="none"/>
          <w:lang w:val="en-US" w:eastAsia="zh-CN"/>
        </w:rPr>
        <w:t>单月</w:t>
      </w:r>
      <w:r>
        <w:rPr>
          <w:rFonts w:hint="default" w:ascii="仿宋" w:hAnsi="仿宋" w:eastAsia="仿宋_GB2312" w:cs="仿宋"/>
          <w:b w:val="0"/>
          <w:bCs w:val="0"/>
          <w:sz w:val="32"/>
          <w:szCs w:val="28"/>
          <w:highlight w:val="none"/>
          <w:lang w:val="en-US" w:eastAsia="zh-CN"/>
        </w:rPr>
        <w:t>转化率</w:t>
      </w:r>
      <w:r>
        <w:rPr>
          <w:rFonts w:hint="eastAsia" w:ascii="仿宋" w:hAnsi="仿宋" w:eastAsia="仿宋_GB2312" w:cs="仿宋"/>
          <w:b w:val="0"/>
          <w:bCs w:val="0"/>
          <w:sz w:val="32"/>
          <w:szCs w:val="28"/>
          <w:highlight w:val="none"/>
          <w:lang w:val="en-US" w:eastAsia="zh-CN"/>
        </w:rPr>
        <w:t>低至5-6</w:t>
      </w:r>
      <w:r>
        <w:rPr>
          <w:rFonts w:hint="default" w:ascii="仿宋" w:hAnsi="仿宋" w:eastAsia="仿宋_GB2312" w:cs="仿宋"/>
          <w:b w:val="0"/>
          <w:bCs w:val="0"/>
          <w:sz w:val="32"/>
          <w:szCs w:val="28"/>
          <w:highlight w:val="none"/>
          <w:lang w:val="en-US" w:eastAsia="zh-CN"/>
        </w:rPr>
        <w:t>%。</w:t>
      </w:r>
    </w:p>
    <w:p w14:paraId="08BAA97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0"/>
        <w:jc w:val="left"/>
        <w:textAlignment w:val="auto"/>
        <w:outlineLvl w:val="1"/>
        <w:rPr>
          <w:rFonts w:hint="default" w:ascii="仿宋" w:hAnsi="仿宋" w:eastAsia="仿宋_GB2312" w:cs="仿宋"/>
          <w:b/>
          <w:bCs/>
          <w:color w:val="auto"/>
          <w:sz w:val="32"/>
          <w:szCs w:val="28"/>
          <w:highlight w:val="none"/>
          <w:lang w:val="en-US" w:eastAsia="zh-CN"/>
        </w:rPr>
      </w:pPr>
      <w:r>
        <w:rPr>
          <w:rFonts w:hint="eastAsia" w:ascii="仿宋" w:hAnsi="仿宋" w:eastAsia="仿宋_GB2312" w:cs="仿宋"/>
          <w:b/>
          <w:bCs/>
          <w:color w:val="auto"/>
          <w:sz w:val="32"/>
          <w:szCs w:val="28"/>
          <w:highlight w:val="none"/>
          <w:lang w:val="en-US" w:eastAsia="zh-CN"/>
        </w:rPr>
        <w:t>资费政策与套餐：电信的高资费政策与友商的低资费策略形成鲜明对比，且应对不足。</w:t>
      </w:r>
    </w:p>
    <w:p w14:paraId="129AB38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在高值家庭客户市场，友商采取激进的低价策略抢占市场；电信的高套餐资费政策与市场竞争和客户需求均不</w:t>
      </w:r>
      <w:r>
        <w:rPr>
          <w:rFonts w:hint="default" w:ascii="仿宋" w:hAnsi="仿宋" w:eastAsia="仿宋_GB2312" w:cs="仿宋"/>
          <w:b/>
          <w:bCs/>
          <w:sz w:val="32"/>
          <w:szCs w:val="28"/>
          <w:highlight w:val="none"/>
          <w:lang w:val="en-US" w:eastAsia="zh-CN"/>
        </w:rPr>
        <w:t>匹配</w:t>
      </w:r>
      <w:r>
        <w:rPr>
          <w:rFonts w:hint="eastAsia" w:ascii="仿宋" w:hAnsi="仿宋" w:eastAsia="仿宋_GB2312" w:cs="仿宋"/>
          <w:b/>
          <w:bCs/>
          <w:sz w:val="32"/>
          <w:szCs w:val="28"/>
          <w:highlight w:val="none"/>
          <w:lang w:val="en-US" w:eastAsia="zh-CN"/>
        </w:rPr>
        <w:t>。</w:t>
      </w:r>
    </w:p>
    <w:p w14:paraId="575F8C17">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在家庭客户市场，千兆宽带已基本普及。从千兆套餐来看，电信和友商千兆起步的套餐价格相差100元以上。具体见表1。而从用户反馈来看，用户对中国电信套餐的普遍感知是“贵”；尤其一些线下代理商会把三家运营商的套餐价格直接打印出来摆放在一起，中国电信的“贵”就更加突出。</w:t>
      </w:r>
    </w:p>
    <w:p w14:paraId="33874F77">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虽然地市和一线都在强调电信在网络稳定性、装维服务等方面的优势，但从基本面上来看，优势差距在在逐步缩小。</w:t>
      </w:r>
    </w:p>
    <w:p w14:paraId="1639347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0" w:firstLineChars="0"/>
        <w:jc w:val="center"/>
        <w:textAlignment w:val="auto"/>
        <w:rPr>
          <w:rFonts w:hint="default" w:ascii="楷体" w:hAnsi="楷体" w:eastAsia="楷体" w:cs="楷体"/>
          <w:b w:val="0"/>
          <w:bCs w:val="0"/>
          <w:color w:val="000000" w:themeColor="text1"/>
          <w:sz w:val="30"/>
          <w:szCs w:val="24"/>
          <w:highlight w:val="none"/>
          <w:lang w:val="en-US" w:eastAsia="zh-CN"/>
          <w14:textFill>
            <w14:solidFill>
              <w14:schemeClr w14:val="tx1"/>
            </w14:solidFill>
          </w14:textFill>
        </w:rPr>
      </w:pPr>
      <w:r>
        <w:rPr>
          <w:rFonts w:hint="eastAsia" w:ascii="楷体" w:hAnsi="楷体" w:eastAsia="楷体" w:cs="楷体"/>
          <w:b w:val="0"/>
          <w:bCs w:val="0"/>
          <w:color w:val="000000" w:themeColor="text1"/>
          <w:sz w:val="30"/>
          <w:szCs w:val="24"/>
          <w:highlight w:val="none"/>
          <w:lang w:val="en-US" w:eastAsia="zh-CN"/>
          <w14:textFill>
            <w14:solidFill>
              <w14:schemeClr w14:val="tx1"/>
            </w14:solidFill>
          </w14:textFill>
        </w:rPr>
        <w:t>表1：部分地市三家运营商千兆起步套餐对比</w:t>
      </w:r>
    </w:p>
    <w:tbl>
      <w:tblPr>
        <w:tblStyle w:val="24"/>
        <w:tblW w:w="84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5"/>
        <w:gridCol w:w="2220"/>
        <w:gridCol w:w="2673"/>
        <w:gridCol w:w="2271"/>
      </w:tblGrid>
      <w:tr w14:paraId="13F7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tcPr>
          <w:p w14:paraId="1EC7F85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textAlignment w:val="auto"/>
              <w:rPr>
                <w:rFonts w:hint="eastAsia" w:ascii="楷体" w:hAnsi="楷体" w:eastAsia="楷体" w:cs="楷体"/>
                <w:b w:val="0"/>
                <w:bCs/>
                <w:sz w:val="24"/>
                <w:szCs w:val="24"/>
                <w:highlight w:val="none"/>
                <w:vertAlign w:val="baseline"/>
                <w:lang w:val="en-US" w:eastAsia="zh-CN"/>
              </w:rPr>
            </w:pPr>
          </w:p>
        </w:tc>
        <w:tc>
          <w:tcPr>
            <w:tcW w:w="2220" w:type="dxa"/>
          </w:tcPr>
          <w:p w14:paraId="3B3F7A0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eastAsia" w:ascii="楷体" w:hAnsi="楷体" w:eastAsia="楷体" w:cs="楷体"/>
                <w:b w:val="0"/>
                <w:bCs/>
                <w:sz w:val="24"/>
                <w:szCs w:val="24"/>
                <w:highlight w:val="none"/>
                <w:vertAlign w:val="baseline"/>
                <w:lang w:val="en-US" w:eastAsia="zh-CN"/>
              </w:rPr>
            </w:pPr>
            <w:r>
              <w:rPr>
                <w:rFonts w:hint="eastAsia" w:ascii="楷体" w:hAnsi="楷体" w:eastAsia="楷体" w:cs="楷体"/>
                <w:b w:val="0"/>
                <w:bCs/>
                <w:sz w:val="24"/>
                <w:szCs w:val="24"/>
                <w:highlight w:val="none"/>
                <w:vertAlign w:val="baseline"/>
                <w:lang w:val="en-US" w:eastAsia="zh-CN"/>
              </w:rPr>
              <w:t>DX</w:t>
            </w:r>
          </w:p>
        </w:tc>
        <w:tc>
          <w:tcPr>
            <w:tcW w:w="2673" w:type="dxa"/>
          </w:tcPr>
          <w:p w14:paraId="29D15B6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eastAsia" w:ascii="楷体" w:hAnsi="楷体" w:eastAsia="楷体" w:cs="楷体"/>
                <w:b w:val="0"/>
                <w:bCs/>
                <w:sz w:val="24"/>
                <w:szCs w:val="24"/>
                <w:highlight w:val="none"/>
                <w:vertAlign w:val="baseline"/>
                <w:lang w:val="en-US" w:eastAsia="zh-CN"/>
              </w:rPr>
            </w:pPr>
            <w:r>
              <w:rPr>
                <w:rFonts w:hint="eastAsia" w:ascii="楷体" w:hAnsi="楷体" w:eastAsia="楷体" w:cs="楷体"/>
                <w:b w:val="0"/>
                <w:bCs/>
                <w:sz w:val="24"/>
                <w:szCs w:val="24"/>
                <w:highlight w:val="none"/>
                <w:vertAlign w:val="baseline"/>
                <w:lang w:val="en-US" w:eastAsia="zh-CN"/>
              </w:rPr>
              <w:t>YD</w:t>
            </w:r>
          </w:p>
        </w:tc>
        <w:tc>
          <w:tcPr>
            <w:tcW w:w="2271" w:type="dxa"/>
          </w:tcPr>
          <w:p w14:paraId="13261CA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eastAsia" w:ascii="楷体" w:hAnsi="楷体" w:eastAsia="楷体" w:cs="楷体"/>
                <w:b w:val="0"/>
                <w:bCs/>
                <w:sz w:val="24"/>
                <w:szCs w:val="24"/>
                <w:highlight w:val="none"/>
                <w:vertAlign w:val="baseline"/>
                <w:lang w:val="en-US" w:eastAsia="zh-CN"/>
              </w:rPr>
            </w:pPr>
            <w:r>
              <w:rPr>
                <w:rFonts w:hint="eastAsia" w:ascii="楷体" w:hAnsi="楷体" w:eastAsia="楷体" w:cs="楷体"/>
                <w:b w:val="0"/>
                <w:bCs/>
                <w:sz w:val="24"/>
                <w:szCs w:val="24"/>
                <w:highlight w:val="none"/>
                <w:vertAlign w:val="baseline"/>
                <w:lang w:val="en-US" w:eastAsia="zh-CN"/>
              </w:rPr>
              <w:t>LT</w:t>
            </w:r>
          </w:p>
        </w:tc>
      </w:tr>
      <w:tr w14:paraId="5B37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tcPr>
          <w:p w14:paraId="5EFE617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楷体" w:hAnsi="楷体" w:eastAsia="楷体" w:cs="楷体"/>
                <w:b w:val="0"/>
                <w:bCs/>
                <w:sz w:val="24"/>
                <w:szCs w:val="24"/>
                <w:highlight w:val="none"/>
                <w:vertAlign w:val="baseline"/>
                <w:lang w:val="en-US" w:eastAsia="zh-CN"/>
              </w:rPr>
            </w:pPr>
            <w:r>
              <w:rPr>
                <w:rFonts w:hint="eastAsia" w:ascii="楷体" w:hAnsi="楷体" w:eastAsia="楷体" w:cs="楷体"/>
                <w:b w:val="0"/>
                <w:bCs/>
                <w:sz w:val="24"/>
                <w:szCs w:val="24"/>
                <w:highlight w:val="none"/>
                <w:vertAlign w:val="baseline"/>
                <w:lang w:val="en-US" w:eastAsia="zh-CN"/>
              </w:rPr>
              <w:t>地市1</w:t>
            </w:r>
          </w:p>
        </w:tc>
        <w:tc>
          <w:tcPr>
            <w:tcW w:w="2220" w:type="dxa"/>
          </w:tcPr>
          <w:p w14:paraId="21DC5B47">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199元，千兆</w:t>
            </w:r>
          </w:p>
        </w:tc>
        <w:tc>
          <w:tcPr>
            <w:tcW w:w="2673" w:type="dxa"/>
          </w:tcPr>
          <w:p w14:paraId="7286DDAA">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70元千兆。</w:t>
            </w:r>
          </w:p>
        </w:tc>
        <w:tc>
          <w:tcPr>
            <w:tcW w:w="2271" w:type="dxa"/>
          </w:tcPr>
          <w:p w14:paraId="6D1EA035">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 xml:space="preserve">79元，千兆 </w:t>
            </w:r>
          </w:p>
        </w:tc>
      </w:tr>
      <w:tr w14:paraId="5507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tcPr>
          <w:p w14:paraId="4A7C62A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楷体" w:hAnsi="楷体" w:eastAsia="楷体" w:cs="楷体"/>
                <w:b w:val="0"/>
                <w:bCs/>
                <w:sz w:val="24"/>
                <w:szCs w:val="24"/>
                <w:highlight w:val="none"/>
                <w:vertAlign w:val="baseline"/>
                <w:lang w:val="en-US" w:eastAsia="zh-CN"/>
              </w:rPr>
            </w:pPr>
            <w:r>
              <w:rPr>
                <w:rFonts w:hint="eastAsia" w:ascii="楷体" w:hAnsi="楷体" w:eastAsia="楷体" w:cs="楷体"/>
                <w:b w:val="0"/>
                <w:bCs/>
                <w:sz w:val="24"/>
                <w:szCs w:val="24"/>
                <w:highlight w:val="none"/>
                <w:vertAlign w:val="baseline"/>
                <w:lang w:val="en-US" w:eastAsia="zh-CN"/>
              </w:rPr>
              <w:t>地市2</w:t>
            </w:r>
          </w:p>
        </w:tc>
        <w:tc>
          <w:tcPr>
            <w:tcW w:w="2220" w:type="dxa"/>
          </w:tcPr>
          <w:p w14:paraId="46043D61">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千兆219起步；</w:t>
            </w:r>
          </w:p>
          <w:p w14:paraId="23E5B034">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129元，300分钟，20G，300M。</w:t>
            </w:r>
          </w:p>
        </w:tc>
        <w:tc>
          <w:tcPr>
            <w:tcW w:w="2673" w:type="dxa"/>
          </w:tcPr>
          <w:p w14:paraId="68B3A22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p>
          <w:p w14:paraId="7DAF7CA0">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129元千兆，500分钟，50G 流量。</w:t>
            </w:r>
          </w:p>
        </w:tc>
        <w:tc>
          <w:tcPr>
            <w:tcW w:w="2271" w:type="dxa"/>
          </w:tcPr>
          <w:p w14:paraId="2205788C">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99元千兆，300分钟，60G；</w:t>
            </w:r>
          </w:p>
          <w:p w14:paraId="234EA998">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129元，600分钟，60G，2千兆。</w:t>
            </w:r>
          </w:p>
        </w:tc>
      </w:tr>
      <w:tr w14:paraId="15AE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tcPr>
          <w:p w14:paraId="26E0ECC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楷体" w:hAnsi="楷体" w:eastAsia="楷体" w:cs="楷体"/>
                <w:b w:val="0"/>
                <w:bCs/>
                <w:sz w:val="24"/>
                <w:szCs w:val="24"/>
                <w:highlight w:val="none"/>
                <w:vertAlign w:val="baseline"/>
                <w:lang w:val="en-US" w:eastAsia="zh-CN"/>
              </w:rPr>
            </w:pPr>
            <w:r>
              <w:rPr>
                <w:rFonts w:hint="eastAsia" w:ascii="楷体" w:hAnsi="楷体" w:eastAsia="楷体" w:cs="楷体"/>
                <w:b w:val="0"/>
                <w:bCs/>
                <w:sz w:val="24"/>
                <w:szCs w:val="24"/>
                <w:highlight w:val="none"/>
                <w:vertAlign w:val="baseline"/>
                <w:lang w:val="en-US" w:eastAsia="zh-CN"/>
              </w:rPr>
              <w:t>地市3</w:t>
            </w:r>
          </w:p>
        </w:tc>
        <w:tc>
          <w:tcPr>
            <w:tcW w:w="2220" w:type="dxa"/>
          </w:tcPr>
          <w:p w14:paraId="75B6EBEB">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千兆189元起步</w:t>
            </w:r>
          </w:p>
        </w:tc>
        <w:tc>
          <w:tcPr>
            <w:tcW w:w="2673" w:type="dxa"/>
          </w:tcPr>
          <w:p w14:paraId="4A6E5FC6">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60元千兆，面向电信189套餐用户推</w:t>
            </w:r>
          </w:p>
        </w:tc>
        <w:tc>
          <w:tcPr>
            <w:tcW w:w="2271" w:type="dxa"/>
          </w:tcPr>
          <w:p w14:paraId="56E6C72F">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千兆79元起步</w:t>
            </w:r>
          </w:p>
        </w:tc>
      </w:tr>
      <w:tr w14:paraId="1455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tcPr>
          <w:p w14:paraId="04287D8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楷体" w:hAnsi="楷体" w:eastAsia="楷体" w:cs="楷体"/>
                <w:b w:val="0"/>
                <w:bCs/>
                <w:sz w:val="24"/>
                <w:szCs w:val="24"/>
                <w:highlight w:val="none"/>
                <w:vertAlign w:val="baseline"/>
                <w:lang w:val="en-US" w:eastAsia="zh-CN"/>
              </w:rPr>
            </w:pPr>
            <w:r>
              <w:rPr>
                <w:rFonts w:hint="eastAsia" w:ascii="楷体" w:hAnsi="楷体" w:eastAsia="楷体" w:cs="楷体"/>
                <w:b w:val="0"/>
                <w:bCs/>
                <w:sz w:val="24"/>
                <w:szCs w:val="24"/>
                <w:highlight w:val="none"/>
                <w:vertAlign w:val="baseline"/>
                <w:lang w:val="en-US" w:eastAsia="zh-CN"/>
              </w:rPr>
              <w:t>地市4</w:t>
            </w:r>
          </w:p>
        </w:tc>
        <w:tc>
          <w:tcPr>
            <w:tcW w:w="2220" w:type="dxa"/>
          </w:tcPr>
          <w:p w14:paraId="3F48A268">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千兆169元起步</w:t>
            </w:r>
          </w:p>
        </w:tc>
        <w:tc>
          <w:tcPr>
            <w:tcW w:w="2673" w:type="dxa"/>
          </w:tcPr>
          <w:p w14:paraId="7746DFE0">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千兆79元起步</w:t>
            </w:r>
          </w:p>
        </w:tc>
        <w:tc>
          <w:tcPr>
            <w:tcW w:w="2271" w:type="dxa"/>
          </w:tcPr>
          <w:p w14:paraId="793ED8A0">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千兆99元起步</w:t>
            </w:r>
          </w:p>
        </w:tc>
      </w:tr>
    </w:tbl>
    <w:p w14:paraId="076C2653">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175"/>
        <w:textAlignment w:val="auto"/>
        <w:rPr>
          <w:rFonts w:hint="eastAsia"/>
          <w:b w:val="0"/>
          <w:bCs/>
          <w:sz w:val="24"/>
          <w:szCs w:val="24"/>
          <w:highlight w:val="none"/>
          <w:lang w:val="en-US" w:eastAsia="zh-CN"/>
        </w:rPr>
      </w:pPr>
    </w:p>
    <w:p w14:paraId="2577F2BD">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0" w:leftChars="0" w:firstLine="0" w:firstLineChars="0"/>
        <w:jc w:val="left"/>
        <w:textAlignment w:val="auto"/>
        <w:rPr>
          <w:rFonts w:hint="eastAsia" w:ascii="仿宋" w:hAnsi="仿宋" w:eastAsia="仿宋" w:cs="仿宋"/>
          <w:b w:val="0"/>
          <w:bCs/>
          <w:sz w:val="48"/>
          <w:szCs w:val="48"/>
          <w:highlight w:val="none"/>
          <w:lang w:val="en-US" w:eastAsia="zh-CN"/>
        </w:rPr>
      </w:pPr>
      <w:r>
        <w:rPr>
          <w:rFonts w:hint="eastAsia" w:ascii="仿宋" w:hAnsi="仿宋" w:eastAsia="仿宋" w:cs="仿宋"/>
          <w:b w:val="0"/>
          <w:bCs/>
          <w:sz w:val="48"/>
          <w:szCs w:val="48"/>
          <w:highlight w:val="none"/>
          <w:lang w:val="en-US" w:eastAsia="zh-CN"/>
        </w:rPr>
        <w:t>【</w:t>
      </w:r>
      <w:r>
        <w:rPr>
          <w:rFonts w:hint="eastAsia" w:ascii="仿宋" w:hAnsi="仿宋" w:eastAsia="仿宋" w:cs="仿宋"/>
          <w:b/>
          <w:bCs w:val="0"/>
          <w:i/>
          <w:iCs/>
          <w:sz w:val="32"/>
          <w:szCs w:val="32"/>
          <w:highlight w:val="none"/>
          <w:lang w:val="en-US" w:eastAsia="zh-CN"/>
        </w:rPr>
        <w:t>地市原声</w:t>
      </w:r>
      <w:r>
        <w:rPr>
          <w:rFonts w:hint="eastAsia" w:ascii="仿宋" w:hAnsi="仿宋" w:eastAsia="仿宋" w:cs="仿宋"/>
          <w:b w:val="0"/>
          <w:bCs/>
          <w:i/>
          <w:iCs/>
          <w:sz w:val="32"/>
          <w:szCs w:val="32"/>
          <w:highlight w:val="none"/>
          <w:lang w:val="en-US" w:eastAsia="zh-CN"/>
        </w:rPr>
        <w:t>：1）客户的感知第一是价钱。第二才是质量。</w:t>
      </w:r>
      <w:r>
        <w:rPr>
          <w:rFonts w:hint="eastAsia" w:ascii="仿宋" w:hAnsi="仿宋" w:eastAsia="仿宋" w:cs="仿宋"/>
          <w:b/>
          <w:bCs w:val="0"/>
          <w:i/>
          <w:iCs/>
          <w:color w:val="FF0000"/>
          <w:sz w:val="32"/>
          <w:szCs w:val="32"/>
          <w:highlight w:val="none"/>
          <w:lang w:val="en-US" w:eastAsia="zh-CN"/>
        </w:rPr>
        <w:t>价格决定了客户对质量的认知，已经给了客户一个既定的标准</w:t>
      </w:r>
      <w:r>
        <w:rPr>
          <w:rFonts w:hint="eastAsia" w:ascii="仿宋" w:hAnsi="仿宋" w:eastAsia="仿宋" w:cs="仿宋"/>
          <w:b w:val="0"/>
          <w:bCs/>
          <w:i/>
          <w:iCs/>
          <w:sz w:val="32"/>
          <w:szCs w:val="32"/>
          <w:highlight w:val="none"/>
          <w:lang w:val="en-US" w:eastAsia="zh-CN"/>
        </w:rPr>
        <w:t>。200块钱他对你的要求会很高；联通130块钱，反正不掉线、不卡就行；30块钱的移动，有网络就可以了。2）一个“贵”字，其实可以拒绝你很多东西。</w:t>
      </w:r>
      <w:r>
        <w:rPr>
          <w:rFonts w:hint="eastAsia" w:ascii="仿宋" w:hAnsi="仿宋" w:eastAsia="仿宋" w:cs="仿宋"/>
          <w:b w:val="0"/>
          <w:bCs/>
          <w:sz w:val="48"/>
          <w:szCs w:val="48"/>
          <w:highlight w:val="none"/>
          <w:lang w:val="en-US" w:eastAsia="zh-CN"/>
        </w:rPr>
        <w:t>】</w:t>
      </w:r>
    </w:p>
    <w:p w14:paraId="1844BA8B">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_GB2312" w:cs="仿宋"/>
          <w:b w:val="0"/>
          <w:bCs w:val="0"/>
          <w:sz w:val="32"/>
          <w:szCs w:val="28"/>
          <w:highlight w:val="none"/>
          <w:lang w:val="en-US" w:eastAsia="zh-CN"/>
        </w:rPr>
      </w:pPr>
    </w:p>
    <w:p w14:paraId="65CD41B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面对友商的低价竞争，电信缺乏有效的应对策略。</w:t>
      </w:r>
    </w:p>
    <w:p w14:paraId="24BD19A0">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对于友商的低价竞争、以及通过第三方渠道不断电话骚扰中电信存量家庭客户的情况，各地市既要保存量、又限于统一的资费管控及规范化操作要求，在竞争层面没有很好的办法来应对，只能加强防守，结合系统数据紧盯存量客户的业务消费异动，做好客户维系工作。</w:t>
      </w:r>
    </w:p>
    <w:p w14:paraId="417D923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0"/>
        <w:jc w:val="left"/>
        <w:textAlignment w:val="auto"/>
        <w:outlineLvl w:val="1"/>
        <w:rPr>
          <w:rFonts w:hint="default" w:ascii="仿宋" w:hAnsi="仿宋" w:eastAsia="仿宋_GB2312" w:cs="仿宋"/>
          <w:b/>
          <w:bCs/>
          <w:color w:val="auto"/>
          <w:sz w:val="32"/>
          <w:szCs w:val="28"/>
          <w:highlight w:val="none"/>
          <w:lang w:val="en-US" w:eastAsia="zh-CN"/>
        </w:rPr>
      </w:pPr>
      <w:r>
        <w:rPr>
          <w:rFonts w:hint="default" w:ascii="仿宋" w:hAnsi="仿宋" w:eastAsia="仿宋_GB2312" w:cs="仿宋"/>
          <w:b/>
          <w:bCs/>
          <w:color w:val="auto"/>
          <w:sz w:val="32"/>
          <w:szCs w:val="28"/>
          <w:highlight w:val="none"/>
          <w:lang w:val="en-US" w:eastAsia="zh-CN"/>
        </w:rPr>
        <w:t>推广策略与拓展渠道</w:t>
      </w:r>
      <w:r>
        <w:rPr>
          <w:rFonts w:hint="eastAsia" w:ascii="仿宋" w:hAnsi="仿宋" w:eastAsia="仿宋_GB2312" w:cs="仿宋"/>
          <w:b/>
          <w:bCs/>
          <w:color w:val="auto"/>
          <w:sz w:val="32"/>
          <w:szCs w:val="28"/>
          <w:highlight w:val="none"/>
          <w:lang w:val="en-US" w:eastAsia="zh-CN"/>
        </w:rPr>
        <w:t>：友商自有渠道建设和代理渠道高佣金政策齐头并进，对中电信高值家庭客户的发展与保有冲击较大。</w:t>
      </w:r>
    </w:p>
    <w:p w14:paraId="3BC8E82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友商中移动加强地面渠道建设，中电信在一线渠道与运营管理模式上的相对优势在逐渐缩小。</w:t>
      </w:r>
    </w:p>
    <w:p w14:paraId="7E4A8997">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中电信“小区扎根、网格化划小承包”的一线运营管理模式，原本在三家运营商中有明显优势。但中移动在这方面不断学习模仿，与中电信的差距在逐渐缩小。</w:t>
      </w:r>
    </w:p>
    <w:p w14:paraId="76D459DF">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目前两家的差别在于：中移动的地面渠道仍以代理为主，自有渠道占比较小；而中电信基本都是自有渠道。所以中移动在渠道协同、销售组织方面稍逊于电信；但中移动的优势在于有充足的成本支持，可以短时间内全面铺开。</w:t>
      </w:r>
    </w:p>
    <w:p w14:paraId="2E767AD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友商除采用低价策略抢占市场之外，其第三方代理渠道对中电信高值家庭客户的发展与维护形成较大冲击。</w:t>
      </w:r>
    </w:p>
    <w:p w14:paraId="7B6AD1B0">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一是通过第三方渠道合作商，不断骚扰电信高值客户</w:t>
      </w:r>
      <w:r>
        <w:rPr>
          <w:rFonts w:hint="eastAsia" w:ascii="仿宋" w:hAnsi="仿宋" w:eastAsia="仿宋_GB2312" w:cs="仿宋"/>
          <w:b w:val="0"/>
          <w:bCs w:val="0"/>
          <w:sz w:val="32"/>
          <w:szCs w:val="28"/>
          <w:highlight w:val="none"/>
          <w:lang w:val="en-US" w:eastAsia="zh-CN"/>
        </w:rPr>
        <w:t>。承诺中电信的原套餐内容不变，转网后在中电信原套餐基础上打五折甚至三折，并且可连续享受两年。</w:t>
      </w:r>
    </w:p>
    <w:p w14:paraId="685AE4BB">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二是</w:t>
      </w:r>
      <w:r>
        <w:rPr>
          <w:rFonts w:hint="default" w:ascii="仿宋" w:hAnsi="仿宋" w:eastAsia="仿宋_GB2312" w:cs="仿宋"/>
          <w:b/>
          <w:bCs/>
          <w:sz w:val="32"/>
          <w:szCs w:val="28"/>
          <w:highlight w:val="none"/>
          <w:lang w:val="en-US" w:eastAsia="zh-CN"/>
        </w:rPr>
        <w:t>友商给代理商</w:t>
      </w:r>
      <w:r>
        <w:rPr>
          <w:rFonts w:hint="eastAsia" w:ascii="仿宋" w:hAnsi="仿宋" w:eastAsia="仿宋_GB2312" w:cs="仿宋"/>
          <w:b/>
          <w:bCs/>
          <w:sz w:val="32"/>
          <w:szCs w:val="28"/>
          <w:highlight w:val="none"/>
          <w:lang w:val="en-US" w:eastAsia="zh-CN"/>
        </w:rPr>
        <w:t>高达10倍的高</w:t>
      </w:r>
      <w:r>
        <w:rPr>
          <w:rFonts w:hint="default" w:ascii="仿宋" w:hAnsi="仿宋" w:eastAsia="仿宋_GB2312" w:cs="仿宋"/>
          <w:b/>
          <w:bCs/>
          <w:sz w:val="32"/>
          <w:szCs w:val="28"/>
          <w:highlight w:val="none"/>
          <w:lang w:val="en-US" w:eastAsia="zh-CN"/>
        </w:rPr>
        <w:t>佣金</w:t>
      </w:r>
      <w:r>
        <w:rPr>
          <w:rFonts w:hint="eastAsia" w:ascii="仿宋" w:hAnsi="仿宋" w:eastAsia="仿宋_GB2312" w:cs="仿宋"/>
          <w:b w:val="0"/>
          <w:bCs w:val="0"/>
          <w:sz w:val="32"/>
          <w:szCs w:val="28"/>
          <w:highlight w:val="none"/>
          <w:lang w:val="en-US" w:eastAsia="zh-CN"/>
        </w:rPr>
        <w:t>。高利驱动下，其代理商</w:t>
      </w:r>
      <w:r>
        <w:rPr>
          <w:rFonts w:hint="eastAsia" w:ascii="仿宋" w:hAnsi="仿宋" w:eastAsia="仿宋_GB2312" w:cs="仿宋"/>
          <w:b/>
          <w:bCs/>
          <w:sz w:val="32"/>
          <w:szCs w:val="28"/>
          <w:highlight w:val="none"/>
          <w:lang w:val="en-US" w:eastAsia="zh-CN"/>
        </w:rPr>
        <w:t>从中电信代理商“买单”</w:t>
      </w:r>
      <w:r>
        <w:rPr>
          <w:rFonts w:hint="eastAsia" w:ascii="仿宋" w:hAnsi="仿宋" w:eastAsia="仿宋_GB2312" w:cs="仿宋"/>
          <w:b w:val="0"/>
          <w:bCs w:val="0"/>
          <w:sz w:val="32"/>
          <w:szCs w:val="28"/>
          <w:highlight w:val="none"/>
          <w:lang w:val="en-US" w:eastAsia="zh-CN"/>
        </w:rPr>
        <w:t>，从源头抢占客户（如介绍一个客户返10倍）；</w:t>
      </w:r>
      <w:r>
        <w:rPr>
          <w:rFonts w:hint="eastAsia" w:ascii="仿宋" w:hAnsi="仿宋" w:eastAsia="仿宋_GB2312" w:cs="仿宋"/>
          <w:b w:val="0"/>
          <w:bCs w:val="0"/>
          <w:sz w:val="32"/>
          <w:szCs w:val="28"/>
          <w:highlight w:val="none"/>
          <w:lang w:val="en-US" w:eastAsia="zh-CN"/>
        </w:rPr>
        <w:t>或者把佣金用来返现给客户（客户实际支付的套餐费用降低）。友商这种高佣金政策直接造成中电信存量客户的流失，影响非常大。</w:t>
      </w:r>
    </w:p>
    <w:p w14:paraId="28239D46">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三是中联通在多地不计效益跟</w:t>
      </w:r>
      <w:r>
        <w:rPr>
          <w:rFonts w:hint="default" w:ascii="仿宋" w:hAnsi="仿宋" w:eastAsia="仿宋_GB2312" w:cs="仿宋"/>
          <w:b/>
          <w:bCs/>
          <w:sz w:val="32"/>
          <w:szCs w:val="28"/>
          <w:highlight w:val="none"/>
          <w:lang w:val="en-US" w:eastAsia="zh-CN"/>
        </w:rPr>
        <w:t>物业</w:t>
      </w:r>
      <w:r>
        <w:rPr>
          <w:rFonts w:hint="eastAsia" w:ascii="仿宋" w:hAnsi="仿宋" w:eastAsia="仿宋_GB2312" w:cs="仿宋"/>
          <w:b/>
          <w:bCs/>
          <w:sz w:val="32"/>
          <w:szCs w:val="28"/>
          <w:highlight w:val="none"/>
          <w:lang w:val="en-US" w:eastAsia="zh-CN"/>
        </w:rPr>
        <w:t>合作，对整个小区客户进行策反</w:t>
      </w:r>
      <w:r>
        <w:rPr>
          <w:rFonts w:hint="eastAsia" w:ascii="仿宋" w:hAnsi="仿宋" w:eastAsia="仿宋_GB2312" w:cs="仿宋"/>
          <w:b w:val="0"/>
          <w:bCs w:val="0"/>
          <w:sz w:val="32"/>
          <w:szCs w:val="28"/>
          <w:highlight w:val="none"/>
          <w:lang w:val="en-US" w:eastAsia="zh-CN"/>
        </w:rPr>
        <w:t>。具体有两种方式：1）跟物业总部进行</w:t>
      </w:r>
      <w:r>
        <w:rPr>
          <w:rFonts w:hint="default" w:ascii="仿宋" w:hAnsi="仿宋" w:eastAsia="仿宋_GB2312" w:cs="仿宋"/>
          <w:b w:val="0"/>
          <w:bCs w:val="0"/>
          <w:sz w:val="32"/>
          <w:szCs w:val="28"/>
          <w:highlight w:val="none"/>
          <w:lang w:val="en-US" w:eastAsia="zh-CN"/>
        </w:rPr>
        <w:t>合作</w:t>
      </w:r>
      <w:r>
        <w:rPr>
          <w:rFonts w:hint="eastAsia" w:ascii="仿宋" w:hAnsi="仿宋" w:eastAsia="仿宋_GB2312" w:cs="仿宋"/>
          <w:b w:val="0"/>
          <w:bCs w:val="0"/>
          <w:sz w:val="32"/>
          <w:szCs w:val="28"/>
          <w:highlight w:val="none"/>
          <w:lang w:val="en-US" w:eastAsia="zh-CN"/>
        </w:rPr>
        <w:t>（地市A）</w:t>
      </w:r>
      <w:r>
        <w:rPr>
          <w:rFonts w:hint="default" w:ascii="仿宋" w:hAnsi="仿宋" w:eastAsia="仿宋_GB2312" w:cs="仿宋"/>
          <w:b w:val="0"/>
          <w:bCs w:val="0"/>
          <w:sz w:val="32"/>
          <w:szCs w:val="28"/>
          <w:highlight w:val="none"/>
          <w:lang w:val="en-US" w:eastAsia="zh-CN"/>
        </w:rPr>
        <w:t>，</w:t>
      </w:r>
      <w:r>
        <w:rPr>
          <w:rFonts w:hint="eastAsia" w:ascii="仿宋" w:hAnsi="仿宋" w:eastAsia="仿宋_GB2312" w:cs="仿宋"/>
          <w:b w:val="0"/>
          <w:bCs w:val="0"/>
          <w:sz w:val="32"/>
          <w:szCs w:val="28"/>
          <w:highlight w:val="none"/>
          <w:lang w:val="en-US" w:eastAsia="zh-CN"/>
        </w:rPr>
        <w:t>预存物业费免费用中联通业务。</w:t>
      </w:r>
      <w:r>
        <w:rPr>
          <w:rFonts w:hint="default" w:ascii="仿宋" w:hAnsi="仿宋" w:eastAsia="仿宋_GB2312" w:cs="仿宋"/>
          <w:b w:val="0"/>
          <w:bCs w:val="0"/>
          <w:sz w:val="32"/>
          <w:szCs w:val="28"/>
          <w:highlight w:val="none"/>
          <w:lang w:val="en-US" w:eastAsia="zh-CN"/>
        </w:rPr>
        <w:t>比如</w:t>
      </w:r>
      <w:r>
        <w:rPr>
          <w:rFonts w:hint="eastAsia" w:ascii="仿宋" w:hAnsi="仿宋" w:eastAsia="仿宋_GB2312" w:cs="仿宋"/>
          <w:b w:val="0"/>
          <w:bCs w:val="0"/>
          <w:sz w:val="32"/>
          <w:szCs w:val="28"/>
          <w:highlight w:val="none"/>
          <w:lang w:val="en-US" w:eastAsia="zh-CN"/>
        </w:rPr>
        <w:t>客户</w:t>
      </w:r>
      <w:r>
        <w:rPr>
          <w:rFonts w:hint="default" w:ascii="仿宋" w:hAnsi="仿宋" w:eastAsia="仿宋_GB2312" w:cs="仿宋"/>
          <w:b w:val="0"/>
          <w:bCs w:val="0"/>
          <w:sz w:val="32"/>
          <w:szCs w:val="28"/>
          <w:highlight w:val="none"/>
          <w:lang w:val="en-US" w:eastAsia="zh-CN"/>
        </w:rPr>
        <w:t>预存半年或者一年物业费，客户</w:t>
      </w:r>
      <w:r>
        <w:rPr>
          <w:rFonts w:hint="eastAsia" w:ascii="仿宋" w:hAnsi="仿宋" w:eastAsia="仿宋_GB2312" w:cs="仿宋"/>
          <w:b w:val="0"/>
          <w:bCs w:val="0"/>
          <w:sz w:val="32"/>
          <w:szCs w:val="28"/>
          <w:highlight w:val="none"/>
          <w:lang w:val="en-US" w:eastAsia="zh-CN"/>
        </w:rPr>
        <w:t>可免费</w:t>
      </w:r>
      <w:r>
        <w:rPr>
          <w:rFonts w:hint="default" w:ascii="仿宋" w:hAnsi="仿宋" w:eastAsia="仿宋_GB2312" w:cs="仿宋"/>
          <w:b w:val="0"/>
          <w:bCs w:val="0"/>
          <w:sz w:val="32"/>
          <w:szCs w:val="28"/>
          <w:highlight w:val="none"/>
          <w:lang w:val="en-US" w:eastAsia="zh-CN"/>
        </w:rPr>
        <w:t>用八个月</w:t>
      </w:r>
      <w:r>
        <w:rPr>
          <w:rFonts w:hint="eastAsia" w:ascii="仿宋" w:hAnsi="仿宋" w:eastAsia="仿宋_GB2312" w:cs="仿宋"/>
          <w:b w:val="0"/>
          <w:bCs w:val="0"/>
          <w:sz w:val="32"/>
          <w:szCs w:val="28"/>
          <w:highlight w:val="none"/>
          <w:lang w:val="en-US" w:eastAsia="zh-CN"/>
        </w:rPr>
        <w:t>，到期</w:t>
      </w:r>
      <w:r>
        <w:rPr>
          <w:rFonts w:hint="default" w:ascii="仿宋" w:hAnsi="仿宋" w:eastAsia="仿宋_GB2312" w:cs="仿宋"/>
          <w:b w:val="0"/>
          <w:bCs w:val="0"/>
          <w:sz w:val="32"/>
          <w:szCs w:val="28"/>
          <w:highlight w:val="none"/>
          <w:lang w:val="en-US" w:eastAsia="zh-CN"/>
        </w:rPr>
        <w:t>可免违约金退。</w:t>
      </w:r>
      <w:r>
        <w:rPr>
          <w:rFonts w:hint="eastAsia" w:ascii="仿宋" w:hAnsi="仿宋" w:eastAsia="仿宋_GB2312" w:cs="仿宋"/>
          <w:b w:val="0"/>
          <w:bCs w:val="0"/>
          <w:sz w:val="32"/>
          <w:szCs w:val="28"/>
          <w:highlight w:val="none"/>
          <w:lang w:val="en-US" w:eastAsia="zh-CN"/>
        </w:rPr>
        <w:t>2）跟主管物业的政府部门合作（地市B），渗透到全国性知名品牌楼盘，跟物业合作主推49元千兆套餐。</w:t>
      </w:r>
    </w:p>
    <w:p w14:paraId="3ADF3D1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0"/>
        <w:jc w:val="left"/>
        <w:textAlignment w:val="auto"/>
        <w:outlineLvl w:val="1"/>
        <w:rPr>
          <w:rFonts w:hint="default" w:ascii="仿宋" w:hAnsi="仿宋" w:eastAsia="仿宋_GB2312" w:cs="仿宋"/>
          <w:b/>
          <w:bCs/>
          <w:color w:val="auto"/>
          <w:sz w:val="32"/>
          <w:szCs w:val="28"/>
          <w:highlight w:val="none"/>
          <w:lang w:val="en-US" w:eastAsia="zh-CN"/>
        </w:rPr>
      </w:pPr>
      <w:r>
        <w:rPr>
          <w:rFonts w:hint="default" w:ascii="仿宋" w:hAnsi="仿宋" w:eastAsia="仿宋_GB2312" w:cs="仿宋"/>
          <w:b/>
          <w:bCs/>
          <w:color w:val="auto"/>
          <w:sz w:val="32"/>
          <w:szCs w:val="28"/>
          <w:highlight w:val="none"/>
          <w:lang w:val="en-US" w:eastAsia="zh-CN"/>
        </w:rPr>
        <w:t>高套客户的维护与保有</w:t>
      </w:r>
    </w:p>
    <w:p w14:paraId="1A4FD923">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目前地市分公司都比较重视存量用户的维系。主要措施包括：1）合约到期前的续约；2）根据高风险客户维系模型，对使用行为异常用户（有流失风险用户）进行维系；3）在欠费和流失的关键节点，落实挽留动作。但还存在一些不足或问题。</w:t>
      </w:r>
    </w:p>
    <w:p w14:paraId="62E768AA">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短期来看，客户流失预警存在局限，拆挽较友商反应较慢且缺乏针对性的挽留优惠政策。</w:t>
      </w:r>
    </w:p>
    <w:p w14:paraId="4B44847A">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首先，</w:t>
      </w:r>
      <w:r>
        <w:rPr>
          <w:rFonts w:hint="eastAsia" w:ascii="仿宋" w:hAnsi="仿宋" w:eastAsia="仿宋_GB2312" w:cs="仿宋"/>
          <w:b/>
          <w:bCs/>
          <w:sz w:val="32"/>
          <w:szCs w:val="28"/>
          <w:highlight w:val="none"/>
          <w:lang w:val="en-US" w:eastAsia="zh-CN"/>
        </w:rPr>
        <w:t>流失预警对区域维度的竞争情况数据支撑不足。</w:t>
      </w:r>
      <w:r>
        <w:rPr>
          <w:rFonts w:hint="eastAsia" w:ascii="仿宋" w:hAnsi="仿宋" w:eastAsia="仿宋_GB2312" w:cs="仿宋"/>
          <w:b w:val="0"/>
          <w:bCs w:val="0"/>
          <w:sz w:val="32"/>
          <w:szCs w:val="28"/>
          <w:highlight w:val="none"/>
          <w:lang w:val="en-US" w:eastAsia="zh-CN"/>
        </w:rPr>
        <w:t>目前对客户流失风险的判断，省公司层面部署了相关模型，地市层面在此基础上根据本地情况也做了本地市的模型。这些模型从客户使用行为的异动来进行客户流失风险判断，对本地网进行客户维系起到了积极的作用。但仍存在一些局限：一是</w:t>
      </w:r>
      <w:r>
        <w:rPr>
          <w:rFonts w:hint="eastAsia" w:ascii="仿宋" w:hAnsi="仿宋" w:eastAsia="仿宋_GB2312" w:cs="仿宋"/>
          <w:b/>
          <w:bCs/>
          <w:sz w:val="32"/>
          <w:szCs w:val="28"/>
          <w:highlight w:val="none"/>
          <w:lang w:val="en-US" w:eastAsia="zh-CN"/>
        </w:rPr>
        <w:t>友商的策反动作不能在数据监测层面得出一些收敛性预警结论</w:t>
      </w:r>
      <w:r>
        <w:rPr>
          <w:rFonts w:hint="eastAsia" w:ascii="仿宋" w:hAnsi="仿宋" w:eastAsia="仿宋_GB2312" w:cs="仿宋"/>
          <w:b w:val="0"/>
          <w:bCs w:val="0"/>
          <w:sz w:val="32"/>
          <w:szCs w:val="28"/>
          <w:highlight w:val="none"/>
          <w:lang w:val="en-US" w:eastAsia="zh-CN"/>
        </w:rPr>
        <w:t>，比如从面上看，哪些区域友商抢的比较厉害，某一个区域百分之多少的宽带突然处于沉默状态、或者异动状态；二是部分客户被友商策反情况下，流失前在系统数据层面没有任何征兆，难以预判流失风险。</w:t>
      </w:r>
    </w:p>
    <w:p w14:paraId="07E05C74">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其次，</w:t>
      </w:r>
      <w:r>
        <w:rPr>
          <w:rFonts w:hint="eastAsia" w:ascii="仿宋" w:hAnsi="仿宋" w:eastAsia="仿宋_GB2312" w:cs="仿宋"/>
          <w:b/>
          <w:bCs/>
          <w:sz w:val="32"/>
          <w:szCs w:val="28"/>
          <w:highlight w:val="none"/>
          <w:lang w:val="en-US" w:eastAsia="zh-CN"/>
        </w:rPr>
        <w:t>针对携转的拆挽，客服系统与客户维系部门之间协同欠缺，缺乏快速的系统性响应</w:t>
      </w:r>
      <w:r>
        <w:rPr>
          <w:rFonts w:hint="eastAsia" w:ascii="仿宋" w:hAnsi="仿宋" w:eastAsia="仿宋_GB2312" w:cs="仿宋"/>
          <w:b w:val="0"/>
          <w:bCs w:val="0"/>
          <w:sz w:val="32"/>
          <w:szCs w:val="28"/>
          <w:highlight w:val="none"/>
          <w:lang w:val="en-US" w:eastAsia="zh-CN"/>
        </w:rPr>
        <w:t>。主要表现在：客户的携转/拆机信息没有快速从客服系统同步到相关部门。比如客服收到携转请求，该信息在一小时后进行系统更新，但没有在信息更新的同时，把信息推送到客户维系相关部门人员的手机上，而是必须有人登录系统查看才知道，导致相关部门不能及时响应。反观中移动：针对携转用户，需要客户至少3次拨打客户电话。友商针对这类情况，制定了相应话术，及客服应对策略；同时，客服系统在用户不知情情况下默默加装小合约，制造离网障碍；在此期间，客户信息迅速同步到客户维系部门，快速响应进行挽留动作。</w:t>
      </w:r>
    </w:p>
    <w:p w14:paraId="7476E927">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第三，</w:t>
      </w:r>
      <w:r>
        <w:rPr>
          <w:rFonts w:hint="eastAsia" w:ascii="仿宋" w:hAnsi="仿宋" w:eastAsia="仿宋_GB2312" w:cs="仿宋"/>
          <w:b/>
          <w:bCs/>
          <w:sz w:val="32"/>
          <w:szCs w:val="28"/>
          <w:highlight w:val="none"/>
          <w:lang w:val="en-US" w:eastAsia="zh-CN"/>
        </w:rPr>
        <w:t>政策应对方面：对拆机、或者要求降档的客户，缺乏针对性的优惠措施给客户进行价值填充</w:t>
      </w:r>
      <w:r>
        <w:rPr>
          <w:rFonts w:hint="eastAsia" w:ascii="仿宋" w:hAnsi="仿宋" w:eastAsia="仿宋_GB2312" w:cs="仿宋"/>
          <w:b w:val="0"/>
          <w:bCs w:val="0"/>
          <w:sz w:val="32"/>
          <w:szCs w:val="28"/>
          <w:highlight w:val="none"/>
          <w:lang w:val="en-US" w:eastAsia="zh-CN"/>
        </w:rPr>
        <w:t>。中电信的主线是围绕价值来运营，但缺少相应的政策进行价值填充。比如缺少权益类、或流量类、或提速类的体验内容提供给客户，大部分情况下，是通过笔算的方式说服客户、以保留客户当前的价值，耗时耗力且客户感知不强。</w:t>
      </w:r>
    </w:p>
    <w:p w14:paraId="5DD39DC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长期来看，客户忠诚度体系建设相对中移动严重滞后，未能对高值客户维系起到有效辅助作用。</w:t>
      </w:r>
    </w:p>
    <w:p w14:paraId="4D2B9A43">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中电信除了给客户提供一些收费权益（如9.9元权益包）外，对老客户基本上没有提供关怀价值。而反观中移动：对于其高端客户，提供了丰富的权益，给客户带来强烈的归属感和身份认同，提高了其高值客户的忠诚度。</w:t>
      </w:r>
    </w:p>
    <w:p w14:paraId="2B7ACE4C">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中移动的权益体系可以分为三个层次</w:t>
      </w:r>
      <w:r>
        <w:rPr>
          <w:rFonts w:hint="eastAsia" w:ascii="仿宋" w:hAnsi="仿宋" w:eastAsia="仿宋_GB2312" w:cs="仿宋"/>
          <w:b w:val="0"/>
          <w:bCs w:val="0"/>
          <w:sz w:val="32"/>
          <w:szCs w:val="28"/>
          <w:highlight w:val="none"/>
          <w:lang w:val="en-US" w:eastAsia="zh-CN"/>
        </w:rPr>
        <w:t>：一是赠送爱优腾会员等普通权益；二是提供特色权益，如给高端客户赠送10-20G境外流量（中电信25元/天）、机场快速通道或者移动VIP休息室等；三是成立权益俱乐部，组织运营音乐节等权益活动。通过权益运营实现客户忠诚度运营，为企业与客户之间的接触与互动创造机会，增强了客户归属感和忠诚度；无形中也增加了一线策反中移动高端客户的难度和障碍。</w:t>
      </w:r>
    </w:p>
    <w:p w14:paraId="4BB7B1AE">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p>
    <w:p w14:paraId="34F01B7B">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0" w:leftChars="0" w:firstLine="0" w:firstLineChars="0"/>
        <w:textAlignment w:val="auto"/>
        <w:rPr>
          <w:rFonts w:hint="eastAsia" w:ascii="仿宋" w:hAnsi="仿宋" w:eastAsia="仿宋" w:cs="仿宋"/>
          <w:b w:val="0"/>
          <w:bCs/>
          <w:i/>
          <w:iCs/>
          <w:sz w:val="48"/>
          <w:szCs w:val="48"/>
          <w:highlight w:val="none"/>
          <w:lang w:val="en-US" w:eastAsia="zh-CN"/>
        </w:rPr>
      </w:pPr>
      <w:r>
        <w:rPr>
          <w:rFonts w:hint="eastAsia" w:ascii="仿宋" w:hAnsi="仿宋" w:eastAsia="仿宋" w:cs="仿宋"/>
          <w:b w:val="0"/>
          <w:bCs/>
          <w:i/>
          <w:iCs/>
          <w:sz w:val="48"/>
          <w:szCs w:val="48"/>
          <w:highlight w:val="none"/>
          <w:lang w:val="en-US" w:eastAsia="zh-CN"/>
        </w:rPr>
        <w:t>【</w:t>
      </w:r>
      <w:r>
        <w:rPr>
          <w:rFonts w:hint="eastAsia" w:ascii="仿宋" w:hAnsi="仿宋" w:eastAsia="仿宋" w:cs="仿宋"/>
          <w:b/>
          <w:bCs w:val="0"/>
          <w:i/>
          <w:iCs/>
          <w:sz w:val="32"/>
          <w:szCs w:val="32"/>
          <w:highlight w:val="none"/>
          <w:lang w:val="en-US" w:eastAsia="zh-CN"/>
        </w:rPr>
        <w:t>一线原声</w:t>
      </w:r>
      <w:r>
        <w:rPr>
          <w:rFonts w:hint="eastAsia" w:ascii="仿宋" w:hAnsi="仿宋" w:eastAsia="仿宋" w:cs="仿宋"/>
          <w:b w:val="0"/>
          <w:bCs/>
          <w:i/>
          <w:iCs/>
          <w:sz w:val="32"/>
          <w:szCs w:val="32"/>
          <w:highlight w:val="none"/>
          <w:lang w:val="en-US" w:eastAsia="zh-CN"/>
        </w:rPr>
        <w:t>：移动高端客户不愿意转网，因为在移动已经是黄金会员或者VIP会员，可以享受各种权益，但转过来以后就什么都没有了。</w:t>
      </w:r>
      <w:r>
        <w:rPr>
          <w:rFonts w:hint="eastAsia" w:ascii="仿宋" w:hAnsi="仿宋" w:eastAsia="仿宋" w:cs="仿宋"/>
          <w:b w:val="0"/>
          <w:bCs/>
          <w:i/>
          <w:iCs/>
          <w:sz w:val="48"/>
          <w:szCs w:val="48"/>
          <w:highlight w:val="none"/>
          <w:lang w:val="en-US" w:eastAsia="zh-CN"/>
        </w:rPr>
        <w:t>】</w:t>
      </w:r>
    </w:p>
    <w:p w14:paraId="63C5D4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outlineLvl w:val="9"/>
        <w:rPr>
          <w:rFonts w:hint="default" w:ascii="黑体" w:hAnsi="黑体" w:eastAsia="黑体" w:cs="黑体"/>
          <w:b w:val="0"/>
          <w:bCs w:val="0"/>
          <w:sz w:val="32"/>
          <w:szCs w:val="28"/>
          <w:highlight w:val="none"/>
          <w:lang w:val="en-US" w:eastAsia="zh-CN"/>
        </w:rPr>
      </w:pPr>
    </w:p>
    <w:p w14:paraId="721FA66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outlineLvl w:val="0"/>
        <w:rPr>
          <w:rFonts w:hint="default" w:ascii="黑体" w:hAnsi="黑体" w:eastAsia="黑体" w:cs="黑体"/>
          <w:b/>
          <w:bCs/>
          <w:sz w:val="32"/>
          <w:szCs w:val="28"/>
          <w:highlight w:val="none"/>
          <w:lang w:val="en-US" w:eastAsia="zh-CN"/>
        </w:rPr>
      </w:pPr>
      <w:r>
        <w:rPr>
          <w:rFonts w:hint="eastAsia" w:ascii="黑体" w:hAnsi="黑体" w:eastAsia="黑体" w:cs="黑体"/>
          <w:b/>
          <w:bCs/>
          <w:sz w:val="32"/>
          <w:szCs w:val="28"/>
          <w:highlight w:val="none"/>
          <w:lang w:val="en-US" w:eastAsia="zh-CN"/>
        </w:rPr>
        <w:t>启示与建议</w:t>
      </w:r>
    </w:p>
    <w:p w14:paraId="2E3590A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商机获取是高值客户发展很重要的一环</w:t>
      </w:r>
      <w:r>
        <w:rPr>
          <w:rFonts w:hint="eastAsia" w:ascii="仿宋" w:hAnsi="仿宋" w:eastAsia="仿宋_GB2312" w:cs="仿宋"/>
          <w:b w:val="0"/>
          <w:bCs w:val="0"/>
          <w:sz w:val="32"/>
          <w:szCs w:val="28"/>
          <w:highlight w:val="none"/>
          <w:lang w:val="en-US" w:eastAsia="zh-CN"/>
        </w:rPr>
        <w:t>。不仅需要有足够多的触点去触达更多的客户，更需要重点发掘场景化、系统性的商机获取途径，扩大客户触达率、提高商机转化率。</w:t>
      </w:r>
    </w:p>
    <w:p w14:paraId="39D3223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面对友商激进的低价策略，电信需要从基础通信、应用、权益等方面进行价值填充以提高套餐的性价比</w:t>
      </w:r>
      <w:r>
        <w:rPr>
          <w:rFonts w:hint="eastAsia" w:ascii="仿宋" w:hAnsi="仿宋" w:eastAsia="仿宋_GB2312" w:cs="仿宋"/>
          <w:b w:val="0"/>
          <w:bCs w:val="0"/>
          <w:sz w:val="32"/>
          <w:szCs w:val="28"/>
          <w:highlight w:val="none"/>
          <w:lang w:val="en-US" w:eastAsia="zh-CN"/>
        </w:rPr>
        <w:t>。一是带宽和流量是客户的基础需求，也是共性需求，所以首先要保障宽带尤其是千兆的速率和稳定性；同时在保存量的前提下，通过叠加来提高主套餐的流量或语音，满足客户套内基础通信需求。二是通过应用填充，满足客户外围通信需求；但目前缺比较好的产品、尤其是终端产品来丰富套餐内容。三是权益填充，有助于提高客户的归属感和忠诚度。</w:t>
      </w:r>
    </w:p>
    <w:p w14:paraId="1144FA81">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在老客户维系方面，需要重点关注如何增强客户粘性</w:t>
      </w:r>
      <w:r>
        <w:rPr>
          <w:rFonts w:hint="eastAsia" w:ascii="仿宋" w:hAnsi="仿宋" w:eastAsia="仿宋_GB2312" w:cs="仿宋"/>
          <w:b w:val="0"/>
          <w:bCs w:val="0"/>
          <w:sz w:val="32"/>
          <w:szCs w:val="28"/>
          <w:highlight w:val="none"/>
          <w:lang w:val="en-US" w:eastAsia="zh-CN"/>
        </w:rPr>
        <w:t>：一是产品层面，绑定各类智能终端，提高网络价值的同时提高客户离网成本。二是服务层面，构建客户忠诚度体系，包括老客户关怀，高价值客户尊贵身份与权益等。三是品牌层面，强化电信优质宽带网络品牌。四是运营层面，需要找到比较好的方式（如中移动的权益俱乐部）能对客户进行持续运营，跟客户之间建立持续多次的互动关系。这样才能避免客户在笔算和友商低价诱惑下“因利而来，利尽而散”的情况。</w:t>
      </w:r>
    </w:p>
    <w:p w14:paraId="0C2A695B">
      <w:pPr>
        <w:adjustRightInd w:val="0"/>
        <w:snapToGrid w:val="0"/>
        <w:spacing w:line="360" w:lineRule="auto"/>
        <w:ind w:firstLine="640" w:firstLineChars="200"/>
        <w:rPr>
          <w:rFonts w:hint="eastAsia" w:ascii="仿宋" w:hAnsi="仿宋" w:eastAsia="仿宋_GB2312" w:cs="仿宋"/>
          <w:color w:val="auto"/>
          <w:sz w:val="32"/>
          <w:szCs w:val="24"/>
          <w:highlight w:val="none"/>
          <w:lang w:val="en-US" w:eastAsia="zh-CN"/>
        </w:rPr>
      </w:pPr>
    </w:p>
    <w:p w14:paraId="0B2C7878">
      <w:pPr>
        <w:adjustRightInd w:val="0"/>
        <w:snapToGrid w:val="0"/>
        <w:spacing w:line="360" w:lineRule="auto"/>
        <w:ind w:firstLine="640" w:firstLineChars="200"/>
        <w:rPr>
          <w:rFonts w:hint="eastAsia" w:ascii="仿宋" w:hAnsi="仿宋" w:eastAsia="仿宋_GB2312" w:cs="仿宋"/>
          <w:color w:val="auto"/>
          <w:sz w:val="32"/>
          <w:szCs w:val="24"/>
          <w:highlight w:val="none"/>
          <w:lang w:val="en-US" w:eastAsia="zh-CN"/>
        </w:rPr>
      </w:pPr>
    </w:p>
    <w:p w14:paraId="5B63EA8D">
      <w:pPr>
        <w:keepNext w:val="0"/>
        <w:keepLines w:val="0"/>
        <w:widowControl/>
        <w:suppressLineNumbers w:val="0"/>
        <w:jc w:val="left"/>
        <w:rPr>
          <w:rFonts w:hint="eastAsia" w:ascii="宋体" w:hAnsi="宋体" w:eastAsia="宋体" w:cs="宋体"/>
          <w:sz w:val="30"/>
          <w:szCs w:val="24"/>
          <w:highlight w:val="none"/>
        </w:rPr>
      </w:pPr>
      <w:r>
        <w:rPr>
          <w:rFonts w:hint="eastAsia" w:ascii="楷体" w:hAnsi="楷体" w:eastAsia="楷体" w:cs="楷体"/>
          <w:b/>
          <w:bCs/>
          <w:color w:val="000000"/>
          <w:kern w:val="0"/>
          <w:sz w:val="30"/>
          <w:szCs w:val="30"/>
          <w:highlight w:val="none"/>
          <w:lang w:val="en-US" w:eastAsia="zh-CN" w:bidi="ar"/>
        </w:rPr>
        <w:t>作者简介：</w:t>
      </w:r>
      <w:r>
        <w:rPr>
          <w:rFonts w:hint="eastAsia" w:ascii="楷体" w:hAnsi="楷体" w:eastAsia="楷体" w:cs="楷体"/>
          <w:color w:val="000000"/>
          <w:kern w:val="0"/>
          <w:sz w:val="30"/>
          <w:szCs w:val="30"/>
          <w:highlight w:val="none"/>
          <w:lang w:val="en-US" w:eastAsia="zh-CN" w:bidi="ar"/>
        </w:rPr>
        <w:t>中国电信股份有限公司研究院/</w:t>
      </w:r>
      <w:r>
        <w:rPr>
          <w:rFonts w:hint="eastAsia" w:ascii="楷体" w:hAnsi="楷体" w:eastAsia="楷体" w:cs="楷体"/>
          <w:color w:val="000000"/>
          <w:kern w:val="0"/>
          <w:sz w:val="30"/>
          <w:szCs w:val="28"/>
          <w:highlight w:val="none"/>
          <w:lang w:val="en-US" w:eastAsia="zh-CN" w:bidi="ar"/>
        </w:rPr>
        <w:t xml:space="preserve">战略发展研究所 </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6560"/>
      </w:tblGrid>
      <w:tr w14:paraId="03E8D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6" w:type="dxa"/>
          </w:tcPr>
          <w:p w14:paraId="310C0B29">
            <w:pPr>
              <w:keepNext w:val="0"/>
              <w:keepLines w:val="0"/>
              <w:widowControl/>
              <w:suppressLineNumbers w:val="0"/>
              <w:spacing w:before="0" w:beforeAutospacing="0" w:after="0" w:afterAutospacing="0"/>
              <w:ind w:left="0" w:right="210"/>
              <w:jc w:val="center"/>
              <w:rPr>
                <w:rFonts w:hint="eastAsia" w:eastAsia="等线"/>
                <w:highlight w:val="none"/>
                <w:lang w:val="en-US" w:eastAsia="zh-CN"/>
              </w:rPr>
            </w:pPr>
            <w:r>
              <w:rPr>
                <w:rFonts w:hint="eastAsia"/>
                <w:color w:val="C00000"/>
                <w:highlight w:val="none"/>
                <w:lang w:val="en-US" w:eastAsia="zh-CN"/>
              </w:rPr>
              <w:t>附上彩色照片</w:t>
            </w:r>
          </w:p>
        </w:tc>
        <w:tc>
          <w:tcPr>
            <w:tcW w:w="6560" w:type="dxa"/>
            <w:shd w:val="clear" w:color="auto" w:fill="auto"/>
            <w:vAlign w:val="center"/>
          </w:tcPr>
          <w:p w14:paraId="754CEB42">
            <w:pPr>
              <w:keepNext w:val="0"/>
              <w:keepLines w:val="0"/>
              <w:widowControl/>
              <w:suppressLineNumbers w:val="0"/>
              <w:spacing w:before="109" w:beforeLines="35" w:beforeAutospacing="0" w:after="0" w:afterAutospacing="0" w:line="340" w:lineRule="exact"/>
              <w:ind w:left="0" w:right="0"/>
              <w:rPr>
                <w:rFonts w:hint="eastAsia" w:ascii="楷体" w:hAnsi="楷体" w:eastAsia="楷体" w:cstheme="minorEastAsia"/>
                <w:b/>
                <w:sz w:val="28"/>
                <w:szCs w:val="28"/>
                <w:highlight w:val="none"/>
              </w:rPr>
            </w:pPr>
            <w:r>
              <w:rPr>
                <w:rFonts w:hint="eastAsia" w:ascii="楷体" w:hAnsi="楷体" w:eastAsia="楷体" w:cstheme="minorEastAsia"/>
                <w:b/>
                <w:sz w:val="28"/>
                <w:szCs w:val="28"/>
                <w:highlight w:val="none"/>
                <w:lang w:val="en-US" w:eastAsia="zh-CN"/>
              </w:rPr>
              <w:t>第一作者</w:t>
            </w:r>
            <w:r>
              <w:rPr>
                <w:rFonts w:hint="eastAsia" w:ascii="楷体" w:hAnsi="楷体" w:eastAsia="楷体" w:cstheme="minorEastAsia"/>
                <w:b/>
                <w:sz w:val="28"/>
                <w:szCs w:val="28"/>
                <w:highlight w:val="none"/>
              </w:rPr>
              <w:t>【18</w:t>
            </w:r>
            <w:r>
              <w:rPr>
                <w:rFonts w:hint="eastAsia" w:ascii="楷体" w:hAnsi="楷体" w:eastAsia="楷体" w:cstheme="minorEastAsia"/>
                <w:b/>
                <w:sz w:val="28"/>
                <w:szCs w:val="28"/>
                <w:highlight w:val="none"/>
                <w:lang w:val="en-US" w:eastAsia="zh-CN"/>
              </w:rPr>
              <w:t>9****</w:t>
            </w:r>
            <w:r>
              <w:rPr>
                <w:rFonts w:hint="eastAsia" w:ascii="楷体" w:hAnsi="楷体" w:eastAsia="楷体" w:cstheme="minorEastAsia"/>
                <w:b/>
                <w:sz w:val="28"/>
                <w:szCs w:val="28"/>
                <w:highlight w:val="none"/>
              </w:rPr>
              <w:t>】</w:t>
            </w:r>
          </w:p>
          <w:p w14:paraId="7778E346">
            <w:pPr>
              <w:keepNext w:val="0"/>
              <w:keepLines w:val="0"/>
              <w:widowControl/>
              <w:suppressLineNumbers w:val="0"/>
              <w:spacing w:before="109" w:beforeLines="35" w:beforeAutospacing="0" w:after="0" w:afterAutospacing="0" w:line="340" w:lineRule="exact"/>
              <w:ind w:left="0" w:right="0"/>
              <w:rPr>
                <w:rFonts w:hint="default" w:ascii="楷体" w:hAnsi="楷体" w:eastAsia="楷体" w:cstheme="minorEastAsia"/>
                <w:sz w:val="28"/>
                <w:szCs w:val="28"/>
                <w:highlight w:val="none"/>
              </w:rPr>
            </w:pPr>
            <w:r>
              <w:rPr>
                <w:rFonts w:hint="eastAsia" w:ascii="楷体" w:hAnsi="楷体" w:eastAsia="楷体" w:cstheme="minorEastAsia"/>
                <w:sz w:val="28"/>
                <w:szCs w:val="28"/>
                <w:highlight w:val="none"/>
              </w:rPr>
              <w:t>长期从事通信行业研究，近年来专注于等领域研究。</w:t>
            </w:r>
          </w:p>
        </w:tc>
      </w:tr>
      <w:bookmarkEnd w:id="0"/>
    </w:tbl>
    <w:p w14:paraId="60DA0CBA">
      <w:pPr>
        <w:rPr>
          <w:rFonts w:ascii="楷体" w:hAnsi="楷体" w:eastAsia="楷体" w:cs="Times New Roman"/>
          <w:sz w:val="30"/>
          <w:szCs w:val="30"/>
          <w:highlight w:val="none"/>
          <w:shd w:val="clear" w:color="auto" w:fill="FFFFFF"/>
        </w:rPr>
      </w:pPr>
    </w:p>
    <w:sectPr>
      <w:headerReference r:id="rId3" w:type="default"/>
      <w:footerReference r:id="rId4" w:type="default"/>
      <w:footnotePr>
        <w:numFmt w:val="decimal"/>
        <w:numRestart w:val="eachSect"/>
      </w:footnote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幼圆">
    <w:panose1 w:val="0201050906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7E559">
    <w:pPr>
      <w:pStyle w:val="15"/>
      <w:jc w:val="center"/>
    </w:pPr>
    <w:r>
      <w:fldChar w:fldCharType="begin"/>
    </w:r>
    <w:r>
      <w:instrText xml:space="preserve">PAGE   \* MERGEFORMAT</w:instrText>
    </w:r>
    <w:r>
      <w:fldChar w:fldCharType="separate"/>
    </w:r>
    <w:r>
      <w:rPr>
        <w:lang w:val="zh-CN"/>
      </w:rPr>
      <w:t>3</w:t>
    </w:r>
    <w:r>
      <w:fldChar w:fldCharType="end"/>
    </w:r>
  </w:p>
  <w:p w14:paraId="0AE4CC81">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8B954">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D7418"/>
    <w:multiLevelType w:val="singleLevel"/>
    <w:tmpl w:val="820D7418"/>
    <w:lvl w:ilvl="0" w:tentative="0">
      <w:start w:val="1"/>
      <w:numFmt w:val="decimal"/>
      <w:lvlText w:val="%1."/>
      <w:lvlJc w:val="left"/>
      <w:pPr>
        <w:ind w:left="425" w:hanging="425"/>
      </w:pPr>
      <w:rPr>
        <w:rFonts w:hint="default"/>
      </w:rPr>
    </w:lvl>
  </w:abstractNum>
  <w:abstractNum w:abstractNumId="1">
    <w:nsid w:val="82BA5C35"/>
    <w:multiLevelType w:val="singleLevel"/>
    <w:tmpl w:val="82BA5C35"/>
    <w:lvl w:ilvl="0" w:tentative="0">
      <w:start w:val="1"/>
      <w:numFmt w:val="decimal"/>
      <w:lvlText w:val="%1."/>
      <w:lvlJc w:val="left"/>
      <w:pPr>
        <w:ind w:left="425" w:hanging="425"/>
      </w:pPr>
      <w:rPr>
        <w:rFonts w:hint="default"/>
      </w:rPr>
    </w:lvl>
  </w:abstractNum>
  <w:abstractNum w:abstractNumId="2">
    <w:nsid w:val="A76E41C6"/>
    <w:multiLevelType w:val="singleLevel"/>
    <w:tmpl w:val="A76E41C6"/>
    <w:lvl w:ilvl="0" w:tentative="0">
      <w:start w:val="1"/>
      <w:numFmt w:val="decimal"/>
      <w:lvlText w:val="%1."/>
      <w:lvlJc w:val="left"/>
      <w:pPr>
        <w:ind w:left="425" w:hanging="425"/>
      </w:pPr>
      <w:rPr>
        <w:rFonts w:hint="default"/>
      </w:rPr>
    </w:lvl>
  </w:abstractNum>
  <w:abstractNum w:abstractNumId="3">
    <w:nsid w:val="FBC45B41"/>
    <w:multiLevelType w:val="singleLevel"/>
    <w:tmpl w:val="FBC45B41"/>
    <w:lvl w:ilvl="0" w:tentative="0">
      <w:start w:val="1"/>
      <w:numFmt w:val="chineseCounting"/>
      <w:suff w:val="nothing"/>
      <w:lvlText w:val="%1、"/>
      <w:lvlJc w:val="left"/>
      <w:pPr>
        <w:ind w:left="0" w:firstLine="420"/>
      </w:pPr>
      <w:rPr>
        <w:rFonts w:hint="eastAsia"/>
      </w:rPr>
    </w:lvl>
  </w:abstractNum>
  <w:abstractNum w:abstractNumId="4">
    <w:nsid w:val="0000000E"/>
    <w:multiLevelType w:val="multilevel"/>
    <w:tmpl w:val="0000000E"/>
    <w:lvl w:ilvl="0" w:tentative="0">
      <w:start w:val="1"/>
      <w:numFmt w:val="japaneseCounting"/>
      <w:pStyle w:val="80"/>
      <w:lvlText w:val="%1、"/>
      <w:lvlJc w:val="left"/>
      <w:pPr>
        <w:ind w:left="1360" w:hanging="720"/>
      </w:pPr>
      <w:rPr>
        <w:rFonts w:hint="default"/>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5">
    <w:nsid w:val="00000015"/>
    <w:multiLevelType w:val="multilevel"/>
    <w:tmpl w:val="00000015"/>
    <w:lvl w:ilvl="0" w:tentative="0">
      <w:start w:val="1"/>
      <w:numFmt w:val="decimal"/>
      <w:pStyle w:val="55"/>
      <w:lvlText w:val="图 %1 "/>
      <w:lvlJc w:val="left"/>
      <w:pPr>
        <w:ind w:left="420" w:hanging="4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1D6D98A"/>
    <w:multiLevelType w:val="singleLevel"/>
    <w:tmpl w:val="31D6D98A"/>
    <w:lvl w:ilvl="0" w:tentative="0">
      <w:start w:val="1"/>
      <w:numFmt w:val="decimal"/>
      <w:lvlText w:val="%1."/>
      <w:lvlJc w:val="left"/>
      <w:pPr>
        <w:ind w:left="425" w:hanging="425"/>
      </w:pPr>
      <w:rPr>
        <w:rFonts w:hint="default"/>
      </w:rPr>
    </w:lvl>
  </w:abstractNum>
  <w:abstractNum w:abstractNumId="7">
    <w:nsid w:val="40316E59"/>
    <w:multiLevelType w:val="singleLevel"/>
    <w:tmpl w:val="40316E59"/>
    <w:lvl w:ilvl="0" w:tentative="0">
      <w:start w:val="1"/>
      <w:numFmt w:val="decimal"/>
      <w:lvlText w:val="%1."/>
      <w:lvlJc w:val="left"/>
      <w:pPr>
        <w:ind w:left="425" w:hanging="425"/>
      </w:pPr>
      <w:rPr>
        <w:rFonts w:hint="default"/>
      </w:rPr>
    </w:lvl>
  </w:abstractNum>
  <w:abstractNum w:abstractNumId="8">
    <w:nsid w:val="467EFFAA"/>
    <w:multiLevelType w:val="singleLevel"/>
    <w:tmpl w:val="467EFFAA"/>
    <w:lvl w:ilvl="0" w:tentative="0">
      <w:start w:val="1"/>
      <w:numFmt w:val="bullet"/>
      <w:lvlText w:val=""/>
      <w:lvlJc w:val="left"/>
      <w:pPr>
        <w:ind w:left="420" w:hanging="420"/>
      </w:pPr>
      <w:rPr>
        <w:rFonts w:hint="default" w:ascii="Wingdings" w:hAnsi="Wingdings"/>
      </w:rPr>
    </w:lvl>
  </w:abstractNum>
  <w:abstractNum w:abstractNumId="9">
    <w:nsid w:val="6E5C81D8"/>
    <w:multiLevelType w:val="singleLevel"/>
    <w:tmpl w:val="6E5C81D8"/>
    <w:lvl w:ilvl="0" w:tentative="0">
      <w:start w:val="1"/>
      <w:numFmt w:val="chineseCounting"/>
      <w:suff w:val="nothing"/>
      <w:lvlText w:val="（%1）"/>
      <w:lvlJc w:val="left"/>
      <w:pPr>
        <w:ind w:left="0" w:firstLine="420"/>
      </w:pPr>
      <w:rPr>
        <w:rFonts w:hint="eastAsia"/>
      </w:rPr>
    </w:lvl>
  </w:abstractNum>
  <w:abstractNum w:abstractNumId="10">
    <w:nsid w:val="7A4DE4D7"/>
    <w:multiLevelType w:val="singleLevel"/>
    <w:tmpl w:val="7A4DE4D7"/>
    <w:lvl w:ilvl="0" w:tentative="0">
      <w:start w:val="1"/>
      <w:numFmt w:val="decimal"/>
      <w:lvlText w:val="%1."/>
      <w:lvlJc w:val="left"/>
      <w:pPr>
        <w:ind w:left="425" w:hanging="425"/>
      </w:pPr>
      <w:rPr>
        <w:rFonts w:hint="default"/>
      </w:rPr>
    </w:lvl>
  </w:abstractNum>
  <w:num w:numId="1">
    <w:abstractNumId w:val="5"/>
  </w:num>
  <w:num w:numId="2">
    <w:abstractNumId w:val="4"/>
  </w:num>
  <w:num w:numId="3">
    <w:abstractNumId w:val="3"/>
  </w:num>
  <w:num w:numId="4">
    <w:abstractNumId w:val="1"/>
  </w:num>
  <w:num w:numId="5">
    <w:abstractNumId w:val="9"/>
  </w:num>
  <w:num w:numId="6">
    <w:abstractNumId w:val="7"/>
  </w:num>
  <w:num w:numId="7">
    <w:abstractNumId w:val="6"/>
  </w:num>
  <w:num w:numId="8">
    <w:abstractNumId w:val="8"/>
  </w:num>
  <w:num w:numId="9">
    <w:abstractNumId w:val="0"/>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Sect"/>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085"/>
    <w:rsid w:val="00000DB4"/>
    <w:rsid w:val="00001754"/>
    <w:rsid w:val="0000242D"/>
    <w:rsid w:val="00007469"/>
    <w:rsid w:val="00007BC0"/>
    <w:rsid w:val="00007CCB"/>
    <w:rsid w:val="000139A6"/>
    <w:rsid w:val="0002231C"/>
    <w:rsid w:val="0002253F"/>
    <w:rsid w:val="00022E88"/>
    <w:rsid w:val="000242C2"/>
    <w:rsid w:val="00025DFF"/>
    <w:rsid w:val="00026005"/>
    <w:rsid w:val="000314FB"/>
    <w:rsid w:val="00032F84"/>
    <w:rsid w:val="000350AA"/>
    <w:rsid w:val="000369B6"/>
    <w:rsid w:val="00036E9A"/>
    <w:rsid w:val="00040CE7"/>
    <w:rsid w:val="00043CDB"/>
    <w:rsid w:val="00044B2A"/>
    <w:rsid w:val="00050095"/>
    <w:rsid w:val="00051E6F"/>
    <w:rsid w:val="00052322"/>
    <w:rsid w:val="00054ED5"/>
    <w:rsid w:val="00060DD4"/>
    <w:rsid w:val="00060F1A"/>
    <w:rsid w:val="00061427"/>
    <w:rsid w:val="00063CDC"/>
    <w:rsid w:val="00070F7A"/>
    <w:rsid w:val="0007485F"/>
    <w:rsid w:val="00075C48"/>
    <w:rsid w:val="00077B53"/>
    <w:rsid w:val="00080403"/>
    <w:rsid w:val="00082E46"/>
    <w:rsid w:val="00084461"/>
    <w:rsid w:val="00084787"/>
    <w:rsid w:val="00086B18"/>
    <w:rsid w:val="000878D2"/>
    <w:rsid w:val="00090FCC"/>
    <w:rsid w:val="000970AE"/>
    <w:rsid w:val="000973FE"/>
    <w:rsid w:val="00097580"/>
    <w:rsid w:val="000A0BA8"/>
    <w:rsid w:val="000A1928"/>
    <w:rsid w:val="000A1F79"/>
    <w:rsid w:val="000A5650"/>
    <w:rsid w:val="000A6DD6"/>
    <w:rsid w:val="000A72EA"/>
    <w:rsid w:val="000A7B28"/>
    <w:rsid w:val="000A7BE0"/>
    <w:rsid w:val="000A7EC9"/>
    <w:rsid w:val="000B0F27"/>
    <w:rsid w:val="000B2085"/>
    <w:rsid w:val="000B35E2"/>
    <w:rsid w:val="000B42DE"/>
    <w:rsid w:val="000C7860"/>
    <w:rsid w:val="000D276B"/>
    <w:rsid w:val="000D4918"/>
    <w:rsid w:val="000E1240"/>
    <w:rsid w:val="000E1751"/>
    <w:rsid w:val="000E2C6F"/>
    <w:rsid w:val="000E3982"/>
    <w:rsid w:val="000E56F0"/>
    <w:rsid w:val="000E66AC"/>
    <w:rsid w:val="000E67AC"/>
    <w:rsid w:val="000F27F7"/>
    <w:rsid w:val="00102397"/>
    <w:rsid w:val="00103B30"/>
    <w:rsid w:val="00104B3F"/>
    <w:rsid w:val="00104D7C"/>
    <w:rsid w:val="00110244"/>
    <w:rsid w:val="0011206F"/>
    <w:rsid w:val="001145AF"/>
    <w:rsid w:val="001206C7"/>
    <w:rsid w:val="00122AD4"/>
    <w:rsid w:val="00125563"/>
    <w:rsid w:val="001270D0"/>
    <w:rsid w:val="00127A74"/>
    <w:rsid w:val="0013049C"/>
    <w:rsid w:val="00132128"/>
    <w:rsid w:val="00132F26"/>
    <w:rsid w:val="00133F52"/>
    <w:rsid w:val="00136C1F"/>
    <w:rsid w:val="0013768B"/>
    <w:rsid w:val="00137759"/>
    <w:rsid w:val="0014105D"/>
    <w:rsid w:val="001555D0"/>
    <w:rsid w:val="001611E2"/>
    <w:rsid w:val="00166036"/>
    <w:rsid w:val="00173101"/>
    <w:rsid w:val="0017577C"/>
    <w:rsid w:val="00176A23"/>
    <w:rsid w:val="00176CD3"/>
    <w:rsid w:val="00177705"/>
    <w:rsid w:val="00177717"/>
    <w:rsid w:val="00181B7F"/>
    <w:rsid w:val="00181C9C"/>
    <w:rsid w:val="00184617"/>
    <w:rsid w:val="001852BF"/>
    <w:rsid w:val="001861A8"/>
    <w:rsid w:val="00186C54"/>
    <w:rsid w:val="00187891"/>
    <w:rsid w:val="00190CA2"/>
    <w:rsid w:val="00193019"/>
    <w:rsid w:val="00193C9C"/>
    <w:rsid w:val="00193D21"/>
    <w:rsid w:val="00195152"/>
    <w:rsid w:val="001955B3"/>
    <w:rsid w:val="0019654A"/>
    <w:rsid w:val="001B0993"/>
    <w:rsid w:val="001B3ADB"/>
    <w:rsid w:val="001B3DBA"/>
    <w:rsid w:val="001B44EA"/>
    <w:rsid w:val="001B491E"/>
    <w:rsid w:val="001B721B"/>
    <w:rsid w:val="001C33EA"/>
    <w:rsid w:val="001C57BD"/>
    <w:rsid w:val="001C589E"/>
    <w:rsid w:val="001D0EAC"/>
    <w:rsid w:val="001D5A8B"/>
    <w:rsid w:val="001E3A73"/>
    <w:rsid w:val="001E441E"/>
    <w:rsid w:val="001E6E84"/>
    <w:rsid w:val="001E7000"/>
    <w:rsid w:val="001F133A"/>
    <w:rsid w:val="001F2BA8"/>
    <w:rsid w:val="001F400C"/>
    <w:rsid w:val="001F741A"/>
    <w:rsid w:val="0020112D"/>
    <w:rsid w:val="00202332"/>
    <w:rsid w:val="0020337E"/>
    <w:rsid w:val="00211A35"/>
    <w:rsid w:val="00211CCB"/>
    <w:rsid w:val="00217DC8"/>
    <w:rsid w:val="00220305"/>
    <w:rsid w:val="00220342"/>
    <w:rsid w:val="0022093D"/>
    <w:rsid w:val="00220D8C"/>
    <w:rsid w:val="002273E5"/>
    <w:rsid w:val="00230C48"/>
    <w:rsid w:val="00230EC9"/>
    <w:rsid w:val="00233AC4"/>
    <w:rsid w:val="0024099C"/>
    <w:rsid w:val="00243D7A"/>
    <w:rsid w:val="002456CF"/>
    <w:rsid w:val="00250282"/>
    <w:rsid w:val="0025467B"/>
    <w:rsid w:val="00254D91"/>
    <w:rsid w:val="00255AFE"/>
    <w:rsid w:val="0026124A"/>
    <w:rsid w:val="00261AAF"/>
    <w:rsid w:val="00264D93"/>
    <w:rsid w:val="00266097"/>
    <w:rsid w:val="002701E0"/>
    <w:rsid w:val="00277673"/>
    <w:rsid w:val="00277CC5"/>
    <w:rsid w:val="0028210D"/>
    <w:rsid w:val="0028714A"/>
    <w:rsid w:val="00293F65"/>
    <w:rsid w:val="002A5456"/>
    <w:rsid w:val="002A5735"/>
    <w:rsid w:val="002B1BC5"/>
    <w:rsid w:val="002B6F6F"/>
    <w:rsid w:val="002C071C"/>
    <w:rsid w:val="002C214F"/>
    <w:rsid w:val="002C46BF"/>
    <w:rsid w:val="002C7065"/>
    <w:rsid w:val="002D2586"/>
    <w:rsid w:val="002D76CA"/>
    <w:rsid w:val="002E241C"/>
    <w:rsid w:val="002E242D"/>
    <w:rsid w:val="002E51D0"/>
    <w:rsid w:val="002F2A80"/>
    <w:rsid w:val="002F2D37"/>
    <w:rsid w:val="002F55C2"/>
    <w:rsid w:val="002F597B"/>
    <w:rsid w:val="003010C4"/>
    <w:rsid w:val="00304BFC"/>
    <w:rsid w:val="003077FD"/>
    <w:rsid w:val="003103A3"/>
    <w:rsid w:val="00312FD9"/>
    <w:rsid w:val="003135D7"/>
    <w:rsid w:val="00314473"/>
    <w:rsid w:val="00321A14"/>
    <w:rsid w:val="00322AF5"/>
    <w:rsid w:val="003251C1"/>
    <w:rsid w:val="0032692E"/>
    <w:rsid w:val="00327D49"/>
    <w:rsid w:val="00331670"/>
    <w:rsid w:val="00331744"/>
    <w:rsid w:val="00336559"/>
    <w:rsid w:val="00336D4C"/>
    <w:rsid w:val="00337516"/>
    <w:rsid w:val="0034223B"/>
    <w:rsid w:val="00353619"/>
    <w:rsid w:val="0035562C"/>
    <w:rsid w:val="0036137D"/>
    <w:rsid w:val="003625E8"/>
    <w:rsid w:val="00363959"/>
    <w:rsid w:val="003639C8"/>
    <w:rsid w:val="00363BCE"/>
    <w:rsid w:val="003663DE"/>
    <w:rsid w:val="00366611"/>
    <w:rsid w:val="00370D9B"/>
    <w:rsid w:val="00374FDF"/>
    <w:rsid w:val="00377102"/>
    <w:rsid w:val="00377D50"/>
    <w:rsid w:val="00384565"/>
    <w:rsid w:val="00395284"/>
    <w:rsid w:val="0039566D"/>
    <w:rsid w:val="003956D4"/>
    <w:rsid w:val="003958A3"/>
    <w:rsid w:val="003A1001"/>
    <w:rsid w:val="003A37B8"/>
    <w:rsid w:val="003A46FB"/>
    <w:rsid w:val="003A56B3"/>
    <w:rsid w:val="003A5B93"/>
    <w:rsid w:val="003A76F1"/>
    <w:rsid w:val="003B1D10"/>
    <w:rsid w:val="003B54C3"/>
    <w:rsid w:val="003B7C53"/>
    <w:rsid w:val="003C1DB8"/>
    <w:rsid w:val="003C3B52"/>
    <w:rsid w:val="003D1DD7"/>
    <w:rsid w:val="003D6FA5"/>
    <w:rsid w:val="003E233C"/>
    <w:rsid w:val="003E55B2"/>
    <w:rsid w:val="003E79C4"/>
    <w:rsid w:val="003E7F8B"/>
    <w:rsid w:val="003F4F7B"/>
    <w:rsid w:val="003F5524"/>
    <w:rsid w:val="00402C7E"/>
    <w:rsid w:val="00403FC2"/>
    <w:rsid w:val="00405575"/>
    <w:rsid w:val="00407102"/>
    <w:rsid w:val="00407D4B"/>
    <w:rsid w:val="0041564C"/>
    <w:rsid w:val="00416E02"/>
    <w:rsid w:val="00417897"/>
    <w:rsid w:val="0042041E"/>
    <w:rsid w:val="00424171"/>
    <w:rsid w:val="00425916"/>
    <w:rsid w:val="00427CC0"/>
    <w:rsid w:val="004304E7"/>
    <w:rsid w:val="00432495"/>
    <w:rsid w:val="004331EC"/>
    <w:rsid w:val="00435AF9"/>
    <w:rsid w:val="00441596"/>
    <w:rsid w:val="0044407B"/>
    <w:rsid w:val="00445D51"/>
    <w:rsid w:val="00446971"/>
    <w:rsid w:val="00456F10"/>
    <w:rsid w:val="00462F69"/>
    <w:rsid w:val="00463550"/>
    <w:rsid w:val="0046374F"/>
    <w:rsid w:val="004709EA"/>
    <w:rsid w:val="004736D1"/>
    <w:rsid w:val="00473961"/>
    <w:rsid w:val="0047683F"/>
    <w:rsid w:val="00480B04"/>
    <w:rsid w:val="00481240"/>
    <w:rsid w:val="0048618E"/>
    <w:rsid w:val="004909D2"/>
    <w:rsid w:val="00493A70"/>
    <w:rsid w:val="00494944"/>
    <w:rsid w:val="0049631A"/>
    <w:rsid w:val="004978AB"/>
    <w:rsid w:val="004A45BE"/>
    <w:rsid w:val="004B5475"/>
    <w:rsid w:val="004C0293"/>
    <w:rsid w:val="004C4FF8"/>
    <w:rsid w:val="004C622C"/>
    <w:rsid w:val="004D3092"/>
    <w:rsid w:val="004D31A6"/>
    <w:rsid w:val="004D44E3"/>
    <w:rsid w:val="004D4CC5"/>
    <w:rsid w:val="004D5D5F"/>
    <w:rsid w:val="004D7ABB"/>
    <w:rsid w:val="004E134D"/>
    <w:rsid w:val="004E37D0"/>
    <w:rsid w:val="004E52F2"/>
    <w:rsid w:val="004E6610"/>
    <w:rsid w:val="004F4A17"/>
    <w:rsid w:val="004F511C"/>
    <w:rsid w:val="004F725E"/>
    <w:rsid w:val="005014E2"/>
    <w:rsid w:val="005028FD"/>
    <w:rsid w:val="00503FA4"/>
    <w:rsid w:val="00506FD0"/>
    <w:rsid w:val="00510CB4"/>
    <w:rsid w:val="00511515"/>
    <w:rsid w:val="00514F08"/>
    <w:rsid w:val="00516A15"/>
    <w:rsid w:val="00524189"/>
    <w:rsid w:val="00526363"/>
    <w:rsid w:val="0052674D"/>
    <w:rsid w:val="005353CB"/>
    <w:rsid w:val="005429F1"/>
    <w:rsid w:val="00544E0C"/>
    <w:rsid w:val="00544E15"/>
    <w:rsid w:val="00553933"/>
    <w:rsid w:val="00554689"/>
    <w:rsid w:val="00554C59"/>
    <w:rsid w:val="00555078"/>
    <w:rsid w:val="00561B44"/>
    <w:rsid w:val="005704C8"/>
    <w:rsid w:val="0057401A"/>
    <w:rsid w:val="0057755C"/>
    <w:rsid w:val="0058160D"/>
    <w:rsid w:val="005820E9"/>
    <w:rsid w:val="00583649"/>
    <w:rsid w:val="0058383C"/>
    <w:rsid w:val="00584192"/>
    <w:rsid w:val="00584248"/>
    <w:rsid w:val="00584480"/>
    <w:rsid w:val="0058454B"/>
    <w:rsid w:val="00594811"/>
    <w:rsid w:val="00594CB2"/>
    <w:rsid w:val="00596439"/>
    <w:rsid w:val="005A178E"/>
    <w:rsid w:val="005A2837"/>
    <w:rsid w:val="005A388B"/>
    <w:rsid w:val="005B25F1"/>
    <w:rsid w:val="005B3CF7"/>
    <w:rsid w:val="005B6114"/>
    <w:rsid w:val="005B68BC"/>
    <w:rsid w:val="005C232B"/>
    <w:rsid w:val="005C45A5"/>
    <w:rsid w:val="005C51F2"/>
    <w:rsid w:val="005C5EBB"/>
    <w:rsid w:val="005C70BC"/>
    <w:rsid w:val="005C72AC"/>
    <w:rsid w:val="005D00C2"/>
    <w:rsid w:val="005D0FBC"/>
    <w:rsid w:val="005D18AF"/>
    <w:rsid w:val="005D350E"/>
    <w:rsid w:val="005D4A35"/>
    <w:rsid w:val="005E0DA0"/>
    <w:rsid w:val="005E7C21"/>
    <w:rsid w:val="005F17E8"/>
    <w:rsid w:val="005F2941"/>
    <w:rsid w:val="005F2ECE"/>
    <w:rsid w:val="005F3CED"/>
    <w:rsid w:val="005F5504"/>
    <w:rsid w:val="005F614F"/>
    <w:rsid w:val="005F6C90"/>
    <w:rsid w:val="005F6DF1"/>
    <w:rsid w:val="005F7354"/>
    <w:rsid w:val="00603685"/>
    <w:rsid w:val="006048B6"/>
    <w:rsid w:val="00605785"/>
    <w:rsid w:val="006073D3"/>
    <w:rsid w:val="006100F4"/>
    <w:rsid w:val="0061096E"/>
    <w:rsid w:val="006109DE"/>
    <w:rsid w:val="0061264B"/>
    <w:rsid w:val="006142FC"/>
    <w:rsid w:val="006157E1"/>
    <w:rsid w:val="006163FB"/>
    <w:rsid w:val="00620197"/>
    <w:rsid w:val="00620AF0"/>
    <w:rsid w:val="00622B0F"/>
    <w:rsid w:val="00625949"/>
    <w:rsid w:val="00627278"/>
    <w:rsid w:val="00630EBA"/>
    <w:rsid w:val="00633B0A"/>
    <w:rsid w:val="00633C74"/>
    <w:rsid w:val="00634D41"/>
    <w:rsid w:val="00637A29"/>
    <w:rsid w:val="00641816"/>
    <w:rsid w:val="00643059"/>
    <w:rsid w:val="006634A9"/>
    <w:rsid w:val="0066675B"/>
    <w:rsid w:val="00672305"/>
    <w:rsid w:val="00672651"/>
    <w:rsid w:val="006768CE"/>
    <w:rsid w:val="00681F23"/>
    <w:rsid w:val="006821F8"/>
    <w:rsid w:val="006844B4"/>
    <w:rsid w:val="00687739"/>
    <w:rsid w:val="006924F8"/>
    <w:rsid w:val="006A2CD8"/>
    <w:rsid w:val="006A41EC"/>
    <w:rsid w:val="006A5032"/>
    <w:rsid w:val="006B0308"/>
    <w:rsid w:val="006B1B1B"/>
    <w:rsid w:val="006B3105"/>
    <w:rsid w:val="006B3375"/>
    <w:rsid w:val="006B5704"/>
    <w:rsid w:val="006B7211"/>
    <w:rsid w:val="006C1097"/>
    <w:rsid w:val="006C1887"/>
    <w:rsid w:val="006C39BC"/>
    <w:rsid w:val="006C56BA"/>
    <w:rsid w:val="006C6E44"/>
    <w:rsid w:val="006D2A6D"/>
    <w:rsid w:val="006D37AD"/>
    <w:rsid w:val="006D4FCE"/>
    <w:rsid w:val="006D615B"/>
    <w:rsid w:val="006D6F53"/>
    <w:rsid w:val="006E3C5B"/>
    <w:rsid w:val="006E5136"/>
    <w:rsid w:val="006E5DE4"/>
    <w:rsid w:val="006F25ED"/>
    <w:rsid w:val="006F2FEC"/>
    <w:rsid w:val="006F6524"/>
    <w:rsid w:val="006F69DF"/>
    <w:rsid w:val="0070050D"/>
    <w:rsid w:val="00702F7B"/>
    <w:rsid w:val="00705D24"/>
    <w:rsid w:val="00706B7A"/>
    <w:rsid w:val="007211A8"/>
    <w:rsid w:val="00723246"/>
    <w:rsid w:val="007265A7"/>
    <w:rsid w:val="00726A08"/>
    <w:rsid w:val="007332F7"/>
    <w:rsid w:val="007344E5"/>
    <w:rsid w:val="007351BD"/>
    <w:rsid w:val="0074187A"/>
    <w:rsid w:val="0074189D"/>
    <w:rsid w:val="00743DEA"/>
    <w:rsid w:val="0074438F"/>
    <w:rsid w:val="0075123E"/>
    <w:rsid w:val="0075247F"/>
    <w:rsid w:val="00756CD3"/>
    <w:rsid w:val="00756D35"/>
    <w:rsid w:val="00763148"/>
    <w:rsid w:val="0076545F"/>
    <w:rsid w:val="00777628"/>
    <w:rsid w:val="00777BCD"/>
    <w:rsid w:val="00783869"/>
    <w:rsid w:val="00792267"/>
    <w:rsid w:val="007923D4"/>
    <w:rsid w:val="00792C89"/>
    <w:rsid w:val="0079412B"/>
    <w:rsid w:val="007A2B71"/>
    <w:rsid w:val="007A3DB5"/>
    <w:rsid w:val="007A43C7"/>
    <w:rsid w:val="007A53E8"/>
    <w:rsid w:val="007A5629"/>
    <w:rsid w:val="007A69EF"/>
    <w:rsid w:val="007A6C4E"/>
    <w:rsid w:val="007B11A8"/>
    <w:rsid w:val="007B474F"/>
    <w:rsid w:val="007B57B7"/>
    <w:rsid w:val="007B5872"/>
    <w:rsid w:val="007B7F63"/>
    <w:rsid w:val="007C1C3E"/>
    <w:rsid w:val="007C1C8D"/>
    <w:rsid w:val="007C2C54"/>
    <w:rsid w:val="007C4369"/>
    <w:rsid w:val="007C4978"/>
    <w:rsid w:val="007C5338"/>
    <w:rsid w:val="007D09B5"/>
    <w:rsid w:val="007D35DD"/>
    <w:rsid w:val="007D7DA2"/>
    <w:rsid w:val="007F14EC"/>
    <w:rsid w:val="007F1EBF"/>
    <w:rsid w:val="007F3120"/>
    <w:rsid w:val="007F69EF"/>
    <w:rsid w:val="007F730B"/>
    <w:rsid w:val="0080026A"/>
    <w:rsid w:val="00800ECA"/>
    <w:rsid w:val="008012DD"/>
    <w:rsid w:val="00802666"/>
    <w:rsid w:val="0080589A"/>
    <w:rsid w:val="00811D87"/>
    <w:rsid w:val="0081452B"/>
    <w:rsid w:val="00816A1D"/>
    <w:rsid w:val="0082346F"/>
    <w:rsid w:val="00823A91"/>
    <w:rsid w:val="00825554"/>
    <w:rsid w:val="00825831"/>
    <w:rsid w:val="0083779C"/>
    <w:rsid w:val="00840443"/>
    <w:rsid w:val="00840F4B"/>
    <w:rsid w:val="00841662"/>
    <w:rsid w:val="0084387A"/>
    <w:rsid w:val="00845D2A"/>
    <w:rsid w:val="0085672A"/>
    <w:rsid w:val="00857660"/>
    <w:rsid w:val="00857D1D"/>
    <w:rsid w:val="00861673"/>
    <w:rsid w:val="0086583C"/>
    <w:rsid w:val="00866C8B"/>
    <w:rsid w:val="00867F05"/>
    <w:rsid w:val="00873659"/>
    <w:rsid w:val="00874E1B"/>
    <w:rsid w:val="00880D68"/>
    <w:rsid w:val="00886A9D"/>
    <w:rsid w:val="00887A98"/>
    <w:rsid w:val="00891122"/>
    <w:rsid w:val="00891F3D"/>
    <w:rsid w:val="00897B96"/>
    <w:rsid w:val="008A1488"/>
    <w:rsid w:val="008B11B0"/>
    <w:rsid w:val="008B527F"/>
    <w:rsid w:val="008B65FD"/>
    <w:rsid w:val="008B6688"/>
    <w:rsid w:val="008B680A"/>
    <w:rsid w:val="008C446D"/>
    <w:rsid w:val="008C457F"/>
    <w:rsid w:val="008C491A"/>
    <w:rsid w:val="008C4B32"/>
    <w:rsid w:val="008C7B9E"/>
    <w:rsid w:val="008D113C"/>
    <w:rsid w:val="008D15E9"/>
    <w:rsid w:val="008D2FF8"/>
    <w:rsid w:val="008D6390"/>
    <w:rsid w:val="008E2554"/>
    <w:rsid w:val="008E34C6"/>
    <w:rsid w:val="008E3C44"/>
    <w:rsid w:val="008E6F70"/>
    <w:rsid w:val="008E7E85"/>
    <w:rsid w:val="008F08A3"/>
    <w:rsid w:val="008F1418"/>
    <w:rsid w:val="008F445C"/>
    <w:rsid w:val="009024B6"/>
    <w:rsid w:val="009043F5"/>
    <w:rsid w:val="009046AF"/>
    <w:rsid w:val="00910F0D"/>
    <w:rsid w:val="00913D1A"/>
    <w:rsid w:val="00915821"/>
    <w:rsid w:val="009164AA"/>
    <w:rsid w:val="00920786"/>
    <w:rsid w:val="00920C9F"/>
    <w:rsid w:val="00923A17"/>
    <w:rsid w:val="00924B1E"/>
    <w:rsid w:val="009301A3"/>
    <w:rsid w:val="00932162"/>
    <w:rsid w:val="00933FFF"/>
    <w:rsid w:val="00941832"/>
    <w:rsid w:val="00943975"/>
    <w:rsid w:val="00956450"/>
    <w:rsid w:val="009627DA"/>
    <w:rsid w:val="009630BE"/>
    <w:rsid w:val="00965E54"/>
    <w:rsid w:val="00965F9A"/>
    <w:rsid w:val="00967756"/>
    <w:rsid w:val="00971296"/>
    <w:rsid w:val="00973417"/>
    <w:rsid w:val="00974A66"/>
    <w:rsid w:val="00975623"/>
    <w:rsid w:val="0097687C"/>
    <w:rsid w:val="00980C4C"/>
    <w:rsid w:val="00981297"/>
    <w:rsid w:val="00984A4D"/>
    <w:rsid w:val="009859DA"/>
    <w:rsid w:val="00987630"/>
    <w:rsid w:val="00990621"/>
    <w:rsid w:val="00990B22"/>
    <w:rsid w:val="00994D06"/>
    <w:rsid w:val="0099533C"/>
    <w:rsid w:val="00995F29"/>
    <w:rsid w:val="0099608B"/>
    <w:rsid w:val="009A1A69"/>
    <w:rsid w:val="009B3610"/>
    <w:rsid w:val="009B79D3"/>
    <w:rsid w:val="009C1402"/>
    <w:rsid w:val="009C41EC"/>
    <w:rsid w:val="009C4FCA"/>
    <w:rsid w:val="009C58D4"/>
    <w:rsid w:val="009C76BD"/>
    <w:rsid w:val="009D3E5B"/>
    <w:rsid w:val="009E1B03"/>
    <w:rsid w:val="009E2FFC"/>
    <w:rsid w:val="009E508A"/>
    <w:rsid w:val="009F17B9"/>
    <w:rsid w:val="009F302E"/>
    <w:rsid w:val="009F32F0"/>
    <w:rsid w:val="009F6707"/>
    <w:rsid w:val="00A06C27"/>
    <w:rsid w:val="00A111E7"/>
    <w:rsid w:val="00A11F19"/>
    <w:rsid w:val="00A137A3"/>
    <w:rsid w:val="00A13874"/>
    <w:rsid w:val="00A1536D"/>
    <w:rsid w:val="00A1548B"/>
    <w:rsid w:val="00A15E71"/>
    <w:rsid w:val="00A226A8"/>
    <w:rsid w:val="00A23205"/>
    <w:rsid w:val="00A233DB"/>
    <w:rsid w:val="00A266CA"/>
    <w:rsid w:val="00A33B5B"/>
    <w:rsid w:val="00A341DE"/>
    <w:rsid w:val="00A35508"/>
    <w:rsid w:val="00A36869"/>
    <w:rsid w:val="00A37DBD"/>
    <w:rsid w:val="00A4200C"/>
    <w:rsid w:val="00A4700A"/>
    <w:rsid w:val="00A5149E"/>
    <w:rsid w:val="00A52F53"/>
    <w:rsid w:val="00A6406E"/>
    <w:rsid w:val="00A73A49"/>
    <w:rsid w:val="00A758F7"/>
    <w:rsid w:val="00A75ABA"/>
    <w:rsid w:val="00A76111"/>
    <w:rsid w:val="00A80AAC"/>
    <w:rsid w:val="00A820EE"/>
    <w:rsid w:val="00A8368F"/>
    <w:rsid w:val="00A872FC"/>
    <w:rsid w:val="00A92B5A"/>
    <w:rsid w:val="00A94711"/>
    <w:rsid w:val="00A94D79"/>
    <w:rsid w:val="00A95B56"/>
    <w:rsid w:val="00A961A9"/>
    <w:rsid w:val="00AA1B43"/>
    <w:rsid w:val="00AA2FE6"/>
    <w:rsid w:val="00AB2DC4"/>
    <w:rsid w:val="00AB694F"/>
    <w:rsid w:val="00AC3EDB"/>
    <w:rsid w:val="00AC3F38"/>
    <w:rsid w:val="00AC63BB"/>
    <w:rsid w:val="00AD00A9"/>
    <w:rsid w:val="00AE01AC"/>
    <w:rsid w:val="00AE048D"/>
    <w:rsid w:val="00AE256C"/>
    <w:rsid w:val="00AE4887"/>
    <w:rsid w:val="00AE5528"/>
    <w:rsid w:val="00AE6569"/>
    <w:rsid w:val="00AE6F50"/>
    <w:rsid w:val="00AF05B3"/>
    <w:rsid w:val="00AF0708"/>
    <w:rsid w:val="00AF2F78"/>
    <w:rsid w:val="00AF4707"/>
    <w:rsid w:val="00B03E24"/>
    <w:rsid w:val="00B0455E"/>
    <w:rsid w:val="00B07470"/>
    <w:rsid w:val="00B10102"/>
    <w:rsid w:val="00B106D1"/>
    <w:rsid w:val="00B13369"/>
    <w:rsid w:val="00B17807"/>
    <w:rsid w:val="00B20D19"/>
    <w:rsid w:val="00B246BF"/>
    <w:rsid w:val="00B27949"/>
    <w:rsid w:val="00B34FEA"/>
    <w:rsid w:val="00B37B70"/>
    <w:rsid w:val="00B43586"/>
    <w:rsid w:val="00B4660B"/>
    <w:rsid w:val="00B52386"/>
    <w:rsid w:val="00B53CF0"/>
    <w:rsid w:val="00B66DB1"/>
    <w:rsid w:val="00B73180"/>
    <w:rsid w:val="00B8132F"/>
    <w:rsid w:val="00B82028"/>
    <w:rsid w:val="00B85166"/>
    <w:rsid w:val="00B8662B"/>
    <w:rsid w:val="00B87077"/>
    <w:rsid w:val="00B91C8D"/>
    <w:rsid w:val="00B92D4C"/>
    <w:rsid w:val="00B9464A"/>
    <w:rsid w:val="00B94D38"/>
    <w:rsid w:val="00B964C6"/>
    <w:rsid w:val="00BA4FB4"/>
    <w:rsid w:val="00BB09DE"/>
    <w:rsid w:val="00BB7178"/>
    <w:rsid w:val="00BC12E1"/>
    <w:rsid w:val="00BC1CB4"/>
    <w:rsid w:val="00BC3EBF"/>
    <w:rsid w:val="00BC4DB5"/>
    <w:rsid w:val="00BC5B98"/>
    <w:rsid w:val="00BC78EB"/>
    <w:rsid w:val="00BD2D6D"/>
    <w:rsid w:val="00BD6292"/>
    <w:rsid w:val="00BD62DD"/>
    <w:rsid w:val="00BD6866"/>
    <w:rsid w:val="00BE1337"/>
    <w:rsid w:val="00BE36A2"/>
    <w:rsid w:val="00BE37C7"/>
    <w:rsid w:val="00BE56EB"/>
    <w:rsid w:val="00BE5DC8"/>
    <w:rsid w:val="00BF1C16"/>
    <w:rsid w:val="00BF1FF6"/>
    <w:rsid w:val="00BF3ED0"/>
    <w:rsid w:val="00BF6AF9"/>
    <w:rsid w:val="00C05B7C"/>
    <w:rsid w:val="00C16F9F"/>
    <w:rsid w:val="00C242DD"/>
    <w:rsid w:val="00C30535"/>
    <w:rsid w:val="00C31C4B"/>
    <w:rsid w:val="00C321E0"/>
    <w:rsid w:val="00C32B52"/>
    <w:rsid w:val="00C37058"/>
    <w:rsid w:val="00C37397"/>
    <w:rsid w:val="00C47244"/>
    <w:rsid w:val="00C47AAD"/>
    <w:rsid w:val="00C53320"/>
    <w:rsid w:val="00C558F1"/>
    <w:rsid w:val="00C616FC"/>
    <w:rsid w:val="00C624D6"/>
    <w:rsid w:val="00C716D5"/>
    <w:rsid w:val="00C72221"/>
    <w:rsid w:val="00C72788"/>
    <w:rsid w:val="00C73026"/>
    <w:rsid w:val="00C81ADA"/>
    <w:rsid w:val="00C82E4F"/>
    <w:rsid w:val="00C85097"/>
    <w:rsid w:val="00C85884"/>
    <w:rsid w:val="00C91256"/>
    <w:rsid w:val="00C91492"/>
    <w:rsid w:val="00C91A39"/>
    <w:rsid w:val="00C93580"/>
    <w:rsid w:val="00C96522"/>
    <w:rsid w:val="00C96829"/>
    <w:rsid w:val="00CA1977"/>
    <w:rsid w:val="00CA444C"/>
    <w:rsid w:val="00CA4D39"/>
    <w:rsid w:val="00CB0136"/>
    <w:rsid w:val="00CB0D43"/>
    <w:rsid w:val="00CB255F"/>
    <w:rsid w:val="00CB7CC8"/>
    <w:rsid w:val="00CC3C93"/>
    <w:rsid w:val="00CC5EA9"/>
    <w:rsid w:val="00CC7D3E"/>
    <w:rsid w:val="00CD01C7"/>
    <w:rsid w:val="00CD1E00"/>
    <w:rsid w:val="00CD3176"/>
    <w:rsid w:val="00CD6C2F"/>
    <w:rsid w:val="00CE0C9E"/>
    <w:rsid w:val="00CE3216"/>
    <w:rsid w:val="00CE5F5C"/>
    <w:rsid w:val="00CE72B3"/>
    <w:rsid w:val="00CF193E"/>
    <w:rsid w:val="00CF7E70"/>
    <w:rsid w:val="00D014D7"/>
    <w:rsid w:val="00D01651"/>
    <w:rsid w:val="00D01E6C"/>
    <w:rsid w:val="00D03168"/>
    <w:rsid w:val="00D036C2"/>
    <w:rsid w:val="00D07571"/>
    <w:rsid w:val="00D1165B"/>
    <w:rsid w:val="00D12631"/>
    <w:rsid w:val="00D2138C"/>
    <w:rsid w:val="00D217C7"/>
    <w:rsid w:val="00D23608"/>
    <w:rsid w:val="00D25D72"/>
    <w:rsid w:val="00D30F2F"/>
    <w:rsid w:val="00D31A9E"/>
    <w:rsid w:val="00D32590"/>
    <w:rsid w:val="00D337DD"/>
    <w:rsid w:val="00D34E7E"/>
    <w:rsid w:val="00D41140"/>
    <w:rsid w:val="00D41A0D"/>
    <w:rsid w:val="00D43237"/>
    <w:rsid w:val="00D46E59"/>
    <w:rsid w:val="00D50EAE"/>
    <w:rsid w:val="00D5383F"/>
    <w:rsid w:val="00D53AB2"/>
    <w:rsid w:val="00D552F1"/>
    <w:rsid w:val="00D57D59"/>
    <w:rsid w:val="00D60E5D"/>
    <w:rsid w:val="00D61DA0"/>
    <w:rsid w:val="00D645C8"/>
    <w:rsid w:val="00D70C2F"/>
    <w:rsid w:val="00D77D7E"/>
    <w:rsid w:val="00D77F93"/>
    <w:rsid w:val="00D84B97"/>
    <w:rsid w:val="00D87768"/>
    <w:rsid w:val="00D915A1"/>
    <w:rsid w:val="00D92AFB"/>
    <w:rsid w:val="00DA4C3A"/>
    <w:rsid w:val="00DB10D4"/>
    <w:rsid w:val="00DB135C"/>
    <w:rsid w:val="00DB13DE"/>
    <w:rsid w:val="00DB21C4"/>
    <w:rsid w:val="00DB3A00"/>
    <w:rsid w:val="00DB4E1A"/>
    <w:rsid w:val="00DB6786"/>
    <w:rsid w:val="00DC2396"/>
    <w:rsid w:val="00DC3311"/>
    <w:rsid w:val="00DC7C98"/>
    <w:rsid w:val="00DD4FCB"/>
    <w:rsid w:val="00DD5412"/>
    <w:rsid w:val="00DE1C46"/>
    <w:rsid w:val="00DE4725"/>
    <w:rsid w:val="00DE5A52"/>
    <w:rsid w:val="00DE697A"/>
    <w:rsid w:val="00DF195F"/>
    <w:rsid w:val="00DF287D"/>
    <w:rsid w:val="00DF2B1A"/>
    <w:rsid w:val="00DF3F0C"/>
    <w:rsid w:val="00E00E89"/>
    <w:rsid w:val="00E01107"/>
    <w:rsid w:val="00E04636"/>
    <w:rsid w:val="00E06B3E"/>
    <w:rsid w:val="00E110E1"/>
    <w:rsid w:val="00E115D8"/>
    <w:rsid w:val="00E13281"/>
    <w:rsid w:val="00E159B1"/>
    <w:rsid w:val="00E15F37"/>
    <w:rsid w:val="00E210B7"/>
    <w:rsid w:val="00E21FE2"/>
    <w:rsid w:val="00E23EE9"/>
    <w:rsid w:val="00E32B3F"/>
    <w:rsid w:val="00E367BF"/>
    <w:rsid w:val="00E36DCE"/>
    <w:rsid w:val="00E460FD"/>
    <w:rsid w:val="00E502E6"/>
    <w:rsid w:val="00E53FE9"/>
    <w:rsid w:val="00E544CA"/>
    <w:rsid w:val="00E550E5"/>
    <w:rsid w:val="00E57EDE"/>
    <w:rsid w:val="00E62CE4"/>
    <w:rsid w:val="00E62F74"/>
    <w:rsid w:val="00E67F7D"/>
    <w:rsid w:val="00E74C47"/>
    <w:rsid w:val="00E84858"/>
    <w:rsid w:val="00E84EB3"/>
    <w:rsid w:val="00E871AA"/>
    <w:rsid w:val="00E9043D"/>
    <w:rsid w:val="00E91E6A"/>
    <w:rsid w:val="00E9207E"/>
    <w:rsid w:val="00E94C52"/>
    <w:rsid w:val="00E94E02"/>
    <w:rsid w:val="00EA0B24"/>
    <w:rsid w:val="00EA700C"/>
    <w:rsid w:val="00EA7043"/>
    <w:rsid w:val="00EA7117"/>
    <w:rsid w:val="00EB01BC"/>
    <w:rsid w:val="00EB0E02"/>
    <w:rsid w:val="00EB1A97"/>
    <w:rsid w:val="00EB581C"/>
    <w:rsid w:val="00EB5A15"/>
    <w:rsid w:val="00EB62E9"/>
    <w:rsid w:val="00EC087E"/>
    <w:rsid w:val="00EC220E"/>
    <w:rsid w:val="00EC3128"/>
    <w:rsid w:val="00EC3FB9"/>
    <w:rsid w:val="00ED1515"/>
    <w:rsid w:val="00ED1B67"/>
    <w:rsid w:val="00ED76DF"/>
    <w:rsid w:val="00EE1F60"/>
    <w:rsid w:val="00EE6F71"/>
    <w:rsid w:val="00EE7625"/>
    <w:rsid w:val="00EF2223"/>
    <w:rsid w:val="00EF3FB6"/>
    <w:rsid w:val="00EF4585"/>
    <w:rsid w:val="00EF67E1"/>
    <w:rsid w:val="00F019A6"/>
    <w:rsid w:val="00F02E48"/>
    <w:rsid w:val="00F03597"/>
    <w:rsid w:val="00F04284"/>
    <w:rsid w:val="00F07CD3"/>
    <w:rsid w:val="00F1209F"/>
    <w:rsid w:val="00F12CA6"/>
    <w:rsid w:val="00F1302F"/>
    <w:rsid w:val="00F16B6A"/>
    <w:rsid w:val="00F24056"/>
    <w:rsid w:val="00F25852"/>
    <w:rsid w:val="00F26A70"/>
    <w:rsid w:val="00F26E98"/>
    <w:rsid w:val="00F350AC"/>
    <w:rsid w:val="00F40754"/>
    <w:rsid w:val="00F41727"/>
    <w:rsid w:val="00F4244C"/>
    <w:rsid w:val="00F44AB3"/>
    <w:rsid w:val="00F451E9"/>
    <w:rsid w:val="00F46163"/>
    <w:rsid w:val="00F60840"/>
    <w:rsid w:val="00F638CD"/>
    <w:rsid w:val="00F64139"/>
    <w:rsid w:val="00F72590"/>
    <w:rsid w:val="00F72E67"/>
    <w:rsid w:val="00F7316F"/>
    <w:rsid w:val="00F73DF8"/>
    <w:rsid w:val="00F76746"/>
    <w:rsid w:val="00F81AB7"/>
    <w:rsid w:val="00F91DB6"/>
    <w:rsid w:val="00F93277"/>
    <w:rsid w:val="00F9520C"/>
    <w:rsid w:val="00F975FA"/>
    <w:rsid w:val="00FA236D"/>
    <w:rsid w:val="00FA541D"/>
    <w:rsid w:val="00FB021A"/>
    <w:rsid w:val="00FB3ECD"/>
    <w:rsid w:val="00FB43DA"/>
    <w:rsid w:val="00FB68CA"/>
    <w:rsid w:val="00FC086E"/>
    <w:rsid w:val="00FC2F47"/>
    <w:rsid w:val="00FC3F06"/>
    <w:rsid w:val="00FC437B"/>
    <w:rsid w:val="00FC60ED"/>
    <w:rsid w:val="00FD6DCE"/>
    <w:rsid w:val="00FD7833"/>
    <w:rsid w:val="00FE01B9"/>
    <w:rsid w:val="00FE5A54"/>
    <w:rsid w:val="00FE5C8C"/>
    <w:rsid w:val="00FE6336"/>
    <w:rsid w:val="00FE73C1"/>
    <w:rsid w:val="00FF0056"/>
    <w:rsid w:val="00FF0C88"/>
    <w:rsid w:val="00FF206D"/>
    <w:rsid w:val="00FF3E3C"/>
    <w:rsid w:val="00FF4F20"/>
    <w:rsid w:val="00FF77F6"/>
    <w:rsid w:val="011A187A"/>
    <w:rsid w:val="015974C0"/>
    <w:rsid w:val="0477011E"/>
    <w:rsid w:val="06B854E0"/>
    <w:rsid w:val="0892441D"/>
    <w:rsid w:val="094D76CD"/>
    <w:rsid w:val="09BB7D26"/>
    <w:rsid w:val="0A653B36"/>
    <w:rsid w:val="0ABF3B74"/>
    <w:rsid w:val="0AD749D3"/>
    <w:rsid w:val="0BC062F3"/>
    <w:rsid w:val="120E0F45"/>
    <w:rsid w:val="12351D62"/>
    <w:rsid w:val="145546DB"/>
    <w:rsid w:val="14562225"/>
    <w:rsid w:val="15397D21"/>
    <w:rsid w:val="15BC5CF3"/>
    <w:rsid w:val="18F328C8"/>
    <w:rsid w:val="195B31D1"/>
    <w:rsid w:val="1C27458D"/>
    <w:rsid w:val="1E5B385B"/>
    <w:rsid w:val="1EDF6E6C"/>
    <w:rsid w:val="1EE049A0"/>
    <w:rsid w:val="233872DA"/>
    <w:rsid w:val="23C9350A"/>
    <w:rsid w:val="24935BE0"/>
    <w:rsid w:val="264E3B92"/>
    <w:rsid w:val="26714458"/>
    <w:rsid w:val="268B5283"/>
    <w:rsid w:val="27EF32FC"/>
    <w:rsid w:val="297216B5"/>
    <w:rsid w:val="29764B7C"/>
    <w:rsid w:val="2A6932D3"/>
    <w:rsid w:val="2C6B5F28"/>
    <w:rsid w:val="2E02535B"/>
    <w:rsid w:val="2F527F07"/>
    <w:rsid w:val="30644D8D"/>
    <w:rsid w:val="31B50523"/>
    <w:rsid w:val="31F33FFD"/>
    <w:rsid w:val="32A6780E"/>
    <w:rsid w:val="33DC0C17"/>
    <w:rsid w:val="34506F5E"/>
    <w:rsid w:val="35ED7BFB"/>
    <w:rsid w:val="36BF20CE"/>
    <w:rsid w:val="37D93B45"/>
    <w:rsid w:val="388D68D4"/>
    <w:rsid w:val="38ED2ADD"/>
    <w:rsid w:val="390C1109"/>
    <w:rsid w:val="39E813E7"/>
    <w:rsid w:val="3A021752"/>
    <w:rsid w:val="3A786510"/>
    <w:rsid w:val="3B782017"/>
    <w:rsid w:val="3EA7309D"/>
    <w:rsid w:val="415E1BCB"/>
    <w:rsid w:val="424E75E6"/>
    <w:rsid w:val="44963C7A"/>
    <w:rsid w:val="450D1F8E"/>
    <w:rsid w:val="46453143"/>
    <w:rsid w:val="48825CBB"/>
    <w:rsid w:val="49144DDF"/>
    <w:rsid w:val="493A76FF"/>
    <w:rsid w:val="49BA799D"/>
    <w:rsid w:val="4B02751C"/>
    <w:rsid w:val="4F0C47F7"/>
    <w:rsid w:val="51FC7D77"/>
    <w:rsid w:val="53560736"/>
    <w:rsid w:val="5512068D"/>
    <w:rsid w:val="5A8C71CB"/>
    <w:rsid w:val="5C3A74CA"/>
    <w:rsid w:val="5C5838BB"/>
    <w:rsid w:val="5D9D42DC"/>
    <w:rsid w:val="5F3902E0"/>
    <w:rsid w:val="60BB1829"/>
    <w:rsid w:val="62726724"/>
    <w:rsid w:val="650A3343"/>
    <w:rsid w:val="6A2A54D8"/>
    <w:rsid w:val="6D4971D5"/>
    <w:rsid w:val="6E3F7761"/>
    <w:rsid w:val="70E84743"/>
    <w:rsid w:val="711B15BF"/>
    <w:rsid w:val="71307208"/>
    <w:rsid w:val="71861688"/>
    <w:rsid w:val="72CE7355"/>
    <w:rsid w:val="73521A2E"/>
    <w:rsid w:val="73927DA8"/>
    <w:rsid w:val="73D65325"/>
    <w:rsid w:val="75302DC9"/>
    <w:rsid w:val="75786DFE"/>
    <w:rsid w:val="782E7321"/>
    <w:rsid w:val="78D94FCB"/>
    <w:rsid w:val="79D4072E"/>
    <w:rsid w:val="7A5A1B83"/>
    <w:rsid w:val="7E5A5758"/>
    <w:rsid w:val="7E857566"/>
    <w:rsid w:val="7E9C1CEF"/>
    <w:rsid w:val="7E9C7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qFormat="1" w:unhideWhenUsed="0" w:uiPriority="0"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等线" w:hAnsi="等线" w:eastAsia="等线" w:cs="宋体"/>
      <w:kern w:val="2"/>
      <w:sz w:val="21"/>
      <w:szCs w:val="22"/>
      <w:lang w:val="en-US" w:eastAsia="zh-CN" w:bidi="ar-SA"/>
    </w:rPr>
  </w:style>
  <w:style w:type="paragraph" w:styleId="2">
    <w:name w:val="heading 1"/>
    <w:basedOn w:val="1"/>
    <w:next w:val="1"/>
    <w:link w:val="3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4"/>
    <w:qFormat/>
    <w:uiPriority w:val="9"/>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35"/>
    <w:qFormat/>
    <w:uiPriority w:val="9"/>
    <w:pPr>
      <w:keepNext/>
      <w:keepLines/>
      <w:spacing w:before="260" w:after="260" w:line="416" w:lineRule="auto"/>
      <w:outlineLvl w:val="2"/>
    </w:pPr>
    <w:rPr>
      <w:b/>
      <w:bCs/>
      <w:sz w:val="32"/>
      <w:szCs w:val="32"/>
    </w:rPr>
  </w:style>
  <w:style w:type="paragraph" w:styleId="5">
    <w:name w:val="heading 4"/>
    <w:basedOn w:val="1"/>
    <w:next w:val="1"/>
    <w:link w:val="59"/>
    <w:qFormat/>
    <w:uiPriority w:val="9"/>
    <w:pPr>
      <w:keepNext/>
      <w:keepLines/>
      <w:spacing w:before="280" w:after="290" w:line="376" w:lineRule="auto"/>
      <w:outlineLvl w:val="3"/>
    </w:pPr>
    <w:rPr>
      <w:rFonts w:ascii="等线 Light" w:hAnsi="等线 Light" w:eastAsia="等线 Light"/>
      <w:b/>
      <w:bCs/>
      <w:sz w:val="28"/>
      <w:szCs w:val="28"/>
    </w:rPr>
  </w:style>
  <w:style w:type="paragraph" w:styleId="6">
    <w:name w:val="heading 5"/>
    <w:basedOn w:val="1"/>
    <w:next w:val="1"/>
    <w:link w:val="60"/>
    <w:qFormat/>
    <w:uiPriority w:val="9"/>
    <w:pPr>
      <w:keepNext/>
      <w:keepLines/>
      <w:spacing w:before="280" w:after="290" w:line="376" w:lineRule="auto"/>
      <w:outlineLvl w:val="4"/>
    </w:pPr>
    <w:rPr>
      <w:b/>
      <w:bCs/>
      <w:sz w:val="28"/>
      <w:szCs w:val="28"/>
    </w:rPr>
  </w:style>
  <w:style w:type="character" w:default="1" w:styleId="25">
    <w:name w:val="Default Paragraph Font"/>
    <w:unhideWhenUsed/>
    <w:qFormat/>
    <w:uiPriority w:val="1"/>
  </w:style>
  <w:style w:type="table" w:default="1" w:styleId="2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7">
    <w:name w:val="table of authorities"/>
    <w:basedOn w:val="1"/>
    <w:next w:val="1"/>
    <w:qFormat/>
    <w:uiPriority w:val="0"/>
    <w:pPr>
      <w:widowControl w:val="0"/>
      <w:spacing w:before="240"/>
      <w:ind w:left="210" w:hanging="210"/>
    </w:pPr>
    <w:rPr>
      <w:b/>
      <w:szCs w:val="24"/>
    </w:rPr>
  </w:style>
  <w:style w:type="paragraph" w:styleId="8">
    <w:name w:val="caption"/>
    <w:basedOn w:val="1"/>
    <w:next w:val="1"/>
    <w:link w:val="56"/>
    <w:qFormat/>
    <w:uiPriority w:val="35"/>
    <w:pPr>
      <w:widowControl w:val="0"/>
      <w:jc w:val="both"/>
    </w:pPr>
    <w:rPr>
      <w:rFonts w:ascii="等线 Light" w:hAnsi="等线 Light" w:eastAsia="黑体"/>
      <w:sz w:val="20"/>
      <w:szCs w:val="20"/>
    </w:rPr>
  </w:style>
  <w:style w:type="paragraph" w:styleId="9">
    <w:name w:val="annotation text"/>
    <w:basedOn w:val="1"/>
    <w:link w:val="65"/>
    <w:qFormat/>
    <w:uiPriority w:val="0"/>
    <w:pPr>
      <w:widowControl w:val="0"/>
    </w:pPr>
    <w:rPr>
      <w:szCs w:val="24"/>
    </w:rPr>
  </w:style>
  <w:style w:type="paragraph" w:styleId="10">
    <w:name w:val="Body Text"/>
    <w:basedOn w:val="1"/>
    <w:link w:val="69"/>
    <w:qFormat/>
    <w:uiPriority w:val="1"/>
    <w:pPr>
      <w:widowControl w:val="0"/>
      <w:autoSpaceDE w:val="0"/>
      <w:autoSpaceDN w:val="0"/>
    </w:pPr>
    <w:rPr>
      <w:rFonts w:ascii="宋体" w:hAnsi="宋体" w:eastAsia="宋体"/>
      <w:kern w:val="0"/>
      <w:sz w:val="30"/>
      <w:szCs w:val="30"/>
    </w:rPr>
  </w:style>
  <w:style w:type="paragraph" w:styleId="11">
    <w:name w:val="toc 3"/>
    <w:basedOn w:val="1"/>
    <w:next w:val="1"/>
    <w:qFormat/>
    <w:uiPriority w:val="39"/>
    <w:pPr>
      <w:spacing w:after="100" w:line="259" w:lineRule="auto"/>
      <w:ind w:left="440"/>
    </w:pPr>
    <w:rPr>
      <w:rFonts w:cs="Times New Roman"/>
      <w:kern w:val="0"/>
      <w:sz w:val="22"/>
    </w:rPr>
  </w:style>
  <w:style w:type="paragraph" w:styleId="12">
    <w:name w:val="Date"/>
    <w:basedOn w:val="1"/>
    <w:next w:val="1"/>
    <w:link w:val="83"/>
    <w:qFormat/>
    <w:uiPriority w:val="0"/>
    <w:pPr>
      <w:widowControl w:val="0"/>
      <w:jc w:val="both"/>
    </w:pPr>
    <w:rPr>
      <w:rFonts w:ascii="Times New Roman" w:hAnsi="Times New Roman" w:eastAsia="宋体" w:cs="Times New Roman"/>
      <w:b/>
      <w:sz w:val="24"/>
      <w:szCs w:val="20"/>
    </w:rPr>
  </w:style>
  <w:style w:type="paragraph" w:styleId="13">
    <w:name w:val="endnote text"/>
    <w:basedOn w:val="1"/>
    <w:link w:val="64"/>
    <w:qFormat/>
    <w:uiPriority w:val="99"/>
    <w:pPr>
      <w:widowControl w:val="0"/>
      <w:snapToGrid w:val="0"/>
    </w:pPr>
  </w:style>
  <w:style w:type="paragraph" w:styleId="14">
    <w:name w:val="Balloon Text"/>
    <w:basedOn w:val="1"/>
    <w:link w:val="49"/>
    <w:qFormat/>
    <w:uiPriority w:val="99"/>
    <w:pPr>
      <w:widowControl w:val="0"/>
      <w:jc w:val="both"/>
    </w:pPr>
    <w:rPr>
      <w:sz w:val="18"/>
      <w:szCs w:val="18"/>
    </w:rPr>
  </w:style>
  <w:style w:type="paragraph" w:styleId="15">
    <w:name w:val="footer"/>
    <w:basedOn w:val="1"/>
    <w:link w:val="36"/>
    <w:qFormat/>
    <w:uiPriority w:val="99"/>
    <w:pPr>
      <w:tabs>
        <w:tab w:val="center" w:pos="4153"/>
        <w:tab w:val="right" w:pos="8306"/>
      </w:tabs>
      <w:snapToGrid w:val="0"/>
    </w:pPr>
    <w:rPr>
      <w:sz w:val="18"/>
      <w:szCs w:val="18"/>
    </w:rPr>
  </w:style>
  <w:style w:type="paragraph" w:styleId="16">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after="100" w:line="259" w:lineRule="auto"/>
    </w:pPr>
    <w:rPr>
      <w:rFonts w:cs="Times New Roman"/>
      <w:kern w:val="0"/>
      <w:sz w:val="22"/>
    </w:rPr>
  </w:style>
  <w:style w:type="paragraph" w:styleId="18">
    <w:name w:val="footnote text"/>
    <w:basedOn w:val="1"/>
    <w:link w:val="51"/>
    <w:qFormat/>
    <w:uiPriority w:val="0"/>
    <w:pPr>
      <w:widowControl w:val="0"/>
      <w:snapToGrid w:val="0"/>
    </w:pPr>
    <w:rPr>
      <w:sz w:val="18"/>
      <w:szCs w:val="18"/>
    </w:rPr>
  </w:style>
  <w:style w:type="paragraph" w:styleId="19">
    <w:name w:val="toc 2"/>
    <w:basedOn w:val="1"/>
    <w:next w:val="1"/>
    <w:qFormat/>
    <w:uiPriority w:val="39"/>
    <w:pPr>
      <w:spacing w:after="100" w:line="259" w:lineRule="auto"/>
      <w:ind w:left="220"/>
    </w:pPr>
    <w:rPr>
      <w:rFonts w:cs="Times New Roman"/>
      <w:kern w:val="0"/>
      <w:sz w:val="22"/>
    </w:rPr>
  </w:style>
  <w:style w:type="paragraph" w:styleId="20">
    <w:name w:val="Normal (Web)"/>
    <w:basedOn w:val="1"/>
    <w:qFormat/>
    <w:uiPriority w:val="0"/>
    <w:pPr>
      <w:spacing w:before="100" w:beforeAutospacing="1" w:after="100" w:afterAutospacing="1"/>
      <w:ind w:firstLine="200" w:firstLineChars="200"/>
    </w:pPr>
    <w:rPr>
      <w:rFonts w:ascii="宋体" w:hAnsi="宋体" w:eastAsia="宋体"/>
      <w:kern w:val="0"/>
      <w:sz w:val="24"/>
      <w:szCs w:val="24"/>
    </w:rPr>
  </w:style>
  <w:style w:type="paragraph" w:styleId="21">
    <w:name w:val="Title"/>
    <w:basedOn w:val="1"/>
    <w:next w:val="1"/>
    <w:link w:val="38"/>
    <w:qFormat/>
    <w:uiPriority w:val="10"/>
    <w:pPr>
      <w:spacing w:before="240" w:after="60"/>
      <w:jc w:val="center"/>
      <w:outlineLvl w:val="0"/>
    </w:pPr>
    <w:rPr>
      <w:rFonts w:ascii="等线 Light" w:hAnsi="等线 Light" w:eastAsia="等线 Light"/>
      <w:b/>
      <w:bCs/>
      <w:sz w:val="32"/>
      <w:szCs w:val="32"/>
    </w:rPr>
  </w:style>
  <w:style w:type="paragraph" w:styleId="22">
    <w:name w:val="annotation subject"/>
    <w:basedOn w:val="9"/>
    <w:next w:val="9"/>
    <w:link w:val="67"/>
    <w:qFormat/>
    <w:uiPriority w:val="99"/>
    <w:pPr>
      <w:widowControl/>
    </w:pPr>
    <w:rPr>
      <w:b/>
      <w:bCs/>
      <w:szCs w:val="22"/>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endnote reference"/>
    <w:basedOn w:val="25"/>
    <w:qFormat/>
    <w:uiPriority w:val="99"/>
    <w:rPr>
      <w:vertAlign w:val="superscript"/>
    </w:rPr>
  </w:style>
  <w:style w:type="character" w:styleId="28">
    <w:name w:val="FollowedHyperlink"/>
    <w:basedOn w:val="25"/>
    <w:qFormat/>
    <w:uiPriority w:val="99"/>
    <w:rPr>
      <w:color w:val="954F72"/>
      <w:u w:val="single"/>
    </w:rPr>
  </w:style>
  <w:style w:type="character" w:styleId="29">
    <w:name w:val="Emphasis"/>
    <w:basedOn w:val="25"/>
    <w:qFormat/>
    <w:uiPriority w:val="20"/>
    <w:rPr>
      <w:i/>
      <w:iCs/>
    </w:rPr>
  </w:style>
  <w:style w:type="character" w:styleId="30">
    <w:name w:val="Hyperlink"/>
    <w:basedOn w:val="25"/>
    <w:qFormat/>
    <w:uiPriority w:val="99"/>
    <w:rPr>
      <w:color w:val="0563C1"/>
      <w:u w:val="single"/>
    </w:rPr>
  </w:style>
  <w:style w:type="character" w:styleId="31">
    <w:name w:val="annotation reference"/>
    <w:basedOn w:val="25"/>
    <w:qFormat/>
    <w:uiPriority w:val="0"/>
    <w:rPr>
      <w:sz w:val="21"/>
      <w:szCs w:val="21"/>
    </w:rPr>
  </w:style>
  <w:style w:type="character" w:styleId="32">
    <w:name w:val="footnote reference"/>
    <w:basedOn w:val="25"/>
    <w:qFormat/>
    <w:uiPriority w:val="0"/>
    <w:rPr>
      <w:vertAlign w:val="superscript"/>
    </w:rPr>
  </w:style>
  <w:style w:type="character" w:customStyle="1" w:styleId="33">
    <w:name w:val="标题 1 字符"/>
    <w:basedOn w:val="25"/>
    <w:link w:val="2"/>
    <w:qFormat/>
    <w:uiPriority w:val="9"/>
    <w:rPr>
      <w:b/>
      <w:bCs/>
      <w:kern w:val="44"/>
      <w:sz w:val="44"/>
      <w:szCs w:val="44"/>
    </w:rPr>
  </w:style>
  <w:style w:type="character" w:customStyle="1" w:styleId="34">
    <w:name w:val="标题 2 字符"/>
    <w:basedOn w:val="25"/>
    <w:link w:val="3"/>
    <w:qFormat/>
    <w:uiPriority w:val="9"/>
    <w:rPr>
      <w:rFonts w:ascii="等线 Light" w:hAnsi="等线 Light" w:eastAsia="等线 Light" w:cs="宋体"/>
      <w:b/>
      <w:bCs/>
      <w:sz w:val="32"/>
      <w:szCs w:val="32"/>
    </w:rPr>
  </w:style>
  <w:style w:type="character" w:customStyle="1" w:styleId="35">
    <w:name w:val="标题 3 字符"/>
    <w:basedOn w:val="25"/>
    <w:link w:val="4"/>
    <w:qFormat/>
    <w:uiPriority w:val="9"/>
    <w:rPr>
      <w:b/>
      <w:bCs/>
      <w:sz w:val="32"/>
      <w:szCs w:val="32"/>
    </w:rPr>
  </w:style>
  <w:style w:type="character" w:customStyle="1" w:styleId="36">
    <w:name w:val="页脚 字符"/>
    <w:basedOn w:val="25"/>
    <w:link w:val="15"/>
    <w:qFormat/>
    <w:uiPriority w:val="99"/>
    <w:rPr>
      <w:sz w:val="18"/>
      <w:szCs w:val="18"/>
    </w:rPr>
  </w:style>
  <w:style w:type="character" w:customStyle="1" w:styleId="37">
    <w:name w:val="页眉 字符"/>
    <w:basedOn w:val="25"/>
    <w:link w:val="16"/>
    <w:qFormat/>
    <w:uiPriority w:val="99"/>
    <w:rPr>
      <w:sz w:val="18"/>
      <w:szCs w:val="18"/>
    </w:rPr>
  </w:style>
  <w:style w:type="character" w:customStyle="1" w:styleId="38">
    <w:name w:val="标题 字符"/>
    <w:basedOn w:val="25"/>
    <w:link w:val="21"/>
    <w:qFormat/>
    <w:uiPriority w:val="10"/>
    <w:rPr>
      <w:rFonts w:ascii="等线 Light" w:hAnsi="等线 Light" w:eastAsia="等线 Light" w:cs="宋体"/>
      <w:b/>
      <w:bCs/>
      <w:sz w:val="32"/>
      <w:szCs w:val="32"/>
    </w:rPr>
  </w:style>
  <w:style w:type="paragraph" w:styleId="39">
    <w:name w:val="No Spacing"/>
    <w:link w:val="40"/>
    <w:qFormat/>
    <w:uiPriority w:val="1"/>
    <w:rPr>
      <w:rFonts w:ascii="等线" w:hAnsi="等线" w:eastAsia="等线" w:cs="宋体"/>
      <w:sz w:val="22"/>
      <w:szCs w:val="22"/>
      <w:lang w:val="en-US" w:eastAsia="zh-CN" w:bidi="ar-SA"/>
    </w:rPr>
  </w:style>
  <w:style w:type="character" w:customStyle="1" w:styleId="40">
    <w:name w:val="无间隔 字符"/>
    <w:basedOn w:val="25"/>
    <w:link w:val="39"/>
    <w:qFormat/>
    <w:uiPriority w:val="1"/>
    <w:rPr>
      <w:kern w:val="0"/>
      <w:sz w:val="22"/>
    </w:rPr>
  </w:style>
  <w:style w:type="table" w:customStyle="1" w:styleId="41">
    <w:name w:val="无格式表格 21"/>
    <w:basedOn w:val="23"/>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42">
    <w:name w:val="font01"/>
    <w:basedOn w:val="25"/>
    <w:qFormat/>
    <w:uiPriority w:val="0"/>
    <w:rPr>
      <w:rFonts w:hint="eastAsia" w:ascii="等线" w:hAnsi="等线" w:eastAsia="等线" w:cs="等线"/>
      <w:color w:val="000000"/>
      <w:sz w:val="22"/>
      <w:szCs w:val="22"/>
      <w:u w:val="none"/>
    </w:rPr>
  </w:style>
  <w:style w:type="character" w:customStyle="1" w:styleId="43">
    <w:name w:val="font41"/>
    <w:basedOn w:val="25"/>
    <w:qFormat/>
    <w:uiPriority w:val="0"/>
    <w:rPr>
      <w:rFonts w:hint="eastAsia" w:ascii="等线" w:hAnsi="等线" w:eastAsia="等线" w:cs="等线"/>
      <w:color w:val="000000"/>
      <w:sz w:val="20"/>
      <w:szCs w:val="20"/>
      <w:u w:val="none"/>
    </w:rPr>
  </w:style>
  <w:style w:type="paragraph" w:customStyle="1" w:styleId="44">
    <w:name w:val="TOC 标题1"/>
    <w:basedOn w:val="2"/>
    <w:next w:val="1"/>
    <w:qFormat/>
    <w:uiPriority w:val="39"/>
    <w:pPr>
      <w:spacing w:before="240" w:after="0" w:line="259" w:lineRule="auto"/>
      <w:outlineLvl w:val="9"/>
    </w:pPr>
    <w:rPr>
      <w:rFonts w:ascii="等线 Light" w:hAnsi="等线 Light" w:eastAsia="等线 Light"/>
      <w:b w:val="0"/>
      <w:bCs w:val="0"/>
      <w:color w:val="2E74B5"/>
      <w:kern w:val="0"/>
      <w:sz w:val="32"/>
      <w:szCs w:val="32"/>
    </w:rPr>
  </w:style>
  <w:style w:type="table" w:customStyle="1" w:styleId="45">
    <w:name w:val="网格型1"/>
    <w:basedOn w:val="23"/>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无格式表格 22"/>
    <w:basedOn w:val="23"/>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47">
    <w:name w:val="无格式表格 23"/>
    <w:basedOn w:val="23"/>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styleId="48">
    <w:name w:val="List Paragraph"/>
    <w:basedOn w:val="1"/>
    <w:link w:val="77"/>
    <w:qFormat/>
    <w:uiPriority w:val="34"/>
    <w:pPr>
      <w:ind w:firstLine="420" w:firstLineChars="200"/>
    </w:pPr>
  </w:style>
  <w:style w:type="character" w:customStyle="1" w:styleId="49">
    <w:name w:val="批注框文本 字符"/>
    <w:basedOn w:val="25"/>
    <w:link w:val="14"/>
    <w:qFormat/>
    <w:uiPriority w:val="99"/>
    <w:rPr>
      <w:kern w:val="2"/>
      <w:sz w:val="18"/>
      <w:szCs w:val="18"/>
    </w:rPr>
  </w:style>
  <w:style w:type="character" w:customStyle="1" w:styleId="50">
    <w:name w:val="translated-span"/>
    <w:basedOn w:val="25"/>
    <w:qFormat/>
    <w:uiPriority w:val="0"/>
  </w:style>
  <w:style w:type="character" w:customStyle="1" w:styleId="51">
    <w:name w:val="脚注文本 字符"/>
    <w:basedOn w:val="25"/>
    <w:link w:val="18"/>
    <w:qFormat/>
    <w:uiPriority w:val="99"/>
    <w:rPr>
      <w:kern w:val="2"/>
      <w:sz w:val="18"/>
      <w:szCs w:val="18"/>
    </w:rPr>
  </w:style>
  <w:style w:type="character" w:customStyle="1" w:styleId="52">
    <w:name w:val="bjh-p"/>
    <w:basedOn w:val="25"/>
    <w:qFormat/>
    <w:uiPriority w:val="0"/>
  </w:style>
  <w:style w:type="paragraph" w:customStyle="1" w:styleId="53">
    <w:name w:val="Default"/>
    <w:qFormat/>
    <w:uiPriority w:val="0"/>
    <w:pPr>
      <w:widowControl w:val="0"/>
      <w:autoSpaceDE w:val="0"/>
      <w:autoSpaceDN w:val="0"/>
      <w:adjustRightInd w:val="0"/>
    </w:pPr>
    <w:rPr>
      <w:rFonts w:ascii="微软雅黑" w:hAnsi="等线" w:eastAsia="微软雅黑" w:cs="微软雅黑"/>
      <w:color w:val="000000"/>
      <w:sz w:val="24"/>
      <w:szCs w:val="24"/>
      <w:lang w:val="en-US" w:eastAsia="zh-CN" w:bidi="ar-SA"/>
    </w:rPr>
  </w:style>
  <w:style w:type="paragraph" w:customStyle="1" w:styleId="54">
    <w:name w:val="列出段落1"/>
    <w:basedOn w:val="1"/>
    <w:qFormat/>
    <w:uiPriority w:val="34"/>
    <w:pPr>
      <w:widowControl w:val="0"/>
      <w:ind w:firstLine="420" w:firstLineChars="200"/>
      <w:jc w:val="both"/>
    </w:pPr>
  </w:style>
  <w:style w:type="paragraph" w:customStyle="1" w:styleId="55">
    <w:name w:val="样式1"/>
    <w:basedOn w:val="8"/>
    <w:link w:val="57"/>
    <w:qFormat/>
    <w:uiPriority w:val="0"/>
    <w:pPr>
      <w:numPr>
        <w:ilvl w:val="0"/>
        <w:numId w:val="1"/>
      </w:numPr>
      <w:jc w:val="center"/>
    </w:pPr>
  </w:style>
  <w:style w:type="character" w:customStyle="1" w:styleId="56">
    <w:name w:val="题注 字符"/>
    <w:basedOn w:val="25"/>
    <w:link w:val="8"/>
    <w:qFormat/>
    <w:uiPriority w:val="35"/>
    <w:rPr>
      <w:rFonts w:ascii="等线 Light" w:hAnsi="等线 Light" w:eastAsia="黑体" w:cs="宋体"/>
      <w:kern w:val="2"/>
    </w:rPr>
  </w:style>
  <w:style w:type="character" w:customStyle="1" w:styleId="57">
    <w:name w:val="样式1 字符"/>
    <w:basedOn w:val="56"/>
    <w:link w:val="55"/>
    <w:qFormat/>
    <w:uiPriority w:val="0"/>
    <w:rPr>
      <w:rFonts w:ascii="等线 Light" w:hAnsi="等线 Light" w:eastAsia="黑体" w:cs="宋体"/>
      <w:kern w:val="2"/>
    </w:rPr>
  </w:style>
  <w:style w:type="paragraph" w:customStyle="1" w:styleId="58">
    <w:name w:val="图表"/>
    <w:next w:val="1"/>
    <w:link w:val="81"/>
    <w:qFormat/>
    <w:uiPriority w:val="12"/>
    <w:pPr>
      <w:jc w:val="center"/>
    </w:pPr>
    <w:rPr>
      <w:rFonts w:ascii="Times New Roman" w:hAnsi="Times New Roman" w:eastAsia="仿宋" w:cs="Times New Roman"/>
      <w:bCs/>
      <w:kern w:val="44"/>
      <w:sz w:val="24"/>
      <w:szCs w:val="44"/>
      <w:lang w:val="en-US" w:eastAsia="zh-CN" w:bidi="ar-SA"/>
    </w:rPr>
  </w:style>
  <w:style w:type="character" w:customStyle="1" w:styleId="59">
    <w:name w:val="标题 4 字符"/>
    <w:basedOn w:val="25"/>
    <w:link w:val="5"/>
    <w:qFormat/>
    <w:uiPriority w:val="9"/>
    <w:rPr>
      <w:rFonts w:ascii="等线 Light" w:hAnsi="等线 Light" w:eastAsia="等线 Light" w:cs="宋体"/>
      <w:b/>
      <w:bCs/>
      <w:kern w:val="2"/>
      <w:sz w:val="28"/>
      <w:szCs w:val="28"/>
    </w:rPr>
  </w:style>
  <w:style w:type="character" w:customStyle="1" w:styleId="60">
    <w:name w:val="标题 5 字符"/>
    <w:basedOn w:val="25"/>
    <w:link w:val="6"/>
    <w:qFormat/>
    <w:uiPriority w:val="9"/>
    <w:rPr>
      <w:b/>
      <w:bCs/>
      <w:kern w:val="2"/>
      <w:sz w:val="28"/>
      <w:szCs w:val="28"/>
    </w:rPr>
  </w:style>
  <w:style w:type="character" w:customStyle="1" w:styleId="61">
    <w:name w:val="Table caption_"/>
    <w:basedOn w:val="25"/>
    <w:link w:val="62"/>
    <w:qFormat/>
    <w:uiPriority w:val="0"/>
    <w:rPr>
      <w:rFonts w:ascii="宋体" w:hAnsi="宋体" w:eastAsia="宋体" w:cs="宋体"/>
      <w:sz w:val="30"/>
      <w:szCs w:val="30"/>
    </w:rPr>
  </w:style>
  <w:style w:type="paragraph" w:customStyle="1" w:styleId="62">
    <w:name w:val="Table caption"/>
    <w:basedOn w:val="1"/>
    <w:link w:val="61"/>
    <w:qFormat/>
    <w:uiPriority w:val="0"/>
    <w:pPr>
      <w:widowControl w:val="0"/>
    </w:pPr>
    <w:rPr>
      <w:rFonts w:ascii="宋体" w:hAnsi="宋体" w:eastAsia="宋体"/>
      <w:kern w:val="0"/>
      <w:sz w:val="30"/>
      <w:szCs w:val="30"/>
    </w:rPr>
  </w:style>
  <w:style w:type="character" w:customStyle="1" w:styleId="63">
    <w:name w:val="页脚 Char"/>
    <w:qFormat/>
    <w:uiPriority w:val="99"/>
    <w:rPr>
      <w:sz w:val="18"/>
      <w:szCs w:val="18"/>
    </w:rPr>
  </w:style>
  <w:style w:type="character" w:customStyle="1" w:styleId="64">
    <w:name w:val="尾注文本 字符"/>
    <w:basedOn w:val="25"/>
    <w:link w:val="13"/>
    <w:qFormat/>
    <w:uiPriority w:val="99"/>
    <w:rPr>
      <w:kern w:val="2"/>
      <w:sz w:val="21"/>
      <w:szCs w:val="22"/>
    </w:rPr>
  </w:style>
  <w:style w:type="character" w:customStyle="1" w:styleId="65">
    <w:name w:val="批注文字 字符"/>
    <w:basedOn w:val="25"/>
    <w:link w:val="9"/>
    <w:qFormat/>
    <w:uiPriority w:val="0"/>
    <w:rPr>
      <w:kern w:val="2"/>
      <w:sz w:val="21"/>
      <w:szCs w:val="24"/>
    </w:rPr>
  </w:style>
  <w:style w:type="paragraph" w:customStyle="1" w:styleId="66">
    <w:name w:val="paragraph"/>
    <w:basedOn w:val="1"/>
    <w:qFormat/>
    <w:uiPriority w:val="0"/>
    <w:pPr>
      <w:spacing w:before="100" w:beforeAutospacing="1" w:after="100" w:afterAutospacing="1"/>
    </w:pPr>
    <w:rPr>
      <w:rFonts w:ascii="宋体" w:hAnsi="宋体" w:eastAsia="宋体"/>
      <w:kern w:val="0"/>
      <w:sz w:val="24"/>
      <w:szCs w:val="24"/>
    </w:rPr>
  </w:style>
  <w:style w:type="character" w:customStyle="1" w:styleId="67">
    <w:name w:val="批注主题 字符"/>
    <w:basedOn w:val="65"/>
    <w:link w:val="22"/>
    <w:qFormat/>
    <w:uiPriority w:val="99"/>
    <w:rPr>
      <w:b/>
      <w:bCs/>
      <w:kern w:val="2"/>
      <w:sz w:val="21"/>
      <w:szCs w:val="22"/>
    </w:rPr>
  </w:style>
  <w:style w:type="table" w:customStyle="1" w:styleId="68">
    <w:name w:val="网格表 4 - 着色 11"/>
    <w:basedOn w:val="23"/>
    <w:qFormat/>
    <w:uiPriority w:val="49"/>
    <w:rPr>
      <w:kern w:val="2"/>
      <w:sz w:val="21"/>
      <w:szCs w:val="22"/>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character" w:customStyle="1" w:styleId="69">
    <w:name w:val="正文文本 字符"/>
    <w:basedOn w:val="25"/>
    <w:link w:val="10"/>
    <w:qFormat/>
    <w:uiPriority w:val="1"/>
    <w:rPr>
      <w:rFonts w:ascii="宋体" w:hAnsi="宋体" w:eastAsia="宋体" w:cs="宋体"/>
      <w:sz w:val="30"/>
      <w:szCs w:val="30"/>
    </w:rPr>
  </w:style>
  <w:style w:type="table" w:customStyle="1" w:styleId="70">
    <w:name w:val="网格表 4 - 着色 51"/>
    <w:basedOn w:val="23"/>
    <w:qFormat/>
    <w:uiPriority w:val="49"/>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customStyle="1" w:styleId="71">
    <w:name w:val="报告正文"/>
    <w:basedOn w:val="1"/>
    <w:qFormat/>
    <w:uiPriority w:val="0"/>
    <w:pPr>
      <w:widowControl w:val="0"/>
      <w:ind w:firstLine="200" w:firstLineChars="200"/>
      <w:jc w:val="both"/>
    </w:pPr>
    <w:rPr>
      <w:rFonts w:ascii="仿宋_GB2312" w:hAnsi="仿宋_GB2312" w:eastAsia="仿宋_GB2312"/>
      <w:sz w:val="32"/>
      <w:szCs w:val="20"/>
      <w:u w:color="000000"/>
    </w:rPr>
  </w:style>
  <w:style w:type="paragraph" w:customStyle="1" w:styleId="72">
    <w:name w:val="重大专项字体"/>
    <w:basedOn w:val="1"/>
    <w:qFormat/>
    <w:uiPriority w:val="0"/>
    <w:pPr>
      <w:widowControl w:val="0"/>
      <w:spacing w:before="120" w:line="360" w:lineRule="auto"/>
      <w:ind w:firstLine="200" w:firstLineChars="200"/>
      <w:jc w:val="both"/>
    </w:pPr>
    <w:rPr>
      <w:rFonts w:ascii="仿宋_GB2312" w:hAnsi="Arial" w:eastAsia="仿宋_GB2312"/>
      <w:color w:val="000000"/>
      <w:sz w:val="24"/>
      <w:szCs w:val="20"/>
    </w:rPr>
  </w:style>
  <w:style w:type="paragraph" w:customStyle="1" w:styleId="73">
    <w:name w:val="正文分点"/>
    <w:next w:val="1"/>
    <w:qFormat/>
    <w:uiPriority w:val="9"/>
    <w:pPr>
      <w:spacing w:line="360" w:lineRule="auto"/>
      <w:ind w:left="425" w:hanging="425"/>
      <w:textAlignment w:val="center"/>
      <w:outlineLvl w:val="2"/>
    </w:pPr>
    <w:rPr>
      <w:rFonts w:ascii="Times New Roman" w:hAnsi="Times New Roman" w:eastAsia="仿宋" w:cs="宋体"/>
      <w:bCs/>
      <w:kern w:val="2"/>
      <w:sz w:val="24"/>
      <w:szCs w:val="28"/>
      <w:lang w:val="en-US" w:eastAsia="zh-CN" w:bidi="ar-SA"/>
    </w:rPr>
  </w:style>
  <w:style w:type="paragraph" w:styleId="74">
    <w:name w:val="Quote"/>
    <w:basedOn w:val="1"/>
    <w:next w:val="1"/>
    <w:link w:val="75"/>
    <w:qFormat/>
    <w:uiPriority w:val="29"/>
    <w:pPr>
      <w:widowControl w:val="0"/>
      <w:spacing w:line="360" w:lineRule="auto"/>
      <w:ind w:firstLine="420" w:firstLineChars="200"/>
      <w:jc w:val="right"/>
      <w:textAlignment w:val="center"/>
    </w:pPr>
    <w:rPr>
      <w:rFonts w:ascii="Times New Roman" w:hAnsi="Times New Roman" w:eastAsia="仿宋" w:cs="Times New Roman"/>
      <w:iCs/>
      <w:color w:val="000000"/>
      <w:sz w:val="18"/>
      <w:szCs w:val="20"/>
    </w:rPr>
  </w:style>
  <w:style w:type="character" w:customStyle="1" w:styleId="75">
    <w:name w:val="引用 字符"/>
    <w:basedOn w:val="25"/>
    <w:link w:val="74"/>
    <w:qFormat/>
    <w:uiPriority w:val="29"/>
    <w:rPr>
      <w:rFonts w:ascii="Times New Roman" w:hAnsi="Times New Roman" w:eastAsia="仿宋" w:cs="Times New Roman"/>
      <w:iCs/>
      <w:color w:val="000000"/>
      <w:kern w:val="2"/>
      <w:sz w:val="18"/>
    </w:rPr>
  </w:style>
  <w:style w:type="table" w:customStyle="1" w:styleId="76">
    <w:name w:val="网格表 1 浅色1"/>
    <w:basedOn w:val="23"/>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character" w:customStyle="1" w:styleId="77">
    <w:name w:val="列出段落 字符"/>
    <w:link w:val="48"/>
    <w:qFormat/>
    <w:uiPriority w:val="34"/>
    <w:rPr>
      <w:kern w:val="2"/>
      <w:sz w:val="21"/>
      <w:szCs w:val="22"/>
    </w:rPr>
  </w:style>
  <w:style w:type="table" w:customStyle="1" w:styleId="78">
    <w:name w:val="网格表 5 深色 - 着色 11"/>
    <w:basedOn w:val="23"/>
    <w:qFormat/>
    <w:uiPriority w:val="50"/>
    <w:rPr>
      <w:rFonts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character" w:customStyle="1" w:styleId="79">
    <w:name w:val="font11"/>
    <w:basedOn w:val="25"/>
    <w:qFormat/>
    <w:uiPriority w:val="0"/>
    <w:rPr>
      <w:rFonts w:hint="eastAsia" w:ascii="宋体" w:hAnsi="宋体" w:eastAsia="宋体" w:cs="宋体"/>
      <w:color w:val="000000"/>
      <w:sz w:val="20"/>
      <w:szCs w:val="20"/>
      <w:u w:val="none"/>
    </w:rPr>
  </w:style>
  <w:style w:type="paragraph" w:customStyle="1" w:styleId="80">
    <w:name w:val="一级标题"/>
    <w:basedOn w:val="48"/>
    <w:qFormat/>
    <w:uiPriority w:val="0"/>
    <w:pPr>
      <w:widowControl w:val="0"/>
      <w:numPr>
        <w:ilvl w:val="0"/>
        <w:numId w:val="2"/>
      </w:numPr>
      <w:autoSpaceDE w:val="0"/>
      <w:spacing w:line="520" w:lineRule="atLeast"/>
      <w:ind w:firstLine="0" w:firstLineChars="0"/>
      <w:jc w:val="both"/>
      <w:outlineLvl w:val="0"/>
    </w:pPr>
    <w:rPr>
      <w:rFonts w:ascii="黑体" w:hAnsi="黑体" w:eastAsia="黑体"/>
      <w:sz w:val="32"/>
      <w:szCs w:val="32"/>
    </w:rPr>
  </w:style>
  <w:style w:type="character" w:customStyle="1" w:styleId="81">
    <w:name w:val="图表 字符"/>
    <w:basedOn w:val="25"/>
    <w:link w:val="58"/>
    <w:qFormat/>
    <w:uiPriority w:val="0"/>
    <w:rPr>
      <w:rFonts w:ascii="Times New Roman" w:hAnsi="Times New Roman" w:eastAsia="仿宋" w:cs="Times New Roman"/>
      <w:bCs/>
      <w:kern w:val="44"/>
      <w:sz w:val="24"/>
      <w:szCs w:val="44"/>
    </w:rPr>
  </w:style>
  <w:style w:type="paragraph" w:customStyle="1" w:styleId="82">
    <w:name w:val="ql-align-justify"/>
    <w:basedOn w:val="1"/>
    <w:qFormat/>
    <w:uiPriority w:val="0"/>
    <w:pPr>
      <w:spacing w:before="100" w:beforeAutospacing="1" w:after="100" w:afterAutospacing="1"/>
    </w:pPr>
    <w:rPr>
      <w:rFonts w:ascii="宋体" w:hAnsi="宋体" w:eastAsia="宋体"/>
      <w:kern w:val="0"/>
      <w:sz w:val="24"/>
      <w:szCs w:val="24"/>
    </w:rPr>
  </w:style>
  <w:style w:type="character" w:customStyle="1" w:styleId="83">
    <w:name w:val="日期 字符"/>
    <w:basedOn w:val="25"/>
    <w:link w:val="12"/>
    <w:qFormat/>
    <w:uiPriority w:val="0"/>
    <w:rPr>
      <w:rFonts w:ascii="Times New Roman" w:hAnsi="Times New Roman" w:eastAsia="宋体" w:cs="Times New Roman"/>
      <w:b/>
      <w:kern w:val="2"/>
      <w:sz w:val="24"/>
    </w:rPr>
  </w:style>
  <w:style w:type="paragraph" w:customStyle="1" w:styleId="84">
    <w:name w:val="参考文献（吴）"/>
    <w:basedOn w:val="1"/>
    <w:next w:val="1"/>
    <w:qFormat/>
    <w:uiPriority w:val="0"/>
    <w:pPr>
      <w:widowControl w:val="0"/>
      <w:spacing w:before="50" w:beforeLines="50" w:after="50" w:afterLines="50"/>
      <w:jc w:val="center"/>
    </w:pPr>
    <w:rPr>
      <w:rFonts w:ascii="Arial" w:hAnsi="Arial" w:eastAsia="黑体" w:cs="Times New Roman"/>
      <w:sz w:val="28"/>
      <w:szCs w:val="28"/>
    </w:rPr>
  </w:style>
  <w:style w:type="paragraph" w:customStyle="1" w:styleId="85">
    <w:name w:val="参考文献内容（吴）"/>
    <w:basedOn w:val="84"/>
    <w:next w:val="1"/>
    <w:qFormat/>
    <w:uiPriority w:val="0"/>
    <w:pPr>
      <w:spacing w:before="0" w:after="0"/>
      <w:jc w:val="both"/>
    </w:pPr>
    <w:rPr>
      <w:rFonts w:ascii="Times New Roman" w:hAnsi="Times New Roman" w:eastAsia="宋体"/>
      <w:sz w:val="18"/>
    </w:rPr>
  </w:style>
  <w:style w:type="paragraph" w:customStyle="1" w:styleId="86">
    <w:name w:val="脚注"/>
    <w:qFormat/>
    <w:uiPriority w:val="3"/>
    <w:pPr>
      <w:jc w:val="both"/>
    </w:pPr>
    <w:rPr>
      <w:rFonts w:ascii="Times New Roman" w:hAnsi="Times New Roman" w:eastAsia="宋体" w:cs="Times New Roman"/>
      <w:bCs/>
      <w:kern w:val="44"/>
      <w:sz w:val="21"/>
      <w:szCs w:val="44"/>
      <w:lang w:val="en-US" w:eastAsia="zh-CN" w:bidi="ar-SA"/>
    </w:rPr>
  </w:style>
  <w:style w:type="character" w:customStyle="1" w:styleId="87">
    <w:name w:val="font51"/>
    <w:basedOn w:val="25"/>
    <w:qFormat/>
    <w:uiPriority w:val="0"/>
    <w:rPr>
      <w:rFonts w:hint="eastAsia" w:ascii="宋体" w:hAnsi="宋体" w:eastAsia="宋体" w:cs="宋体"/>
      <w:b/>
      <w:bCs/>
      <w:color w:val="000000"/>
      <w:sz w:val="20"/>
      <w:szCs w:val="20"/>
      <w:u w:val="none"/>
    </w:rPr>
  </w:style>
  <w:style w:type="character" w:customStyle="1" w:styleId="88">
    <w:name w:val="font21"/>
    <w:basedOn w:val="25"/>
    <w:qFormat/>
    <w:uiPriority w:val="0"/>
    <w:rPr>
      <w:rFonts w:hint="eastAsia" w:ascii="仿宋" w:hAnsi="仿宋" w:eastAsia="仿宋" w:cs="仿宋"/>
      <w:color w:val="000000"/>
      <w:sz w:val="24"/>
      <w:szCs w:val="24"/>
      <w:u w:val="none"/>
    </w:rPr>
  </w:style>
  <w:style w:type="character" w:customStyle="1" w:styleId="89">
    <w:name w:val="font31"/>
    <w:basedOn w:val="25"/>
    <w:qFormat/>
    <w:uiPriority w:val="0"/>
    <w:rPr>
      <w:rFonts w:hint="eastAsia" w:ascii="仿宋" w:hAnsi="仿宋" w:eastAsia="仿宋" w:cs="仿宋"/>
      <w:b/>
      <w:bCs/>
      <w:color w:val="000000"/>
      <w:sz w:val="28"/>
      <w:szCs w:val="28"/>
      <w:u w:val="none"/>
    </w:rPr>
  </w:style>
  <w:style w:type="table" w:customStyle="1" w:styleId="90">
    <w:name w:val="浅色底纹1"/>
    <w:basedOn w:val="23"/>
    <w:qFormat/>
    <w:uiPriority w:val="60"/>
    <w:rPr>
      <w:rFonts w:asciiTheme="minorHAnsi" w:hAnsiTheme="minorHAnsi" w:eastAsiaTheme="minorEastAsia" w:cstheme="minorBidi"/>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91">
    <w:name w:val="Grid Table 4 Accent 1"/>
    <w:basedOn w:val="23"/>
    <w:qFormat/>
    <w:uiPriority w:val="49"/>
    <w:rPr>
      <w:rFonts w:asciiTheme="minorHAnsi" w:hAnsiTheme="minorHAnsi" w:eastAsiaTheme="minorEastAsia" w:cstheme="minorBidi"/>
      <w:kern w:val="2"/>
      <w:sz w:val="21"/>
      <w:szCs w:val="22"/>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92">
    <w:name w:val="网格表 21"/>
    <w:basedOn w:val="23"/>
    <w:qFormat/>
    <w:uiPriority w:val="47"/>
    <w:rPr>
      <w:rFonts w:asciiTheme="minorHAnsi" w:hAnsiTheme="minorHAnsi" w:eastAsiaTheme="minorEastAsia" w:cstheme="minorBidi"/>
    </w:r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93">
    <w:name w:val="List Table 6 Colorful Accent 3"/>
    <w:basedOn w:val="23"/>
    <w:qFormat/>
    <w:uiPriority w:val="51"/>
    <w:rPr>
      <w:rFonts w:asciiTheme="minorHAnsi" w:hAnsiTheme="minorHAnsi" w:eastAsiaTheme="minorEastAsia" w:cstheme="minorBidi"/>
      <w:color w:val="77933C" w:themeColor="accent3" w:themeShade="BF"/>
      <w:kern w:val="2"/>
      <w:sz w:val="21"/>
      <w:szCs w:val="22"/>
    </w:rPr>
    <w:tblPr>
      <w:tblBorders>
        <w:top w:val="single" w:color="9BBB59" w:themeColor="accent3" w:sz="4" w:space="0"/>
        <w:bottom w:val="single" w:color="9BBB59" w:themeColor="accent3" w:sz="4" w:space="0"/>
      </w:tblBorders>
    </w:tblPr>
    <w:tblStylePr w:type="firstRow">
      <w:rPr>
        <w:b/>
        <w:bCs/>
      </w:rPr>
      <w:tcPr>
        <w:tcBorders>
          <w:bottom w:val="single" w:color="9BBB59" w:themeColor="accent3" w:sz="4" w:space="0"/>
        </w:tcBorders>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paragraph" w:customStyle="1" w:styleId="94">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kern w:val="2"/>
      <w:sz w:val="21"/>
      <w:szCs w:val="22"/>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3A23A-BF28-49A3-947C-7773F56D05BE}">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9</Pages>
  <Words>1861</Words>
  <Characters>1923</Characters>
  <Lines>178</Lines>
  <Paragraphs>50</Paragraphs>
  <TotalTime>14</TotalTime>
  <ScaleCrop>false</ScaleCrop>
  <LinksUpToDate>false</LinksUpToDate>
  <CharactersWithSpaces>1928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2025-03-24T01:24:00Z</dcterms:created>
  <dc:creator>谢婷婷</dc:creator>
  <cp:lastModifiedBy>Cathy</cp:lastModifiedBy>
  <cp:lastPrinted>2025-03-25T01:47:00Z</cp:lastPrinted>
  <dcterms:modified xsi:type="dcterms:W3CDTF">2025-07-01T08:52:23Z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_self</vt:lpwstr>
  </property>
  <property fmtid="{D5CDD505-2E9C-101B-9397-08002B2CF9AE}" pid="3" name="KSOProductBuildVer">
    <vt:lpwstr>2052-12.1.0.21541</vt:lpwstr>
  </property>
  <property fmtid="{D5CDD505-2E9C-101B-9397-08002B2CF9AE}" pid="4" name="ICV">
    <vt:lpwstr>A663AD24921844A9AB7D1FD6E9DE7690_13</vt:lpwstr>
  </property>
  <property fmtid="{D5CDD505-2E9C-101B-9397-08002B2CF9AE}" pid="5" name="KSOTemplateDocerSaveRecord">
    <vt:lpwstr>eyJoZGlkIjoiMDA2YTFjZTQ2ZDYwZDUxMTg0YjQ0MTA1YmRmZDg4ZmEiLCJ1c2VySWQiOiIzMDA5NTUxMzUifQ==</vt:lpwstr>
  </property>
</Properties>
</file>