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中国电信应如何承接Deepseek广泛接入带来的移动流量增长机遇？</w:t>
      </w:r>
    </w:p>
    <w:p>
      <w:pPr>
        <w:ind w:firstLine="3547" w:firstLineChars="1267"/>
        <w:rPr>
          <w:rFonts w:hint="default" w:ascii="楷体" w:hAnsi="楷体" w:eastAsia="楷体" w:cs="楷体"/>
          <w:b w:val="0"/>
          <w:bCs w:val="0"/>
          <w:sz w:val="28"/>
          <w:szCs w:val="28"/>
          <w:lang w:val="en-US" w:eastAsia="zh-CN"/>
        </w:rPr>
      </w:pPr>
      <w:bookmarkStart w:id="0" w:name="_GoBack"/>
      <w:bookmarkEnd w:id="0"/>
    </w:p>
    <w:p>
      <w:pPr>
        <w:ind w:firstLine="562"/>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2024年，我国移动数据流量和DOU的总体增速均有所放缓，与此同时，AI等因素推动移动APP应用流量加速向头部平台企业聚集。2024年至今，AI对移动流量的贡献作用逐步显性化，AI加持下的视频、接入以DeepSeek为代表的AI应用工具对移动流量增量效应显著，AI应用活跃用户数</w:t>
      </w:r>
      <w:r>
        <w:rPr>
          <w:rFonts w:hint="eastAsia" w:ascii="楷体" w:hAnsi="楷体" w:eastAsia="楷体" w:cs="楷体"/>
          <w:i w:val="0"/>
          <w:iCs w:val="0"/>
          <w:caps w:val="0"/>
          <w:spacing w:val="0"/>
          <w:sz w:val="28"/>
          <w:szCs w:val="28"/>
          <w:shd w:val="clear" w:fill="auto"/>
        </w:rPr>
        <w:t>在</w:t>
      </w:r>
      <w:r>
        <w:rPr>
          <w:rFonts w:hint="eastAsia" w:ascii="楷体" w:hAnsi="楷体" w:eastAsia="楷体" w:cs="楷体"/>
          <w:i w:val="0"/>
          <w:iCs w:val="0"/>
          <w:caps w:val="0"/>
          <w:spacing w:val="0"/>
          <w:sz w:val="28"/>
          <w:szCs w:val="28"/>
          <w:shd w:val="clear" w:fill="auto"/>
          <w:lang w:val="en-US" w:eastAsia="zh-CN"/>
        </w:rPr>
        <w:t>全部</w:t>
      </w:r>
      <w:r>
        <w:rPr>
          <w:rFonts w:hint="eastAsia" w:ascii="楷体" w:hAnsi="楷体" w:eastAsia="楷体" w:cs="楷体"/>
          <w:i w:val="0"/>
          <w:iCs w:val="0"/>
          <w:caps w:val="0"/>
          <w:spacing w:val="0"/>
          <w:sz w:val="28"/>
          <w:szCs w:val="28"/>
          <w:shd w:val="clear" w:fill="auto"/>
        </w:rPr>
        <w:t>移动应用活跃用户数中的占比</w:t>
      </w:r>
      <w:r>
        <w:rPr>
          <w:rFonts w:hint="eastAsia" w:ascii="楷体" w:hAnsi="楷体" w:eastAsia="楷体" w:cs="楷体"/>
          <w:i w:val="0"/>
          <w:iCs w:val="0"/>
          <w:caps w:val="0"/>
          <w:spacing w:val="0"/>
          <w:sz w:val="28"/>
          <w:szCs w:val="28"/>
          <w:shd w:val="clear" w:fill="auto"/>
          <w:lang w:val="en-US" w:eastAsia="zh-CN"/>
        </w:rPr>
        <w:t>已经</w:t>
      </w:r>
      <w:r>
        <w:rPr>
          <w:rFonts w:hint="eastAsia" w:ascii="楷体" w:hAnsi="楷体" w:eastAsia="楷体" w:cs="楷体"/>
          <w:i w:val="0"/>
          <w:iCs w:val="0"/>
          <w:caps w:val="0"/>
          <w:spacing w:val="0"/>
          <w:sz w:val="28"/>
          <w:szCs w:val="28"/>
          <w:shd w:val="clear" w:fill="auto"/>
        </w:rPr>
        <w:t>接近十分之一 。</w:t>
      </w:r>
      <w:r>
        <w:rPr>
          <w:rFonts w:hint="eastAsia" w:ascii="楷体" w:hAnsi="楷体" w:eastAsia="楷体" w:cs="楷体"/>
          <w:b w:val="0"/>
          <w:bCs w:val="0"/>
          <w:sz w:val="28"/>
          <w:szCs w:val="28"/>
          <w:lang w:val="en-US" w:eastAsia="zh-CN"/>
        </w:rPr>
        <w:t>2025年，随着DeepSeek等AI大模型驱动AI行业应用、AI APP和多种新型AI终端迅猛增长，有望带动我国移动流量DOU突破20Gbps，增长到22Gbps左右。高盛预测，DeepSeek等相关云+AI服务未来可以对电信总收入产生5-10%的贡献。建议中国电信加快使用AI重构运营商价值链条，将收入结构从“流量管道”转向“AI使能者”。在生态侧，加快出台新型移动AI终端产品生态合作管理办法，掌握在AI硬件市场的主动性，建立开放合作与数据资产变现机制。在网络侧，强化5G-A与算力网络协同并做好流量激增下的网络韧性风险管控。在业务侧，加快研究出台</w:t>
      </w:r>
      <w:r>
        <w:rPr>
          <w:rFonts w:hint="eastAsia" w:ascii="楷体" w:hAnsi="楷体" w:eastAsia="楷体" w:cs="楷体"/>
          <w:b w:val="0"/>
          <w:bCs w:val="0"/>
          <w:sz w:val="28"/>
          <w:szCs w:val="28"/>
          <w:highlight w:val="none"/>
          <w:lang w:val="en-US" w:eastAsia="zh-CN"/>
        </w:rPr>
        <w:t>差异化流量经营策略，在自有APP嵌入DeepSeek。</w:t>
      </w:r>
    </w:p>
    <w:p>
      <w:pPr>
        <w:ind w:firstLine="562"/>
        <w:jc w:val="left"/>
        <w:rPr>
          <w:rFonts w:hint="eastAsia" w:ascii="楷体" w:hAnsi="楷体" w:eastAsia="楷体" w:cs="楷体"/>
          <w:b/>
          <w:bCs/>
          <w:sz w:val="28"/>
          <w:szCs w:val="28"/>
          <w:lang w:val="en-US" w:eastAsia="zh-CN"/>
        </w:rPr>
      </w:pPr>
    </w:p>
    <w:p>
      <w:pPr>
        <w:ind w:firstLine="562"/>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一、2024年我国移动数据流量增速放缓，与此同时AI增量贡献却趋于显著</w:t>
      </w:r>
    </w:p>
    <w:p>
      <w:pPr>
        <w:numPr>
          <w:ilvl w:val="0"/>
          <w:numId w:val="1"/>
        </w:numPr>
        <w:ind w:firstLine="562"/>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移动互联网应用流量增长放缓，并加速向头部聚集</w:t>
      </w:r>
    </w:p>
    <w:p>
      <w:pPr>
        <w:numPr>
          <w:ilvl w:val="0"/>
          <w:numId w:val="0"/>
        </w:numPr>
        <w:ind w:firstLine="560" w:firstLineChars="200"/>
        <w:jc w:val="left"/>
        <w:rPr>
          <w:rFonts w:hint="default" w:ascii="楷体" w:hAnsi="楷体" w:eastAsia="楷体" w:cs="楷体"/>
          <w:b w:val="0"/>
          <w:bCs w:val="0"/>
          <w:sz w:val="28"/>
          <w:szCs w:val="28"/>
          <w:highlight w:val="none"/>
          <w:lang w:val="en-US" w:eastAsia="zh-CN"/>
        </w:rPr>
      </w:pPr>
      <w:r>
        <w:rPr>
          <w:rFonts w:hint="eastAsia" w:ascii="楷体" w:hAnsi="楷体" w:eastAsia="楷体" w:cs="楷体"/>
          <w:b w:val="0"/>
          <w:bCs w:val="0"/>
          <w:sz w:val="28"/>
          <w:szCs w:val="28"/>
          <w:lang w:val="en-US" w:eastAsia="zh-CN"/>
        </w:rPr>
        <w:t>根据工信部统计数据显示，2024年，我国移动互联网累计流量同比增长11.6%，全年DOU同比增长7.9%，两者均较2023年同期的15.2%和10.9%增速有明显下降。2024年移动流量增速放缓的主要原因包括：一是移动互联网APP应用整体的活跃用户数增长陷入低迷，2024年增速维持在1.7%左右，较2023年的2.2%下降0.5pp；</w:t>
      </w:r>
      <w:r>
        <w:rPr>
          <w:rFonts w:hint="eastAsia" w:ascii="楷体" w:hAnsi="楷体" w:eastAsia="楷体" w:cs="楷体"/>
          <w:b w:val="0"/>
          <w:bCs w:val="0"/>
          <w:color w:val="auto"/>
          <w:sz w:val="28"/>
          <w:szCs w:val="28"/>
          <w:lang w:val="en-US" w:eastAsia="zh-CN"/>
        </w:rPr>
        <w:t>二是移动APP用户平均上网时长也在放缓，2024年移动互联网全网用户月人均使用时长为1645小时，同比增加了4.3%，较2019年-2023年期间的复合增速4.6%下降了0.3pp；</w:t>
      </w:r>
      <w:r>
        <w:rPr>
          <w:rFonts w:hint="eastAsia" w:ascii="楷体" w:hAnsi="楷体" w:eastAsia="楷体" w:cs="楷体"/>
          <w:b w:val="0"/>
          <w:bCs w:val="0"/>
          <w:sz w:val="28"/>
          <w:szCs w:val="28"/>
          <w:lang w:val="en-US" w:eastAsia="zh-CN"/>
        </w:rPr>
        <w:t>三是移动APP使用集中度提高，用户平均使用APP个数不再增长。2024年全网月人均使用APP个数28.5个，与同期的28.4个基本持平，用户更倾向于高频使用部分综合类APP或头部平台的小程序，用户流量加速向社交平台、资讯视频、AIGC和金融消费等类别APP聚集</w:t>
      </w:r>
      <w:r>
        <w:rPr>
          <w:rFonts w:hint="eastAsia" w:ascii="楷体" w:hAnsi="楷体" w:eastAsia="楷体" w:cs="楷体"/>
          <w:b w:val="0"/>
          <w:bCs w:val="0"/>
          <w:sz w:val="28"/>
          <w:szCs w:val="28"/>
          <w:highlight w:val="none"/>
          <w:lang w:val="en-US" w:eastAsia="zh-CN"/>
        </w:rPr>
        <w:t>。</w:t>
      </w:r>
    </w:p>
    <w:p>
      <w:pPr>
        <w:numPr>
          <w:ilvl w:val="0"/>
          <w:numId w:val="1"/>
        </w:numPr>
        <w:ind w:left="0" w:leftChars="0" w:firstLine="562" w:firstLineChars="0"/>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AI加持下的资讯和电商等视频流量增量效应显著</w:t>
      </w:r>
    </w:p>
    <w:p>
      <w:pPr>
        <w:numPr>
          <w:ilvl w:val="0"/>
          <w:numId w:val="0"/>
        </w:numPr>
        <w:ind w:firstLine="560" w:firstLineChars="200"/>
        <w:rPr>
          <w:rFonts w:hint="eastAsia" w:ascii="楷体" w:hAnsi="楷体" w:eastAsia="楷体" w:cs="楷体"/>
          <w:b w:val="0"/>
          <w:bCs w:val="0"/>
          <w:color w:val="000000" w:themeColor="text1"/>
          <w:sz w:val="28"/>
          <w:szCs w:val="28"/>
          <w:lang w:val="en-US" w:eastAsia="zh-CN"/>
          <w14:textFill>
            <w14:solidFill>
              <w14:schemeClr w14:val="tx1"/>
            </w14:solidFill>
          </w14:textFill>
        </w:rPr>
      </w:pPr>
      <w:r>
        <w:rPr>
          <w:rFonts w:hint="eastAsia" w:ascii="楷体" w:hAnsi="楷体" w:eastAsia="楷体" w:cs="楷体"/>
          <w:b w:val="0"/>
          <w:bCs w:val="0"/>
          <w:color w:val="000000" w:themeColor="text1"/>
          <w:sz w:val="28"/>
          <w:szCs w:val="28"/>
          <w:lang w:val="en-US" w:eastAsia="zh-CN"/>
          <w14:textFill>
            <w14:solidFill>
              <w14:schemeClr w14:val="tx1"/>
            </w14:solidFill>
          </w14:textFill>
        </w:rPr>
        <w:t>2024年AI对影视娱乐和电商金融等领域的视频增长加持效应显著。一方面AI技术通过提供背景创意、智能剪辑、生成特效等显著提升了视频内容创作效果、降低制作门</w:t>
      </w:r>
      <w:r>
        <w:rPr>
          <w:rFonts w:hint="eastAsia" w:ascii="楷体" w:hAnsi="楷体" w:eastAsia="楷体" w:cs="楷体"/>
          <w:b w:val="0"/>
          <w:bCs w:val="0"/>
          <w:color w:val="000000" w:themeColor="text1"/>
          <w:sz w:val="28"/>
          <w:szCs w:val="28"/>
          <w:highlight w:val="none"/>
          <w:lang w:val="en-US" w:eastAsia="zh-CN"/>
          <w14:textFill>
            <w14:solidFill>
              <w14:schemeClr w14:val="tx1"/>
            </w14:solidFill>
          </w14:textFill>
        </w:rPr>
        <w:t>槛。</w:t>
      </w:r>
      <w:r>
        <w:rPr>
          <w:rFonts w:hint="eastAsia" w:ascii="楷体" w:hAnsi="楷体" w:eastAsia="楷体" w:cs="楷体"/>
          <w:b w:val="0"/>
          <w:bCs w:val="0"/>
          <w:color w:val="000000" w:themeColor="text1"/>
          <w:sz w:val="28"/>
          <w:szCs w:val="28"/>
          <w:lang w:val="en-US" w:eastAsia="zh-CN"/>
          <w14:textFill>
            <w14:solidFill>
              <w14:schemeClr w14:val="tx1"/>
            </w14:solidFill>
          </w14:textFill>
        </w:rPr>
        <w:t>CNNIC数据显示</w:t>
      </w:r>
      <w:r>
        <w:rPr>
          <w:rFonts w:hint="eastAsia" w:ascii="楷体" w:hAnsi="楷体" w:eastAsia="楷体" w:cs="楷体"/>
          <w:b w:val="0"/>
          <w:bCs w:val="0"/>
          <w:i w:val="0"/>
          <w:iCs w:val="0"/>
          <w:caps w:val="0"/>
          <w:color w:val="000000" w:themeColor="text1"/>
          <w:spacing w:val="0"/>
          <w:sz w:val="28"/>
          <w:szCs w:val="28"/>
          <w:u w:val="none"/>
          <w14:textFill>
            <w14:solidFill>
              <w14:schemeClr w14:val="tx1"/>
            </w14:solidFill>
          </w14:textFill>
        </w:rPr>
        <w:t>2024年短视频用户</w:t>
      </w:r>
      <w:r>
        <w:rPr>
          <w:rFonts w:hint="eastAsia" w:ascii="楷体" w:hAnsi="楷体" w:eastAsia="楷体" w:cs="楷体"/>
          <w:b w:val="0"/>
          <w:bCs w:val="0"/>
          <w:i w:val="0"/>
          <w:iCs w:val="0"/>
          <w:caps w:val="0"/>
          <w:color w:val="000000" w:themeColor="text1"/>
          <w:spacing w:val="0"/>
          <w:sz w:val="28"/>
          <w:szCs w:val="28"/>
          <w:u w:val="none"/>
          <w:lang w:val="en-US" w:eastAsia="zh-CN"/>
          <w14:textFill>
            <w14:solidFill>
              <w14:schemeClr w14:val="tx1"/>
            </w14:solidFill>
          </w14:textFill>
        </w:rPr>
        <w:t>已经占到</w:t>
      </w:r>
      <w:r>
        <w:rPr>
          <w:rFonts w:hint="eastAsia" w:ascii="楷体" w:hAnsi="楷体" w:eastAsia="楷体" w:cs="楷体"/>
          <w:b w:val="0"/>
          <w:bCs w:val="0"/>
          <w:i w:val="0"/>
          <w:iCs w:val="0"/>
          <w:caps w:val="0"/>
          <w:color w:val="000000" w:themeColor="text1"/>
          <w:spacing w:val="0"/>
          <w:sz w:val="28"/>
          <w:szCs w:val="28"/>
          <w:u w:val="none"/>
          <w14:textFill>
            <w14:solidFill>
              <w14:schemeClr w14:val="tx1"/>
            </w14:solidFill>
          </w14:textFill>
        </w:rPr>
        <w:t>网民的9</w:t>
      </w:r>
      <w:r>
        <w:rPr>
          <w:rFonts w:hint="eastAsia" w:ascii="楷体" w:hAnsi="楷体" w:eastAsia="楷体" w:cs="楷体"/>
          <w:b w:val="0"/>
          <w:bCs w:val="0"/>
          <w:i w:val="0"/>
          <w:iCs w:val="0"/>
          <w:caps w:val="0"/>
          <w:color w:val="000000" w:themeColor="text1"/>
          <w:spacing w:val="0"/>
          <w:sz w:val="28"/>
          <w:szCs w:val="28"/>
          <w:u w:val="none"/>
          <w:lang w:val="en-US" w:eastAsia="zh-CN"/>
          <w14:textFill>
            <w14:solidFill>
              <w14:schemeClr w14:val="tx1"/>
            </w14:solidFill>
          </w14:textFill>
        </w:rPr>
        <w:t>6</w:t>
      </w:r>
      <w:r>
        <w:rPr>
          <w:rFonts w:hint="eastAsia" w:ascii="楷体" w:hAnsi="楷体" w:eastAsia="楷体" w:cs="楷体"/>
          <w:b w:val="0"/>
          <w:bCs w:val="0"/>
          <w:i w:val="0"/>
          <w:iCs w:val="0"/>
          <w:caps w:val="0"/>
          <w:color w:val="000000" w:themeColor="text1"/>
          <w:spacing w:val="0"/>
          <w:sz w:val="28"/>
          <w:szCs w:val="28"/>
          <w:u w:val="none"/>
          <w14:textFill>
            <w14:solidFill>
              <w14:schemeClr w14:val="tx1"/>
            </w14:solidFill>
          </w14:textFill>
        </w:rPr>
        <w:t>%</w:t>
      </w:r>
      <w:r>
        <w:rPr>
          <w:rFonts w:hint="eastAsia" w:ascii="楷体" w:hAnsi="楷体" w:eastAsia="楷体" w:cs="楷体"/>
          <w:b w:val="0"/>
          <w:bCs w:val="0"/>
          <w:i w:val="0"/>
          <w:iCs w:val="0"/>
          <w:caps w:val="0"/>
          <w:color w:val="000000" w:themeColor="text1"/>
          <w:spacing w:val="0"/>
          <w:sz w:val="28"/>
          <w:szCs w:val="28"/>
          <w:u w:val="none"/>
          <w:lang w:eastAsia="zh-CN"/>
          <w14:textFill>
            <w14:solidFill>
              <w14:schemeClr w14:val="tx1"/>
            </w14:solidFill>
          </w14:textFill>
        </w:rPr>
        <w:t>，</w:t>
      </w:r>
      <w:r>
        <w:rPr>
          <w:rFonts w:hint="eastAsia" w:ascii="楷体" w:hAnsi="楷体" w:eastAsia="楷体" w:cs="楷体"/>
          <w:b w:val="0"/>
          <w:bCs w:val="0"/>
          <w:i w:val="0"/>
          <w:iCs w:val="0"/>
          <w:caps w:val="0"/>
          <w:color w:val="000000" w:themeColor="text1"/>
          <w:spacing w:val="0"/>
          <w:sz w:val="28"/>
          <w:szCs w:val="28"/>
          <w:u w:val="none"/>
          <w:lang w:val="en-US" w:eastAsia="zh-CN"/>
          <w14:textFill>
            <w14:solidFill>
              <w14:schemeClr w14:val="tx1"/>
            </w14:solidFill>
          </w14:textFill>
        </w:rPr>
        <w:t>抖音平台报告披露全年视频播放量同比增长24%</w:t>
      </w:r>
      <w:r>
        <w:rPr>
          <w:rFonts w:hint="eastAsia" w:ascii="楷体" w:hAnsi="楷体" w:eastAsia="楷体" w:cs="楷体"/>
          <w:b w:val="0"/>
          <w:bCs w:val="0"/>
          <w:i w:val="0"/>
          <w:iCs w:val="0"/>
          <w:caps w:val="0"/>
          <w:color w:val="000000" w:themeColor="text1"/>
          <w:spacing w:val="0"/>
          <w:sz w:val="28"/>
          <w:szCs w:val="28"/>
          <w:u w:val="none"/>
          <w:lang w:eastAsia="zh-CN"/>
          <w14:textFill>
            <w14:solidFill>
              <w14:schemeClr w14:val="tx1"/>
            </w14:solidFill>
          </w14:textFill>
        </w:rPr>
        <w:t>。</w:t>
      </w:r>
      <w:r>
        <w:rPr>
          <w:rFonts w:hint="eastAsia" w:ascii="楷体" w:hAnsi="楷体" w:eastAsia="楷体" w:cs="楷体"/>
          <w:b w:val="0"/>
          <w:bCs w:val="0"/>
          <w:i w:val="0"/>
          <w:iCs w:val="0"/>
          <w:caps w:val="0"/>
          <w:color w:val="000000" w:themeColor="text1"/>
          <w:spacing w:val="0"/>
          <w:sz w:val="28"/>
          <w:szCs w:val="28"/>
          <w:u w:val="none"/>
          <w:lang w:val="en-US" w:eastAsia="zh-CN"/>
          <w14:textFill>
            <w14:solidFill>
              <w14:schemeClr w14:val="tx1"/>
            </w14:solidFill>
          </w14:textFill>
        </w:rPr>
        <w:t>另一方面，</w:t>
      </w:r>
      <w:r>
        <w:rPr>
          <w:rFonts w:hint="eastAsia" w:ascii="楷体" w:hAnsi="楷体" w:eastAsia="楷体" w:cs="楷体"/>
          <w:b w:val="0"/>
          <w:bCs w:val="0"/>
          <w:color w:val="000000" w:themeColor="text1"/>
          <w:sz w:val="28"/>
          <w:szCs w:val="28"/>
          <w:lang w:val="en-US" w:eastAsia="zh-CN"/>
          <w14:textFill>
            <w14:solidFill>
              <w14:schemeClr w14:val="tx1"/>
            </w14:solidFill>
          </w14:textFill>
        </w:rPr>
        <w:t>通过AI+大数据助力商家向用户精准投放短视频内容推高销量，如2024年抖音电商平台直播渠道GMV（商品销售额）同比增长46%，商家数量同比增长165%，移动广告投入同比增长11.8%。</w:t>
      </w:r>
    </w:p>
    <w:p>
      <w:pPr>
        <w:numPr>
          <w:ilvl w:val="0"/>
          <w:numId w:val="0"/>
        </w:numPr>
        <w:ind w:firstLine="562" w:firstLineChars="200"/>
        <w:rPr>
          <w:rFonts w:hint="eastAsia" w:ascii="楷体" w:hAnsi="楷体" w:eastAsia="楷体" w:cs="楷体"/>
          <w:b/>
          <w:bCs/>
          <w:color w:val="000000" w:themeColor="text1"/>
          <w:sz w:val="28"/>
          <w:szCs w:val="28"/>
          <w:lang w:val="en-US" w:eastAsia="zh-CN"/>
          <w14:textFill>
            <w14:solidFill>
              <w14:schemeClr w14:val="tx1"/>
            </w14:solidFill>
          </w14:textFill>
        </w:rPr>
      </w:pPr>
      <w:r>
        <w:rPr>
          <w:rFonts w:hint="eastAsia" w:ascii="楷体" w:hAnsi="楷体" w:eastAsia="楷体" w:cs="楷体"/>
          <w:b/>
          <w:bCs/>
          <w:color w:val="000000" w:themeColor="text1"/>
          <w:sz w:val="28"/>
          <w:szCs w:val="28"/>
          <w:lang w:val="en-US" w:eastAsia="zh-CN"/>
          <w14:textFill>
            <w14:solidFill>
              <w14:schemeClr w14:val="tx1"/>
            </w14:solidFill>
          </w14:textFill>
        </w:rPr>
        <w:t>3.AI工具和植入AI插件的APP等对移动流量贡献逐步显现</w:t>
      </w:r>
    </w:p>
    <w:p>
      <w:pPr>
        <w:numPr>
          <w:ilvl w:val="0"/>
          <w:numId w:val="0"/>
        </w:numPr>
        <w:ind w:firstLine="562" w:firstLineChars="200"/>
        <w:rPr>
          <w:rFonts w:hint="default" w:ascii="楷体" w:hAnsi="楷体" w:eastAsia="楷体" w:cs="楷体"/>
          <w:b w:val="0"/>
          <w:bCs w:val="0"/>
          <w:color w:val="000000" w:themeColor="text1"/>
          <w:sz w:val="28"/>
          <w:szCs w:val="28"/>
          <w:lang w:val="en-US" w:eastAsia="zh-CN"/>
          <w14:textFill>
            <w14:solidFill>
              <w14:schemeClr w14:val="tx1"/>
            </w14:solidFill>
          </w14:textFill>
        </w:rPr>
      </w:pPr>
      <w:r>
        <w:rPr>
          <w:rFonts w:hint="eastAsia" w:ascii="楷体" w:hAnsi="楷体" w:eastAsia="楷体" w:cs="楷体"/>
          <w:b/>
          <w:bCs/>
          <w:color w:val="000000" w:themeColor="text1"/>
          <w:sz w:val="28"/>
          <w:szCs w:val="28"/>
          <w:lang w:val="en-US" w:eastAsia="zh-CN"/>
          <w14:textFill>
            <w14:solidFill>
              <w14:schemeClr w14:val="tx1"/>
            </w14:solidFill>
          </w14:textFill>
        </w:rPr>
        <w:t>一是生产力工具、生活助理等AI工具类产品流量贡献作用开始显现。</w:t>
      </w:r>
      <w:r>
        <w:rPr>
          <w:rFonts w:hint="eastAsia" w:ascii="楷体" w:hAnsi="楷体" w:eastAsia="楷体" w:cs="楷体"/>
          <w:b w:val="0"/>
          <w:bCs w:val="0"/>
          <w:color w:val="000000" w:themeColor="text1"/>
          <w:sz w:val="28"/>
          <w:szCs w:val="28"/>
          <w:lang w:val="en-US" w:eastAsia="zh-CN"/>
          <w14:textFill>
            <w14:solidFill>
              <w14:schemeClr w14:val="tx1"/>
            </w14:solidFill>
          </w14:textFill>
        </w:rPr>
        <w:t>随着AI应用产品接入不断迭代的领先大模型之后，用户访问量不断增长，全球头部AI应用产品如AI翻译、AI写作、AI搜索、AI陪伴和AI编程等工具类产品已开始展现较高的用户粘性，截至2024年10月，AI用户平均留存率已从年初的41%提升至63%，我国AI头部产品月活跃用户规模接近9000万户，同比增长373%，活跃用户规模相当于月活最高平台（微信）的8.6%，排名前三的头部AI企业发布的AI智能体数量也超过3.6万个。</w:t>
      </w:r>
    </w:p>
    <w:p>
      <w:pPr>
        <w:numPr>
          <w:ilvl w:val="0"/>
          <w:numId w:val="0"/>
        </w:numPr>
        <w:ind w:firstLine="562" w:firstLineChars="200"/>
        <w:rPr>
          <w:rFonts w:hint="default" w:ascii="楷体" w:hAnsi="楷体" w:cs="楷体" w:eastAsiaTheme="minorEastAsia"/>
          <w:b w:val="0"/>
          <w:bCs w:val="0"/>
          <w:color w:val="000000" w:themeColor="text1"/>
          <w:sz w:val="28"/>
          <w:szCs w:val="28"/>
          <w:lang w:val="en-US" w:eastAsia="zh-CN"/>
          <w14:textFill>
            <w14:solidFill>
              <w14:schemeClr w14:val="tx1"/>
            </w14:solidFill>
          </w14:textFill>
        </w:rPr>
      </w:pPr>
      <w:r>
        <w:rPr>
          <w:rFonts w:hint="eastAsia" w:ascii="楷体" w:hAnsi="楷体" w:eastAsia="楷体" w:cs="楷体"/>
          <w:b/>
          <w:bCs/>
          <w:color w:val="000000" w:themeColor="text1"/>
          <w:sz w:val="28"/>
          <w:szCs w:val="28"/>
          <w:lang w:val="en-US" w:eastAsia="zh-CN"/>
          <w14:textFill>
            <w14:solidFill>
              <w14:schemeClr w14:val="tx1"/>
            </w14:solidFill>
          </w14:textFill>
        </w:rPr>
        <w:t>二是植入AI插件、API、小程序的移动平台类APP流量快速增长。</w:t>
      </w:r>
      <w:r>
        <w:rPr>
          <w:rFonts w:hint="eastAsia" w:ascii="楷体" w:hAnsi="楷体" w:eastAsia="楷体" w:cs="楷体"/>
          <w:b w:val="0"/>
          <w:bCs w:val="0"/>
          <w:color w:val="000000" w:themeColor="text1"/>
          <w:sz w:val="28"/>
          <w:szCs w:val="28"/>
          <w:lang w:val="en-US" w:eastAsia="zh-CN"/>
          <w14:textFill>
            <w14:solidFill>
              <w14:schemeClr w14:val="tx1"/>
            </w14:solidFill>
          </w14:textFill>
        </w:rPr>
        <w:t>我国头部互联网平台企业普遍以植入AI插件或小程序方式增强原有APP功能，满足用户在多种移动场景的无需安装、用完即走需求，如微信平台的医疗诊断、教育辅导等AI程序、淘宝平台的AI导购等。QuestMobile数据显示,2024年各类综合社交APP平台的小程序成为流量源头，截至2024年10月，</w:t>
      </w:r>
      <w:r>
        <w:rPr>
          <w:rFonts w:hint="eastAsia" w:ascii="楷体" w:hAnsi="楷体" w:eastAsia="楷体" w:cs="楷体"/>
          <w:b w:val="0"/>
          <w:bCs w:val="0"/>
          <w:color w:val="000000" w:themeColor="text1"/>
          <w:sz w:val="28"/>
          <w:szCs w:val="28"/>
          <w:highlight w:val="none"/>
          <w:lang w:val="en-US" w:eastAsia="zh-CN"/>
          <w14:textFill>
            <w14:solidFill>
              <w14:schemeClr w14:val="tx1"/>
            </w14:solidFill>
          </w14:textFill>
        </w:rPr>
        <w:t>微信小程序用户规模同比增长3%、</w:t>
      </w:r>
      <w:r>
        <w:rPr>
          <w:rFonts w:hint="eastAsia" w:ascii="楷体" w:hAnsi="楷体" w:eastAsia="楷体" w:cs="楷体"/>
          <w:color w:val="000000" w:themeColor="text1"/>
          <w:sz w:val="28"/>
          <w:szCs w:val="28"/>
          <w:highlight w:val="none"/>
          <w14:textFill>
            <w14:solidFill>
              <w14:schemeClr w14:val="tx1"/>
            </w14:solidFill>
          </w14:textFill>
        </w:rPr>
        <w:t>人均使用次数同比增长5.2%</w:t>
      </w:r>
      <w:r>
        <w:rPr>
          <w:rFonts w:hint="eastAsia" w:ascii="楷体" w:hAnsi="楷体" w:eastAsia="楷体" w:cs="楷体"/>
          <w:b w:val="0"/>
          <w:bCs w:val="0"/>
          <w:color w:val="000000" w:themeColor="text1"/>
          <w:sz w:val="28"/>
          <w:szCs w:val="28"/>
          <w:highlight w:val="none"/>
          <w:lang w:val="en-US" w:eastAsia="zh-CN"/>
          <w14:textFill>
            <w14:solidFill>
              <w14:schemeClr w14:val="tx1"/>
            </w14:solidFill>
          </w14:textFill>
        </w:rPr>
        <w:t>、</w:t>
      </w:r>
      <w:r>
        <w:rPr>
          <w:rFonts w:hint="eastAsia" w:ascii="楷体" w:hAnsi="楷体" w:eastAsia="楷体" w:cs="楷体"/>
          <w:color w:val="000000" w:themeColor="text1"/>
          <w:sz w:val="28"/>
          <w:szCs w:val="28"/>
          <w:highlight w:val="none"/>
          <w14:textFill>
            <w14:solidFill>
              <w14:schemeClr w14:val="tx1"/>
            </w14:solidFill>
          </w14:textFill>
        </w:rPr>
        <w:t>月</w:t>
      </w:r>
      <w:r>
        <w:rPr>
          <w:rFonts w:hint="eastAsia" w:ascii="楷体" w:hAnsi="楷体" w:eastAsia="楷体" w:cs="楷体"/>
          <w:color w:val="000000" w:themeColor="text1"/>
          <w:sz w:val="28"/>
          <w:szCs w:val="28"/>
          <w:highlight w:val="none"/>
          <w:lang w:val="en-US" w:eastAsia="zh-CN"/>
          <w14:textFill>
            <w14:solidFill>
              <w14:schemeClr w14:val="tx1"/>
            </w14:solidFill>
          </w14:textFill>
        </w:rPr>
        <w:t>人</w:t>
      </w:r>
      <w:r>
        <w:rPr>
          <w:rFonts w:hint="eastAsia" w:ascii="楷体" w:hAnsi="楷体" w:eastAsia="楷体" w:cs="楷体"/>
          <w:color w:val="000000" w:themeColor="text1"/>
          <w:sz w:val="28"/>
          <w:szCs w:val="28"/>
          <w:highlight w:val="none"/>
          <w14:textFill>
            <w14:solidFill>
              <w14:schemeClr w14:val="tx1"/>
            </w14:solidFill>
          </w14:textFill>
        </w:rPr>
        <w:t>均使用时长</w:t>
      </w:r>
      <w:r>
        <w:rPr>
          <w:rFonts w:hint="eastAsia" w:ascii="楷体" w:hAnsi="楷体" w:eastAsia="楷体" w:cs="楷体"/>
          <w:color w:val="000000" w:themeColor="text1"/>
          <w:sz w:val="28"/>
          <w:szCs w:val="28"/>
          <w:highlight w:val="none"/>
          <w:lang w:val="en-US" w:eastAsia="zh-CN"/>
          <w14:textFill>
            <w14:solidFill>
              <w14:schemeClr w14:val="tx1"/>
            </w14:solidFill>
          </w14:textFill>
        </w:rPr>
        <w:t>同比增长15.1%，带动移动上网流量增长18.5%，其中各类AI类小程序成为带动移动流量增长的重要因素。</w:t>
      </w:r>
    </w:p>
    <w:p>
      <w:pPr>
        <w:numPr>
          <w:ilvl w:val="0"/>
          <w:numId w:val="0"/>
        </w:numPr>
        <w:ind w:firstLine="562" w:firstLineChars="200"/>
        <w:rPr>
          <w:rFonts w:hint="eastAsia" w:ascii="楷体" w:hAnsi="楷体" w:eastAsia="楷体" w:cs="楷体"/>
          <w:b w:val="0"/>
          <w:bCs w:val="0"/>
          <w:color w:val="000000" w:themeColor="text1"/>
          <w:sz w:val="28"/>
          <w:szCs w:val="28"/>
          <w:highlight w:val="none"/>
          <w:lang w:val="en-US" w:eastAsia="zh-CN"/>
          <w14:textFill>
            <w14:solidFill>
              <w14:schemeClr w14:val="tx1"/>
            </w14:solidFill>
          </w14:textFill>
        </w:rPr>
      </w:pPr>
      <w:r>
        <w:rPr>
          <w:rFonts w:hint="eastAsia" w:ascii="楷体" w:hAnsi="楷体" w:eastAsia="楷体" w:cs="楷体"/>
          <w:b/>
          <w:bCs/>
          <w:color w:val="000000" w:themeColor="text1"/>
          <w:sz w:val="28"/>
          <w:szCs w:val="28"/>
          <w:lang w:val="en-US" w:eastAsia="zh-CN"/>
          <w14:textFill>
            <w14:solidFill>
              <w14:schemeClr w14:val="tx1"/>
            </w14:solidFill>
          </w14:textFill>
        </w:rPr>
        <w:t>三是AI硬件终端规模出厂也在带动移动流量增长。</w:t>
      </w:r>
      <w:r>
        <w:rPr>
          <w:rFonts w:hint="eastAsia" w:ascii="楷体" w:hAnsi="楷体" w:eastAsia="楷体" w:cs="楷体"/>
          <w:b w:val="0"/>
          <w:bCs w:val="0"/>
          <w:color w:val="000000" w:themeColor="text1"/>
          <w:sz w:val="28"/>
          <w:szCs w:val="28"/>
          <w:lang w:val="en-US" w:eastAsia="zh-CN"/>
          <w14:textFill>
            <w14:solidFill>
              <w14:schemeClr w14:val="tx1"/>
            </w14:solidFill>
          </w14:textFill>
        </w:rPr>
        <w:t>根据Cloudflare数据显示，2024年全年我国桌面互联网流量占比从2023全年的55.7%下降到55.3%，下降了0.7%。智驾汽车、AI手机、、AI PAD、AI眼镜等移动终端等出厂量迅速增长也推动了桌面流量转向移动流量，</w:t>
      </w:r>
      <w:r>
        <w:rPr>
          <w:rFonts w:hint="eastAsia" w:ascii="楷体" w:hAnsi="楷体" w:eastAsia="楷体" w:cs="楷体"/>
          <w:color w:val="000000" w:themeColor="text1"/>
          <w:sz w:val="28"/>
          <w:szCs w:val="28"/>
          <w:lang w:val="en-US" w:eastAsia="zh-CN"/>
          <w14:textFill>
            <w14:solidFill>
              <w14:schemeClr w14:val="tx1"/>
            </w14:solidFill>
          </w14:textFill>
        </w:rPr>
        <w:t>如2024年我国新能源汽车搭载L3及以上自动驾驶功能的渗透率已达17%，数量接近1000万台，多款</w:t>
      </w:r>
      <w:r>
        <w:rPr>
          <w:rFonts w:hint="eastAsia" w:ascii="楷体" w:hAnsi="楷体" w:eastAsia="楷体" w:cs="楷体"/>
          <w:color w:val="000000" w:themeColor="text1"/>
          <w:sz w:val="28"/>
          <w:szCs w:val="28"/>
          <w14:textFill>
            <w14:solidFill>
              <w14:schemeClr w14:val="tx1"/>
            </w14:solidFill>
          </w14:textFill>
        </w:rPr>
        <w:t>AI</w:t>
      </w:r>
      <w:r>
        <w:rPr>
          <w:rFonts w:hint="eastAsia" w:ascii="楷体" w:hAnsi="楷体" w:eastAsia="楷体" w:cs="楷体"/>
          <w:color w:val="000000" w:themeColor="text1"/>
          <w:sz w:val="28"/>
          <w:szCs w:val="28"/>
          <w:lang w:val="en-US" w:eastAsia="zh-CN"/>
          <w14:textFill>
            <w14:solidFill>
              <w14:schemeClr w14:val="tx1"/>
            </w14:solidFill>
          </w14:textFill>
        </w:rPr>
        <w:t xml:space="preserve"> PAD</w:t>
      </w:r>
      <w:r>
        <w:rPr>
          <w:rFonts w:hint="eastAsia" w:ascii="楷体" w:hAnsi="楷体" w:eastAsia="楷体" w:cs="楷体"/>
          <w:color w:val="000000" w:themeColor="text1"/>
          <w:sz w:val="28"/>
          <w:szCs w:val="28"/>
          <w14:textFill>
            <w14:solidFill>
              <w14:schemeClr w14:val="tx1"/>
            </w14:solidFill>
          </w14:textFill>
        </w:rPr>
        <w:t>终端通过“一圈OK”交互技术实现了即时翻译、智能解释等功能。</w:t>
      </w:r>
      <w:r>
        <w:rPr>
          <w:rFonts w:hint="eastAsia" w:ascii="楷体" w:hAnsi="楷体" w:eastAsia="楷体" w:cs="楷体"/>
          <w:b w:val="0"/>
          <w:bCs w:val="0"/>
          <w:color w:val="000000" w:themeColor="text1"/>
          <w:sz w:val="28"/>
          <w:szCs w:val="28"/>
          <w:lang w:val="en-US" w:eastAsia="zh-CN"/>
          <w14:textFill>
            <w14:solidFill>
              <w14:schemeClr w14:val="tx1"/>
            </w14:solidFill>
          </w14:textFill>
        </w:rPr>
        <w:t>根据《第55次中国互联网络发展状况统计报告》，我国单位用户将生成式人工智能产品作为办公助手的用户</w:t>
      </w:r>
      <w:r>
        <w:rPr>
          <w:rFonts w:hint="eastAsia" w:ascii="楷体" w:hAnsi="楷体" w:eastAsia="楷体" w:cs="楷体"/>
          <w:b w:val="0"/>
          <w:bCs w:val="0"/>
          <w:color w:val="000000" w:themeColor="text1"/>
          <w:sz w:val="28"/>
          <w:szCs w:val="28"/>
          <w:highlight w:val="none"/>
          <w:lang w:val="en-US" w:eastAsia="zh-CN"/>
          <w14:textFill>
            <w14:solidFill>
              <w14:schemeClr w14:val="tx1"/>
            </w14:solidFill>
          </w14:textFill>
        </w:rPr>
        <w:t>占比已经达到45.5%，Slack Workforce Lab 的调查也显示，2024年全球万名企业高管使用AI办公软件的比例半年内从23%增至60%以上。</w:t>
      </w:r>
    </w:p>
    <w:p>
      <w:pPr>
        <w:numPr>
          <w:ilvl w:val="0"/>
          <w:numId w:val="0"/>
        </w:numPr>
        <w:ind w:firstLine="560" w:firstLineChars="200"/>
        <w:rPr>
          <w:rFonts w:hint="eastAsia" w:ascii="楷体" w:hAnsi="楷体" w:eastAsia="楷体" w:cs="楷体"/>
          <w:b w:val="0"/>
          <w:bCs w:val="0"/>
          <w:color w:val="000000" w:themeColor="text1"/>
          <w:sz w:val="28"/>
          <w:szCs w:val="28"/>
          <w:highlight w:val="none"/>
          <w:lang w:val="en-US" w:eastAsia="zh-CN"/>
          <w14:textFill>
            <w14:solidFill>
              <w14:schemeClr w14:val="tx1"/>
            </w14:solidFill>
          </w14:textFill>
        </w:rPr>
      </w:pPr>
    </w:p>
    <w:p>
      <w:pPr>
        <w:numPr>
          <w:ilvl w:val="0"/>
          <w:numId w:val="0"/>
        </w:numPr>
        <w:ind w:firstLine="560"/>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二、展望2025年，新型移动流量载体AI终端规模增长将带来新一轮移动流量增长机遇</w:t>
      </w:r>
    </w:p>
    <w:p>
      <w:pPr>
        <w:numPr>
          <w:ilvl w:val="0"/>
          <w:numId w:val="0"/>
        </w:numPr>
        <w:ind w:firstLine="560" w:firstLineChars="200"/>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2025年，在众多互联网平台企业、第三方AI应用产品接入DeekSeeK R1等领先大模型之后，AI技术应用将增强用户参与平台交互，AI生成的内容也能够满足用户的多样化需求，进一步增强用户粘性，带动移动用户访问量进一步显著激增。AI应用的快速发展也会带动多种新型AI硬件终端的规模增长。2025年新型AI硬件终端作为移动流量消费载体，将有望带动全年移动DOU有望突破20G，增长到22Gbps左右。</w:t>
      </w:r>
    </w:p>
    <w:p>
      <w:pPr>
        <w:numPr>
          <w:ilvl w:val="0"/>
          <w:numId w:val="0"/>
        </w:numPr>
        <w:ind w:firstLine="562" w:firstLineChars="200"/>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1.高等级智驾等将新增5G流量超20亿GB</w:t>
      </w:r>
      <w:r>
        <w:rPr>
          <w:rFonts w:hint="eastAsia" w:ascii="楷体" w:hAnsi="楷体" w:eastAsia="楷体" w:cs="楷体"/>
          <w:b w:val="0"/>
          <w:bCs w:val="0"/>
          <w:sz w:val="28"/>
          <w:szCs w:val="28"/>
          <w:lang w:val="en-US" w:eastAsia="zh-CN"/>
        </w:rPr>
        <w:t>。</w:t>
      </w:r>
    </w:p>
    <w:p>
      <w:pPr>
        <w:numPr>
          <w:ilvl w:val="0"/>
          <w:numId w:val="0"/>
        </w:numPr>
        <w:ind w:firstLine="562" w:firstLineChars="200"/>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2025年，以新能源汽车为主要载体的智驾系统和智能大屏将带来20亿GB以上的新增移动流量。</w:t>
      </w:r>
      <w:r>
        <w:rPr>
          <w:rFonts w:hint="eastAsia" w:ascii="楷体" w:hAnsi="楷体" w:eastAsia="楷体" w:cs="楷体"/>
          <w:b w:val="0"/>
          <w:bCs w:val="0"/>
          <w:sz w:val="28"/>
          <w:szCs w:val="28"/>
          <w:lang w:val="en-US" w:eastAsia="zh-CN"/>
        </w:rPr>
        <w:t>一方面，根据国盛证券等预测，2025年我国新能源汽车搭载L3及以上自动驾驶功能的渗透率将从17%继续大幅提升，根据Gartner、华为公司推算，该类汽车月均消耗10-12GB移动流量，用以支持感知与驾驶信息交互及OTA更新。另一方面，随着车载多模态应用、车联网应用等能力不断升级，2025年智能大屏日均开机时长和智能汽车APP的月活跃用户规模等指标也将继续提升，其对移动流量的需求将大幅增加</w:t>
      </w:r>
      <w:r>
        <w:rPr>
          <w:rStyle w:val="14"/>
          <w:rFonts w:hint="eastAsia" w:ascii="仿宋_GB2312" w:hAnsi="仿宋_GB2312" w:eastAsia="仿宋_GB2312" w:cs="仿宋_GB2312"/>
          <w:sz w:val="32"/>
          <w:szCs w:val="32"/>
        </w:rPr>
        <w:footnoteReference w:id="0"/>
      </w:r>
      <w:r>
        <w:rPr>
          <w:rFonts w:hint="eastAsia" w:ascii="楷体" w:hAnsi="楷体" w:eastAsia="楷体" w:cs="楷体"/>
          <w:b w:val="0"/>
          <w:bCs w:val="0"/>
          <w:sz w:val="28"/>
          <w:szCs w:val="28"/>
          <w:lang w:val="en-US" w:eastAsia="zh-CN"/>
        </w:rPr>
        <w:t>。</w:t>
      </w:r>
    </w:p>
    <w:p>
      <w:pPr>
        <w:numPr>
          <w:ilvl w:val="0"/>
          <w:numId w:val="0"/>
        </w:numPr>
        <w:ind w:firstLine="562" w:firstLineChars="200"/>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2.5G AI手机将带动5G新增流量超30亿GB</w:t>
      </w:r>
      <w:r>
        <w:rPr>
          <w:rFonts w:hint="eastAsia" w:ascii="楷体" w:hAnsi="楷体" w:eastAsia="楷体" w:cs="楷体"/>
          <w:b w:val="0"/>
          <w:bCs w:val="0"/>
          <w:sz w:val="28"/>
          <w:szCs w:val="28"/>
          <w:lang w:val="en-US" w:eastAsia="zh-CN"/>
        </w:rPr>
        <w:t>。</w:t>
      </w:r>
    </w:p>
    <w:p>
      <w:pPr>
        <w:numPr>
          <w:ilvl w:val="0"/>
          <w:numId w:val="0"/>
        </w:numPr>
        <w:ind w:firstLine="562" w:firstLineChars="200"/>
        <w:rPr>
          <w:rFonts w:hint="default"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2025年以AIGC手机为主要载体的5G应用将带来30亿GB以上的新增移动流量</w:t>
      </w:r>
      <w:r>
        <w:rPr>
          <w:rFonts w:hint="eastAsia" w:ascii="楷体" w:hAnsi="楷体" w:eastAsia="楷体" w:cs="楷体"/>
          <w:b w:val="0"/>
          <w:bCs w:val="0"/>
          <w:sz w:val="28"/>
          <w:szCs w:val="28"/>
          <w:lang w:val="en-US" w:eastAsia="zh-CN"/>
        </w:rPr>
        <w:t>。AI手机需支持高清视频处理、实时数据分析、大模型推理等场景，其流量需求远超普通手机。根据Canalys报告，截至2024年第三季度，我国5G手机渗透率提升到85.6%，其中AI手机出货量同比增长591%，渗透率从3%提升到22%。2025年，随着生成式AI手机芯片、端侧模型和应用的协同推进，有望进一步构建端侧生成式AI应用生态，高效生成多种风格个人</w:t>
      </w:r>
      <w:r>
        <w:rPr>
          <w:rFonts w:hint="default" w:ascii="楷体" w:hAnsi="楷体" w:eastAsia="楷体" w:cs="楷体"/>
          <w:b w:val="0"/>
          <w:bCs w:val="0"/>
          <w:sz w:val="28"/>
          <w:szCs w:val="28"/>
          <w:lang w:val="en-US" w:eastAsia="zh-CN"/>
        </w:rPr>
        <w:t>图片、短视频</w:t>
      </w:r>
      <w:r>
        <w:rPr>
          <w:rFonts w:hint="eastAsia" w:ascii="楷体" w:hAnsi="楷体" w:eastAsia="楷体" w:cs="楷体"/>
          <w:b w:val="0"/>
          <w:bCs w:val="0"/>
          <w:sz w:val="28"/>
          <w:szCs w:val="28"/>
          <w:lang w:val="en-US" w:eastAsia="zh-CN"/>
        </w:rPr>
        <w:t>、自创音乐</w:t>
      </w:r>
      <w:r>
        <w:rPr>
          <w:rFonts w:hint="default" w:ascii="楷体" w:hAnsi="楷体" w:eastAsia="楷体" w:cs="楷体"/>
          <w:b w:val="0"/>
          <w:bCs w:val="0"/>
          <w:sz w:val="28"/>
          <w:szCs w:val="28"/>
          <w:lang w:val="en-US" w:eastAsia="zh-CN"/>
        </w:rPr>
        <w:t>等内容</w:t>
      </w:r>
      <w:r>
        <w:rPr>
          <w:rFonts w:hint="eastAsia" w:ascii="楷体" w:hAnsi="楷体" w:eastAsia="楷体" w:cs="楷体"/>
          <w:b w:val="0"/>
          <w:bCs w:val="0"/>
          <w:sz w:val="28"/>
          <w:szCs w:val="28"/>
          <w:lang w:val="en-US" w:eastAsia="zh-CN"/>
        </w:rPr>
        <w:t>，推动个性化、无缝交互的沉浸式体验，带动移动流量增长。</w:t>
      </w:r>
      <w:r>
        <w:rPr>
          <w:rFonts w:hint="default" w:ascii="楷体" w:hAnsi="楷体" w:eastAsia="楷体" w:cs="楷体"/>
          <w:b w:val="0"/>
          <w:bCs w:val="0"/>
          <w:sz w:val="28"/>
          <w:szCs w:val="28"/>
          <w:lang w:val="en-US" w:eastAsia="zh-CN"/>
        </w:rPr>
        <w:t>如</w:t>
      </w:r>
      <w:r>
        <w:rPr>
          <w:rFonts w:hint="eastAsia" w:ascii="楷体" w:hAnsi="楷体" w:eastAsia="楷体" w:cs="楷体"/>
          <w:b w:val="0"/>
          <w:bCs w:val="0"/>
          <w:sz w:val="28"/>
          <w:szCs w:val="28"/>
          <w:lang w:val="en-US" w:eastAsia="zh-CN"/>
        </w:rPr>
        <w:t>豆包移动AI用户最近三个月月均使用时长186分钟，典型用户月均新增移动流量2.13GB。预计我国2025年全年端侧AI手机将带动5G新增流量在30亿GB以上</w:t>
      </w:r>
      <w:r>
        <w:rPr>
          <w:rStyle w:val="14"/>
          <w:rFonts w:hint="eastAsia" w:ascii="仿宋_GB2312" w:hAnsi="仿宋_GB2312" w:eastAsia="仿宋_GB2312" w:cs="仿宋_GB2312"/>
          <w:sz w:val="32"/>
          <w:szCs w:val="32"/>
        </w:rPr>
        <w:footnoteReference w:id="1"/>
      </w:r>
      <w:r>
        <w:rPr>
          <w:rFonts w:hint="eastAsia" w:ascii="楷体" w:hAnsi="楷体" w:eastAsia="楷体" w:cs="楷体"/>
          <w:b w:val="0"/>
          <w:bCs w:val="0"/>
          <w:sz w:val="28"/>
          <w:szCs w:val="28"/>
          <w:lang w:val="en-US" w:eastAsia="zh-CN"/>
        </w:rPr>
        <w:t>。</w:t>
      </w:r>
    </w:p>
    <w:p>
      <w:pPr>
        <w:numPr>
          <w:ilvl w:val="0"/>
          <w:numId w:val="0"/>
        </w:numPr>
        <w:ind w:firstLine="562" w:firstLineChars="200"/>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3.AI眼镜等视听增强类终端也将成为5G新增流量重要来源</w:t>
      </w:r>
    </w:p>
    <w:p>
      <w:pPr>
        <w:numPr>
          <w:ilvl w:val="0"/>
          <w:numId w:val="0"/>
        </w:numPr>
        <w:ind w:firstLine="562" w:firstLineChars="200"/>
        <w:rPr>
          <w:rFonts w:hint="default"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2025年AI眼镜等视听增强类终端将规模出厂，带来上亿GB级别移动流量。</w:t>
      </w:r>
      <w:r>
        <w:rPr>
          <w:rFonts w:hint="eastAsia" w:ascii="楷体" w:hAnsi="楷体" w:eastAsia="楷体" w:cs="楷体"/>
          <w:b w:val="0"/>
          <w:bCs w:val="0"/>
          <w:sz w:val="28"/>
          <w:szCs w:val="28"/>
          <w:lang w:val="en-US" w:eastAsia="zh-CN"/>
        </w:rPr>
        <w:t>2024年Rokid、百度、星纪魅族等发布的 Rokid Glasses、小度、StarV Air2 AR 等AI终端产品，</w:t>
      </w:r>
      <w:r>
        <w:rPr>
          <w:rFonts w:hint="default" w:ascii="楷体" w:hAnsi="楷体" w:eastAsia="楷体" w:cs="楷体"/>
          <w:b w:val="0"/>
          <w:bCs w:val="0"/>
          <w:sz w:val="28"/>
          <w:szCs w:val="28"/>
          <w:lang w:val="en-US" w:eastAsia="zh-CN"/>
        </w:rPr>
        <w:t>在低功耗环境下提供实时翻译、路线导航等多模态应用</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AI</w:t>
      </w:r>
      <w:r>
        <w:rPr>
          <w:rFonts w:hint="eastAsia" w:ascii="楷体" w:hAnsi="楷体" w:eastAsia="楷体" w:cs="楷体"/>
          <w:b w:val="0"/>
          <w:bCs w:val="0"/>
          <w:sz w:val="28"/>
          <w:szCs w:val="28"/>
          <w:lang w:val="en-US" w:eastAsia="zh-CN"/>
        </w:rPr>
        <w:t>驱动的视听增强类</w:t>
      </w:r>
      <w:r>
        <w:rPr>
          <w:rFonts w:hint="default" w:ascii="楷体" w:hAnsi="楷体" w:eastAsia="楷体" w:cs="楷体"/>
          <w:b w:val="0"/>
          <w:bCs w:val="0"/>
          <w:sz w:val="28"/>
          <w:szCs w:val="28"/>
          <w:lang w:val="en-US" w:eastAsia="zh-CN"/>
        </w:rPr>
        <w:t>设备</w:t>
      </w:r>
      <w:r>
        <w:rPr>
          <w:rFonts w:hint="eastAsia" w:ascii="楷体" w:hAnsi="楷体" w:eastAsia="楷体" w:cs="楷体"/>
          <w:b w:val="0"/>
          <w:bCs w:val="0"/>
          <w:sz w:val="28"/>
          <w:szCs w:val="28"/>
          <w:lang w:val="en-US" w:eastAsia="zh-CN"/>
        </w:rPr>
        <w:t>应用前景得到市场认可。AI</w:t>
      </w:r>
      <w:r>
        <w:rPr>
          <w:rFonts w:hint="default" w:ascii="楷体" w:hAnsi="楷体" w:eastAsia="楷体" w:cs="楷体"/>
          <w:b w:val="0"/>
          <w:bCs w:val="0"/>
          <w:sz w:val="28"/>
          <w:szCs w:val="28"/>
          <w:lang w:val="en-US" w:eastAsia="zh-CN"/>
        </w:rPr>
        <w:t>眼镜</w:t>
      </w:r>
      <w:r>
        <w:rPr>
          <w:rFonts w:hint="eastAsia" w:ascii="楷体" w:hAnsi="楷体" w:eastAsia="楷体" w:cs="楷体"/>
          <w:b w:val="0"/>
          <w:bCs w:val="0"/>
          <w:sz w:val="28"/>
          <w:szCs w:val="28"/>
          <w:lang w:val="en-US" w:eastAsia="zh-CN"/>
        </w:rPr>
        <w:t>具备轻巧便携性、视听全面增强技术可行性，成为个人事务高效AI助手和便捷社交工具，是</w:t>
      </w:r>
      <w:r>
        <w:rPr>
          <w:rFonts w:hint="default" w:ascii="楷体" w:hAnsi="楷体" w:eastAsia="楷体" w:cs="楷体"/>
          <w:b w:val="0"/>
          <w:bCs w:val="0"/>
          <w:sz w:val="28"/>
          <w:szCs w:val="28"/>
          <w:lang w:val="en-US" w:eastAsia="zh-CN"/>
        </w:rPr>
        <w:t>端侧AI最佳落地</w:t>
      </w:r>
      <w:r>
        <w:rPr>
          <w:rFonts w:hint="eastAsia" w:ascii="楷体" w:hAnsi="楷体" w:eastAsia="楷体" w:cs="楷体"/>
          <w:b w:val="0"/>
          <w:bCs w:val="0"/>
          <w:sz w:val="28"/>
          <w:szCs w:val="28"/>
          <w:lang w:val="en-US" w:eastAsia="zh-CN"/>
        </w:rPr>
        <w:t>终端。预计2025年，AI眼镜通过</w:t>
      </w:r>
      <w:r>
        <w:rPr>
          <w:rFonts w:hint="default" w:ascii="楷体" w:hAnsi="楷体" w:eastAsia="楷体" w:cs="楷体"/>
          <w:b w:val="0"/>
          <w:bCs w:val="0"/>
          <w:sz w:val="28"/>
          <w:szCs w:val="28"/>
          <w:lang w:val="en-US" w:eastAsia="zh-CN"/>
        </w:rPr>
        <w:t>集成</w:t>
      </w:r>
      <w:r>
        <w:rPr>
          <w:rFonts w:hint="eastAsia" w:ascii="楷体" w:hAnsi="楷体" w:eastAsia="楷体" w:cs="楷体"/>
          <w:b w:val="0"/>
          <w:bCs w:val="0"/>
          <w:sz w:val="28"/>
          <w:szCs w:val="28"/>
          <w:lang w:val="en-US" w:eastAsia="zh-CN"/>
        </w:rPr>
        <w:t>更多的物联</w:t>
      </w:r>
      <w:r>
        <w:rPr>
          <w:rFonts w:hint="default" w:ascii="楷体" w:hAnsi="楷体" w:eastAsia="楷体" w:cs="楷体"/>
          <w:b w:val="0"/>
          <w:bCs w:val="0"/>
          <w:sz w:val="28"/>
          <w:szCs w:val="28"/>
          <w:lang w:val="en-US" w:eastAsia="zh-CN"/>
        </w:rPr>
        <w:t>传感</w:t>
      </w:r>
      <w:r>
        <w:rPr>
          <w:rFonts w:hint="eastAsia" w:ascii="楷体" w:hAnsi="楷体" w:eastAsia="楷体" w:cs="楷体"/>
          <w:b w:val="0"/>
          <w:bCs w:val="0"/>
          <w:sz w:val="28"/>
          <w:szCs w:val="28"/>
          <w:lang w:val="en-US" w:eastAsia="zh-CN"/>
        </w:rPr>
        <w:t>设备、端测模型及算法</w:t>
      </w:r>
      <w:r>
        <w:rPr>
          <w:rFonts w:hint="default" w:ascii="楷体" w:hAnsi="楷体" w:eastAsia="楷体" w:cs="楷体"/>
          <w:b w:val="0"/>
          <w:bCs w:val="0"/>
          <w:sz w:val="28"/>
          <w:szCs w:val="28"/>
          <w:lang w:val="en-US" w:eastAsia="zh-CN"/>
        </w:rPr>
        <w:t>，</w:t>
      </w:r>
      <w:r>
        <w:rPr>
          <w:rFonts w:hint="eastAsia" w:ascii="楷体" w:hAnsi="楷体" w:eastAsia="楷体" w:cs="楷体"/>
          <w:b w:val="0"/>
          <w:bCs w:val="0"/>
          <w:sz w:val="28"/>
          <w:szCs w:val="28"/>
          <w:lang w:val="en-US" w:eastAsia="zh-CN"/>
        </w:rPr>
        <w:t>可</w:t>
      </w:r>
      <w:r>
        <w:rPr>
          <w:rFonts w:hint="default" w:ascii="楷体" w:hAnsi="楷体" w:eastAsia="楷体" w:cs="楷体"/>
          <w:b w:val="0"/>
          <w:bCs w:val="0"/>
          <w:sz w:val="28"/>
          <w:szCs w:val="28"/>
          <w:lang w:val="en-US" w:eastAsia="zh-CN"/>
        </w:rPr>
        <w:t>满足视、听、说、感等多维需求</w:t>
      </w:r>
      <w:r>
        <w:rPr>
          <w:rFonts w:hint="eastAsia" w:ascii="楷体" w:hAnsi="楷体" w:eastAsia="楷体" w:cs="楷体"/>
          <w:b w:val="0"/>
          <w:bCs w:val="0"/>
          <w:sz w:val="28"/>
          <w:szCs w:val="28"/>
          <w:lang w:val="en-US" w:eastAsia="zh-CN"/>
        </w:rPr>
        <w:t>，如</w:t>
      </w:r>
      <w:r>
        <w:rPr>
          <w:rFonts w:hint="default" w:ascii="楷体" w:hAnsi="楷体" w:eastAsia="楷体" w:cs="楷体"/>
          <w:b w:val="0"/>
          <w:bCs w:val="0"/>
          <w:sz w:val="28"/>
          <w:szCs w:val="28"/>
          <w:lang w:val="en-US" w:eastAsia="zh-CN"/>
        </w:rPr>
        <w:t xml:space="preserve">通过深度整合多模态大模型，基于真实世界进行 AI </w:t>
      </w:r>
      <w:r>
        <w:rPr>
          <w:rFonts w:hint="eastAsia" w:ascii="楷体" w:hAnsi="楷体" w:eastAsia="楷体" w:cs="楷体"/>
          <w:b w:val="0"/>
          <w:bCs w:val="0"/>
          <w:sz w:val="28"/>
          <w:szCs w:val="28"/>
          <w:lang w:val="en-US" w:eastAsia="zh-CN"/>
        </w:rPr>
        <w:t>物体识别和其他互动应用</w:t>
      </w:r>
      <w:r>
        <w:rPr>
          <w:rFonts w:hint="default" w:ascii="楷体" w:hAnsi="楷体" w:eastAsia="楷体" w:cs="楷体"/>
          <w:b w:val="0"/>
          <w:bCs w:val="0"/>
          <w:sz w:val="28"/>
          <w:szCs w:val="28"/>
          <w:lang w:val="en-US" w:eastAsia="zh-CN"/>
        </w:rPr>
        <w:t>，</w:t>
      </w:r>
      <w:r>
        <w:rPr>
          <w:rFonts w:hint="eastAsia" w:ascii="楷体" w:hAnsi="楷体" w:eastAsia="楷体" w:cs="楷体"/>
          <w:b w:val="0"/>
          <w:bCs w:val="0"/>
          <w:sz w:val="28"/>
          <w:szCs w:val="28"/>
          <w:lang w:val="en-US" w:eastAsia="zh-CN"/>
        </w:rPr>
        <w:t>国内</w:t>
      </w:r>
      <w:r>
        <w:rPr>
          <w:rFonts w:hint="default" w:ascii="楷体" w:hAnsi="楷体" w:eastAsia="楷体" w:cs="楷体"/>
          <w:b w:val="0"/>
          <w:bCs w:val="0"/>
          <w:sz w:val="28"/>
          <w:szCs w:val="28"/>
          <w:lang w:val="en-US" w:eastAsia="zh-CN"/>
        </w:rPr>
        <w:t>出货量</w:t>
      </w:r>
      <w:r>
        <w:rPr>
          <w:rFonts w:hint="eastAsia" w:ascii="楷体" w:hAnsi="楷体" w:eastAsia="楷体" w:cs="楷体"/>
          <w:b w:val="0"/>
          <w:bCs w:val="0"/>
          <w:sz w:val="28"/>
          <w:szCs w:val="28"/>
          <w:lang w:val="en-US" w:eastAsia="zh-CN"/>
        </w:rPr>
        <w:t>将</w:t>
      </w:r>
      <w:r>
        <w:rPr>
          <w:rFonts w:hint="default" w:ascii="楷体" w:hAnsi="楷体" w:eastAsia="楷体" w:cs="楷体"/>
          <w:b w:val="0"/>
          <w:bCs w:val="0"/>
          <w:sz w:val="28"/>
          <w:szCs w:val="28"/>
          <w:lang w:val="en-US" w:eastAsia="zh-CN"/>
        </w:rPr>
        <w:t>超越</w:t>
      </w:r>
      <w:r>
        <w:rPr>
          <w:rFonts w:hint="eastAsia" w:ascii="楷体" w:hAnsi="楷体" w:eastAsia="楷体" w:cs="楷体"/>
          <w:b w:val="0"/>
          <w:bCs w:val="0"/>
          <w:sz w:val="28"/>
          <w:szCs w:val="28"/>
          <w:lang w:val="en-US" w:eastAsia="zh-CN"/>
        </w:rPr>
        <w:t>百</w:t>
      </w:r>
      <w:r>
        <w:rPr>
          <w:rFonts w:hint="default" w:ascii="楷体" w:hAnsi="楷体" w:eastAsia="楷体" w:cs="楷体"/>
          <w:b w:val="0"/>
          <w:bCs w:val="0"/>
          <w:sz w:val="28"/>
          <w:szCs w:val="28"/>
          <w:lang w:val="en-US" w:eastAsia="zh-CN"/>
        </w:rPr>
        <w:t>万级别</w:t>
      </w:r>
      <w:r>
        <w:rPr>
          <w:rFonts w:hint="eastAsia" w:ascii="楷体" w:hAnsi="楷体" w:eastAsia="楷体" w:cs="楷体"/>
          <w:b w:val="0"/>
          <w:bCs w:val="0"/>
          <w:sz w:val="28"/>
          <w:szCs w:val="28"/>
          <w:lang w:val="en-US" w:eastAsia="zh-CN"/>
        </w:rPr>
        <w:t>，预计带来上亿GB级别的移动流量</w:t>
      </w:r>
      <w:r>
        <w:rPr>
          <w:rFonts w:hint="default" w:ascii="楷体" w:hAnsi="楷体" w:eastAsia="楷体" w:cs="楷体"/>
          <w:b w:val="0"/>
          <w:bCs w:val="0"/>
          <w:sz w:val="28"/>
          <w:szCs w:val="28"/>
          <w:lang w:val="en-US" w:eastAsia="zh-CN"/>
        </w:rPr>
        <w:t>。</w:t>
      </w:r>
    </w:p>
    <w:p>
      <w:pPr>
        <w:numPr>
          <w:ilvl w:val="0"/>
          <w:numId w:val="0"/>
        </w:numPr>
        <w:ind w:firstLine="560" w:firstLineChars="200"/>
        <w:rPr>
          <w:rFonts w:hint="default" w:ascii="楷体" w:hAnsi="楷体" w:eastAsia="楷体" w:cs="楷体"/>
          <w:b w:val="0"/>
          <w:bCs w:val="0"/>
          <w:sz w:val="28"/>
          <w:szCs w:val="28"/>
          <w:lang w:val="en-US" w:eastAsia="zh-CN"/>
        </w:rPr>
      </w:pPr>
    </w:p>
    <w:p>
      <w:pPr>
        <w:numPr>
          <w:ilvl w:val="0"/>
          <w:numId w:val="2"/>
        </w:numPr>
        <w:ind w:firstLine="562" w:firstLineChars="200"/>
        <w:rPr>
          <w:rFonts w:hint="eastAsia" w:ascii="楷体" w:hAnsi="楷体" w:eastAsia="楷体" w:cs="楷体"/>
          <w:b/>
          <w:bCs/>
          <w:sz w:val="28"/>
          <w:szCs w:val="28"/>
          <w:lang w:val="en-US" w:eastAsia="zh-CN"/>
        </w:rPr>
      </w:pPr>
      <w:r>
        <w:rPr>
          <w:rFonts w:hint="eastAsia" w:ascii="楷体" w:hAnsi="楷体" w:eastAsia="楷体" w:cs="楷体"/>
          <w:b/>
          <w:bCs/>
          <w:sz w:val="28"/>
          <w:szCs w:val="28"/>
        </w:rPr>
        <w:t>对</w:t>
      </w:r>
      <w:r>
        <w:rPr>
          <w:rFonts w:hint="eastAsia" w:ascii="楷体" w:hAnsi="楷体" w:eastAsia="楷体" w:cs="楷体"/>
          <w:b/>
          <w:bCs/>
          <w:sz w:val="28"/>
          <w:szCs w:val="28"/>
          <w:lang w:val="en-US" w:eastAsia="zh-CN"/>
        </w:rPr>
        <w:t>中国电信</w:t>
      </w:r>
      <w:r>
        <w:rPr>
          <w:rFonts w:hint="eastAsia" w:ascii="楷体" w:hAnsi="楷体" w:eastAsia="楷体" w:cs="楷体"/>
          <w:b/>
          <w:bCs/>
          <w:sz w:val="28"/>
          <w:szCs w:val="28"/>
        </w:rPr>
        <w:t>的建议</w:t>
      </w:r>
    </w:p>
    <w:p>
      <w:pPr>
        <w:numPr>
          <w:ilvl w:val="0"/>
          <w:numId w:val="0"/>
        </w:numPr>
        <w:ind w:firstLine="562"/>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建议中国电信加快使用</w:t>
      </w:r>
      <w:r>
        <w:rPr>
          <w:rFonts w:hint="eastAsia" w:ascii="楷体" w:hAnsi="楷体" w:eastAsia="楷体" w:cs="楷体"/>
          <w:b/>
          <w:bCs/>
          <w:sz w:val="28"/>
          <w:szCs w:val="28"/>
        </w:rPr>
        <w:t>AI重构运营商价值链条</w:t>
      </w:r>
      <w:r>
        <w:rPr>
          <w:rFonts w:hint="eastAsia" w:ascii="楷体" w:hAnsi="楷体" w:eastAsia="楷体" w:cs="楷体"/>
          <w:b/>
          <w:bCs/>
          <w:sz w:val="28"/>
          <w:szCs w:val="28"/>
          <w:lang w:eastAsia="zh-CN"/>
        </w:rPr>
        <w:t>，</w:t>
      </w:r>
      <w:r>
        <w:rPr>
          <w:rFonts w:hint="eastAsia" w:ascii="楷体" w:hAnsi="楷体" w:eastAsia="楷体" w:cs="楷体"/>
          <w:b/>
          <w:bCs/>
          <w:sz w:val="28"/>
          <w:szCs w:val="28"/>
          <w:lang w:val="en-US" w:eastAsia="zh-CN"/>
        </w:rPr>
        <w:t>将</w:t>
      </w:r>
      <w:r>
        <w:rPr>
          <w:rFonts w:hint="eastAsia" w:ascii="楷体" w:hAnsi="楷体" w:eastAsia="楷体" w:cs="楷体"/>
          <w:b/>
          <w:bCs/>
          <w:sz w:val="28"/>
          <w:szCs w:val="28"/>
        </w:rPr>
        <w:t>收入结构从“流量管道”转向“AI使能者”。据高盛预测，DeepSeek</w:t>
      </w:r>
      <w:r>
        <w:rPr>
          <w:rFonts w:hint="eastAsia" w:ascii="楷体" w:hAnsi="楷体" w:eastAsia="楷体" w:cs="楷体"/>
          <w:b/>
          <w:bCs/>
          <w:sz w:val="28"/>
          <w:szCs w:val="28"/>
          <w:lang w:val="en-US" w:eastAsia="zh-CN"/>
        </w:rPr>
        <w:t>等</w:t>
      </w:r>
      <w:r>
        <w:rPr>
          <w:rFonts w:hint="eastAsia" w:ascii="楷体" w:hAnsi="楷体" w:eastAsia="楷体" w:cs="楷体"/>
          <w:b/>
          <w:bCs/>
          <w:sz w:val="28"/>
          <w:szCs w:val="28"/>
        </w:rPr>
        <w:t>相关云</w:t>
      </w:r>
      <w:r>
        <w:rPr>
          <w:rFonts w:hint="eastAsia" w:ascii="楷体" w:hAnsi="楷体" w:eastAsia="楷体" w:cs="楷体"/>
          <w:b/>
          <w:bCs/>
          <w:sz w:val="28"/>
          <w:szCs w:val="28"/>
          <w:lang w:val="en-US" w:eastAsia="zh-CN"/>
        </w:rPr>
        <w:t>+AI</w:t>
      </w:r>
      <w:r>
        <w:rPr>
          <w:rFonts w:hint="eastAsia" w:ascii="楷体" w:hAnsi="楷体" w:eastAsia="楷体" w:cs="楷体"/>
          <w:b/>
          <w:bCs/>
          <w:sz w:val="28"/>
          <w:szCs w:val="28"/>
        </w:rPr>
        <w:t>服务</w:t>
      </w:r>
      <w:r>
        <w:rPr>
          <w:rFonts w:hint="eastAsia" w:ascii="楷体" w:hAnsi="楷体" w:eastAsia="楷体" w:cs="楷体"/>
          <w:b/>
          <w:bCs/>
          <w:sz w:val="28"/>
          <w:szCs w:val="28"/>
          <w:lang w:val="en-US" w:eastAsia="zh-CN"/>
        </w:rPr>
        <w:t>未来可以对</w:t>
      </w:r>
      <w:r>
        <w:rPr>
          <w:rFonts w:hint="eastAsia" w:ascii="楷体" w:hAnsi="楷体" w:eastAsia="楷体" w:cs="楷体"/>
          <w:b/>
          <w:bCs/>
          <w:sz w:val="28"/>
          <w:szCs w:val="28"/>
        </w:rPr>
        <w:t>电信</w:t>
      </w:r>
      <w:r>
        <w:rPr>
          <w:rFonts w:hint="eastAsia" w:ascii="楷体" w:hAnsi="楷体" w:eastAsia="楷体" w:cs="楷体"/>
          <w:b/>
          <w:bCs/>
          <w:sz w:val="28"/>
          <w:szCs w:val="28"/>
          <w:lang w:val="en-US" w:eastAsia="zh-CN"/>
        </w:rPr>
        <w:t>总</w:t>
      </w:r>
      <w:r>
        <w:rPr>
          <w:rFonts w:hint="eastAsia" w:ascii="楷体" w:hAnsi="楷体" w:eastAsia="楷体" w:cs="楷体"/>
          <w:b/>
          <w:bCs/>
          <w:sz w:val="28"/>
          <w:szCs w:val="28"/>
        </w:rPr>
        <w:t>收入</w:t>
      </w:r>
      <w:r>
        <w:rPr>
          <w:rFonts w:hint="eastAsia" w:ascii="楷体" w:hAnsi="楷体" w:eastAsia="楷体" w:cs="楷体"/>
          <w:b/>
          <w:bCs/>
          <w:sz w:val="28"/>
          <w:szCs w:val="28"/>
          <w:lang w:val="en-US" w:eastAsia="zh-CN"/>
        </w:rPr>
        <w:t>产生</w:t>
      </w:r>
      <w:r>
        <w:rPr>
          <w:rFonts w:hint="eastAsia" w:ascii="楷体" w:hAnsi="楷体" w:eastAsia="楷体" w:cs="楷体"/>
          <w:b/>
          <w:bCs/>
          <w:sz w:val="28"/>
          <w:szCs w:val="28"/>
        </w:rPr>
        <w:t>5-10%</w:t>
      </w:r>
      <w:r>
        <w:rPr>
          <w:rFonts w:hint="eastAsia" w:ascii="楷体" w:hAnsi="楷体" w:eastAsia="楷体" w:cs="楷体"/>
          <w:b/>
          <w:bCs/>
          <w:sz w:val="28"/>
          <w:szCs w:val="28"/>
          <w:lang w:val="en-US" w:eastAsia="zh-CN"/>
        </w:rPr>
        <w:t>的</w:t>
      </w:r>
      <w:r>
        <w:rPr>
          <w:rFonts w:hint="eastAsia" w:ascii="楷体" w:hAnsi="楷体" w:eastAsia="楷体" w:cs="楷体"/>
          <w:b/>
          <w:bCs/>
          <w:sz w:val="28"/>
          <w:szCs w:val="28"/>
        </w:rPr>
        <w:t>贡献。</w:t>
      </w:r>
    </w:p>
    <w:p>
      <w:pPr>
        <w:numPr>
          <w:ilvl w:val="0"/>
          <w:numId w:val="0"/>
        </w:numPr>
        <w:ind w:firstLine="562"/>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一是在生态侧，加快出台新型移动AI终端产品生态合作管理办法，掌握在AI硬件市场的主动性。</w:t>
      </w:r>
      <w:r>
        <w:rPr>
          <w:rFonts w:hint="eastAsia" w:ascii="楷体" w:hAnsi="楷体" w:eastAsia="楷体" w:cs="楷体"/>
          <w:b w:val="0"/>
          <w:bCs w:val="0"/>
          <w:sz w:val="28"/>
          <w:szCs w:val="28"/>
          <w:lang w:val="en-US" w:eastAsia="zh-CN"/>
        </w:rPr>
        <w:t>建议加快出台新型AI终端厂家生态合作管理办法，涵盖AI终端形态、应用特征、底层大模型架构、网络能力配合方案等内容，建立开放合作与数据资产变现机制，通过做大AI硬件市场的同时获得移动流量增长机遇。如与手机厂商合作预装深度优化的DeepSeek Lite版本及相关AI应用，利用用户行为数据训练垂直行业模型，共同打造流量生态。</w:t>
      </w:r>
    </w:p>
    <w:p>
      <w:pPr>
        <w:ind w:firstLine="562"/>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二是在网络侧，</w:t>
      </w:r>
      <w:r>
        <w:rPr>
          <w:rFonts w:hint="eastAsia" w:ascii="楷体" w:hAnsi="楷体" w:eastAsia="楷体" w:cs="楷体"/>
          <w:b/>
          <w:bCs/>
          <w:sz w:val="28"/>
          <w:szCs w:val="28"/>
          <w:highlight w:val="none"/>
          <w:lang w:val="en-US" w:eastAsia="zh-CN"/>
        </w:rPr>
        <w:t>强化5G-A与算力网络协同并</w:t>
      </w:r>
      <w:r>
        <w:rPr>
          <w:rFonts w:hint="eastAsia" w:ascii="楷体" w:hAnsi="楷体" w:eastAsia="楷体" w:cs="楷体"/>
          <w:b/>
          <w:bCs/>
          <w:sz w:val="28"/>
          <w:szCs w:val="28"/>
          <w:lang w:val="en-US" w:eastAsia="zh-CN"/>
        </w:rPr>
        <w:t>做好</w:t>
      </w:r>
      <w:r>
        <w:rPr>
          <w:rFonts w:hint="eastAsia" w:ascii="楷体" w:hAnsi="楷体" w:eastAsia="楷体" w:cs="楷体"/>
          <w:b/>
          <w:bCs/>
          <w:sz w:val="28"/>
          <w:szCs w:val="28"/>
          <w:highlight w:val="none"/>
          <w:lang w:val="en-US" w:eastAsia="zh-CN"/>
        </w:rPr>
        <w:t>流量激增下的网络韧性风险管控</w:t>
      </w:r>
      <w:r>
        <w:rPr>
          <w:rFonts w:hint="eastAsia" w:ascii="楷体" w:hAnsi="楷体" w:eastAsia="楷体" w:cs="楷体"/>
          <w:b w:val="0"/>
          <w:bCs w:val="0"/>
          <w:sz w:val="28"/>
          <w:szCs w:val="28"/>
          <w:highlight w:val="none"/>
          <w:lang w:val="en-US" w:eastAsia="zh-CN"/>
        </w:rPr>
        <w:t>。一方面加速部署5G-A的uRLLC超可靠低时延通信能力，支撑DeepSeek在AI医疗诊断等场景的端到端时延&lt;10ms的实时推理需求，利用天翼云智算一体机构建边缘算力节点，减少核心网流量压力，将DeepSeek模型推理下沉至本地数据中心，节省大量回传带宽。</w:t>
      </w:r>
      <w:r>
        <w:rPr>
          <w:rFonts w:hint="eastAsia" w:ascii="楷体" w:hAnsi="楷体" w:eastAsia="楷体" w:cs="楷体"/>
          <w:b w:val="0"/>
          <w:bCs w:val="0"/>
          <w:sz w:val="28"/>
          <w:szCs w:val="28"/>
          <w:lang w:val="en-US" w:eastAsia="zh-CN"/>
        </w:rPr>
        <w:t>还可以考虑与云服务商共建AI算力池，通过资源置换（如电信提供带宽、其他云服务商提供GPU）降低算力成本。</w:t>
      </w:r>
      <w:r>
        <w:rPr>
          <w:rFonts w:hint="eastAsia" w:ascii="楷体" w:hAnsi="楷体" w:eastAsia="楷体" w:cs="楷体"/>
          <w:b w:val="0"/>
          <w:bCs w:val="0"/>
          <w:sz w:val="28"/>
          <w:szCs w:val="28"/>
          <w:highlight w:val="none"/>
          <w:lang w:val="en-US" w:eastAsia="zh-CN"/>
        </w:rPr>
        <w:t>另一方面，建立5G网络动态扩容机制，基于中国电信网络大模型模型，实现基站负载自动均衡，如在节假日高峰前预分配冗余带宽，另外针对AI应用的数据传输需求，加强端到端加密与DDoS防护加固能力。</w:t>
      </w:r>
    </w:p>
    <w:p>
      <w:pPr>
        <w:ind w:firstLine="562"/>
        <w:rPr>
          <w:rFonts w:hint="eastAsia" w:ascii="楷体" w:hAnsi="楷体" w:eastAsia="楷体" w:cs="楷体"/>
          <w:b w:val="0"/>
          <w:bCs w:val="0"/>
          <w:sz w:val="28"/>
          <w:szCs w:val="28"/>
          <w:highlight w:val="none"/>
          <w:lang w:val="en-US" w:eastAsia="zh-CN"/>
        </w:rPr>
      </w:pPr>
      <w:r>
        <w:rPr>
          <w:rFonts w:hint="eastAsia" w:ascii="楷体" w:hAnsi="楷体" w:eastAsia="楷体" w:cs="楷体"/>
          <w:b/>
          <w:bCs/>
          <w:sz w:val="28"/>
          <w:szCs w:val="28"/>
          <w:lang w:val="en-US" w:eastAsia="zh-CN"/>
        </w:rPr>
        <w:t>三是在业务侧，加快研究出台</w:t>
      </w:r>
      <w:r>
        <w:rPr>
          <w:rFonts w:hint="eastAsia" w:ascii="楷体" w:hAnsi="楷体" w:eastAsia="楷体" w:cs="楷体"/>
          <w:b/>
          <w:bCs/>
          <w:sz w:val="28"/>
          <w:szCs w:val="28"/>
          <w:highlight w:val="none"/>
          <w:lang w:val="en-US" w:eastAsia="zh-CN"/>
        </w:rPr>
        <w:t>差异化流量经营策略，在自有APP嵌入</w:t>
      </w:r>
      <w:r>
        <w:rPr>
          <w:rFonts w:hint="eastAsia" w:ascii="楷体" w:hAnsi="楷体" w:eastAsia="楷体" w:cs="楷体"/>
          <w:b w:val="0"/>
          <w:bCs w:val="0"/>
          <w:sz w:val="28"/>
          <w:szCs w:val="28"/>
          <w:highlight w:val="none"/>
          <w:lang w:val="en-US" w:eastAsia="zh-CN"/>
        </w:rPr>
        <w:t>DeepSeek</w:t>
      </w:r>
      <w:r>
        <w:rPr>
          <w:rFonts w:hint="eastAsia" w:ascii="楷体" w:hAnsi="楷体" w:eastAsia="楷体" w:cs="楷体"/>
          <w:b/>
          <w:bCs/>
          <w:sz w:val="28"/>
          <w:szCs w:val="28"/>
          <w:highlight w:val="none"/>
          <w:lang w:val="en-US" w:eastAsia="zh-CN"/>
        </w:rPr>
        <w:t>。</w:t>
      </w:r>
      <w:r>
        <w:rPr>
          <w:rFonts w:hint="eastAsia" w:ascii="楷体" w:hAnsi="楷体" w:eastAsia="楷体" w:cs="楷体"/>
          <w:b w:val="0"/>
          <w:bCs w:val="0"/>
          <w:sz w:val="28"/>
          <w:szCs w:val="28"/>
          <w:highlight w:val="none"/>
          <w:lang w:val="en-US" w:eastAsia="zh-CN"/>
        </w:rPr>
        <w:t>一方面针对不同用户类型设计高灵活度流量套餐，针对企业和机构用户推出“AI流量包”，按模型调用次数或数据量计费（参考华泰证券“网-云-端”三维受益模型），针对个人和家庭消费者设计多模态内容优先通道和视频搜索高价值包。另一方面，将DeepSeek嵌入天翼生活、量子密话等自有APP应用， 推出“AI+安全”套餐，保障数据传输隐私，提供智能客服、个性化推荐等服务，提升用户粘性。</w:t>
      </w:r>
    </w:p>
    <w:p>
      <w:pPr>
        <w:widowControl w:val="0"/>
        <w:numPr>
          <w:ilvl w:val="0"/>
          <w:numId w:val="0"/>
        </w:numPr>
        <w:jc w:val="both"/>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Helvetica">
    <w:panose1 w:val="020B0604020202020204"/>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pPr>
        <w:pStyle w:val="7"/>
        <w:ind w:firstLine="0"/>
        <w:rPr>
          <w:rFonts w:hint="default" w:ascii="楷体" w:hAnsi="楷体" w:eastAsia="楷体" w:cs="楷体"/>
          <w:sz w:val="18"/>
          <w:szCs w:val="18"/>
          <w:lang w:val="en-US" w:eastAsia="zh-CN"/>
        </w:rPr>
      </w:pPr>
      <w:r>
        <w:rPr>
          <w:rFonts w:hint="eastAsia" w:ascii="楷体" w:hAnsi="楷体" w:eastAsia="楷体" w:cs="楷体"/>
          <w:sz w:val="18"/>
          <w:szCs w:val="18"/>
        </w:rPr>
        <w:footnoteRef/>
      </w:r>
      <w:r>
        <w:rPr>
          <w:rFonts w:hint="eastAsia" w:ascii="楷体" w:hAnsi="楷体" w:eastAsia="楷体" w:cs="楷体"/>
          <w:sz w:val="18"/>
          <w:szCs w:val="18"/>
          <w:lang w:val="en-US" w:eastAsia="zh-CN"/>
        </w:rPr>
        <w:t>：新增移动流量=智驾汽车保有量1500万台*预计每台月均平均消耗流量12GB*12个月，超过20亿GB。</w:t>
      </w:r>
    </w:p>
  </w:footnote>
  <w:footnote w:id="1">
    <w:p>
      <w:pPr>
        <w:pStyle w:val="7"/>
        <w:ind w:firstLine="0"/>
        <w:rPr>
          <w:rFonts w:hint="default" w:ascii="楷体" w:hAnsi="楷体" w:eastAsia="楷体" w:cs="楷体"/>
          <w:sz w:val="18"/>
          <w:szCs w:val="18"/>
          <w:lang w:val="en-US" w:eastAsia="zh-CN"/>
        </w:rPr>
      </w:pPr>
      <w:r>
        <w:rPr>
          <w:rFonts w:hint="eastAsia" w:ascii="楷体" w:hAnsi="楷体" w:eastAsia="楷体" w:cs="楷体"/>
          <w:sz w:val="18"/>
          <w:szCs w:val="18"/>
        </w:rPr>
        <w:footnoteRef/>
      </w:r>
      <w:r>
        <w:rPr>
          <w:rFonts w:hint="eastAsia" w:ascii="楷体" w:hAnsi="楷体" w:eastAsia="楷体" w:cs="楷体"/>
          <w:sz w:val="18"/>
          <w:szCs w:val="18"/>
          <w:lang w:val="en-US" w:eastAsia="zh-CN"/>
        </w:rPr>
        <w:t>：新增移动流量=2025年AI手机等终端使用量3亿台（</w:t>
      </w:r>
      <w:r>
        <w:rPr>
          <w:rFonts w:ascii="Helvetica" w:hAnsi="Helvetica" w:eastAsia="Helvetica" w:cs="Helvetica"/>
          <w:i w:val="0"/>
          <w:iCs w:val="0"/>
          <w:caps w:val="0"/>
          <w:color w:val="667085"/>
          <w:spacing w:val="0"/>
          <w:sz w:val="15"/>
          <w:szCs w:val="15"/>
          <w:shd w:val="clear" w:fill="EDEEF0"/>
        </w:rPr>
        <w:t>九方智投</w:t>
      </w:r>
      <w:r>
        <w:rPr>
          <w:rFonts w:hint="eastAsia" w:ascii="Helvetica" w:hAnsi="Helvetica" w:eastAsia="宋体" w:cs="Helvetica"/>
          <w:i w:val="0"/>
          <w:iCs w:val="0"/>
          <w:caps w:val="0"/>
          <w:color w:val="667085"/>
          <w:spacing w:val="0"/>
          <w:sz w:val="15"/>
          <w:szCs w:val="15"/>
          <w:shd w:val="clear" w:fill="EDEEF0"/>
          <w:lang w:val="en-US" w:eastAsia="zh-CN"/>
        </w:rPr>
        <w:t>预测</w:t>
      </w:r>
      <w:r>
        <w:rPr>
          <w:rFonts w:hint="eastAsia" w:ascii="楷体" w:hAnsi="楷体" w:eastAsia="楷体" w:cs="楷体"/>
          <w:sz w:val="18"/>
          <w:szCs w:val="18"/>
          <w:lang w:val="en-US" w:eastAsia="zh-CN"/>
        </w:rPr>
        <w:t>）*预计每台月均新增消耗流量1GB*12个月，超过30亿GB。</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4B3E31"/>
    <w:multiLevelType w:val="singleLevel"/>
    <w:tmpl w:val="BE4B3E31"/>
    <w:lvl w:ilvl="0" w:tentative="0">
      <w:start w:val="3"/>
      <w:numFmt w:val="chineseCounting"/>
      <w:suff w:val="nothing"/>
      <w:lvlText w:val="%1、"/>
      <w:lvlJc w:val="left"/>
      <w:rPr>
        <w:rFonts w:hint="eastAsia"/>
      </w:rPr>
    </w:lvl>
  </w:abstractNum>
  <w:abstractNum w:abstractNumId="1">
    <w:nsid w:val="705A9AA6"/>
    <w:multiLevelType w:val="singleLevel"/>
    <w:tmpl w:val="705A9AA6"/>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4"/>
    <w:footnote w:id="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9F0A54"/>
    <w:rsid w:val="02DD6AF1"/>
    <w:rsid w:val="03073573"/>
    <w:rsid w:val="03DC56D4"/>
    <w:rsid w:val="058B641C"/>
    <w:rsid w:val="062D695C"/>
    <w:rsid w:val="0AE05158"/>
    <w:rsid w:val="0B5F79FB"/>
    <w:rsid w:val="0C562559"/>
    <w:rsid w:val="0CAD41C9"/>
    <w:rsid w:val="0DCF1206"/>
    <w:rsid w:val="0DDE4284"/>
    <w:rsid w:val="0E317E90"/>
    <w:rsid w:val="0EE213B1"/>
    <w:rsid w:val="0EF831BE"/>
    <w:rsid w:val="0FA94D8E"/>
    <w:rsid w:val="12184A50"/>
    <w:rsid w:val="12DC02A0"/>
    <w:rsid w:val="13797156"/>
    <w:rsid w:val="1383267F"/>
    <w:rsid w:val="13B90A89"/>
    <w:rsid w:val="14BF042B"/>
    <w:rsid w:val="15FD5EC8"/>
    <w:rsid w:val="17292CA4"/>
    <w:rsid w:val="17A4417E"/>
    <w:rsid w:val="18C572C8"/>
    <w:rsid w:val="1A091C59"/>
    <w:rsid w:val="1AAD605B"/>
    <w:rsid w:val="1BA601A6"/>
    <w:rsid w:val="1BBC604E"/>
    <w:rsid w:val="1DDD41D3"/>
    <w:rsid w:val="1FCE3007"/>
    <w:rsid w:val="211215B7"/>
    <w:rsid w:val="218B62BD"/>
    <w:rsid w:val="22774997"/>
    <w:rsid w:val="22DC5716"/>
    <w:rsid w:val="23620D1A"/>
    <w:rsid w:val="23F60BD9"/>
    <w:rsid w:val="254251EC"/>
    <w:rsid w:val="25EA7B95"/>
    <w:rsid w:val="26403808"/>
    <w:rsid w:val="28677E91"/>
    <w:rsid w:val="28A06F44"/>
    <w:rsid w:val="2AD214DD"/>
    <w:rsid w:val="2C12565D"/>
    <w:rsid w:val="2D251C99"/>
    <w:rsid w:val="2E0803B4"/>
    <w:rsid w:val="2E8F1C72"/>
    <w:rsid w:val="2F800A3E"/>
    <w:rsid w:val="2FE60E90"/>
    <w:rsid w:val="3093589A"/>
    <w:rsid w:val="31AB492C"/>
    <w:rsid w:val="31DB6432"/>
    <w:rsid w:val="33744DF3"/>
    <w:rsid w:val="33CA2E03"/>
    <w:rsid w:val="34146DDD"/>
    <w:rsid w:val="34400898"/>
    <w:rsid w:val="375469D6"/>
    <w:rsid w:val="38272B59"/>
    <w:rsid w:val="3886001A"/>
    <w:rsid w:val="39685344"/>
    <w:rsid w:val="3A435A89"/>
    <w:rsid w:val="3AB410CA"/>
    <w:rsid w:val="40870DAD"/>
    <w:rsid w:val="40D2424F"/>
    <w:rsid w:val="427F6BDF"/>
    <w:rsid w:val="44BC1EA7"/>
    <w:rsid w:val="451C6D81"/>
    <w:rsid w:val="46387A95"/>
    <w:rsid w:val="465C5B20"/>
    <w:rsid w:val="488D186D"/>
    <w:rsid w:val="4B452C53"/>
    <w:rsid w:val="4B9351CE"/>
    <w:rsid w:val="4BCE1BC3"/>
    <w:rsid w:val="4BCF4184"/>
    <w:rsid w:val="4C570F20"/>
    <w:rsid w:val="4C60425D"/>
    <w:rsid w:val="4CA6037B"/>
    <w:rsid w:val="51095A5E"/>
    <w:rsid w:val="513F452F"/>
    <w:rsid w:val="52180E89"/>
    <w:rsid w:val="527A2344"/>
    <w:rsid w:val="52C82517"/>
    <w:rsid w:val="541A28B9"/>
    <w:rsid w:val="548B1BDF"/>
    <w:rsid w:val="5515224D"/>
    <w:rsid w:val="56BC017A"/>
    <w:rsid w:val="570C668C"/>
    <w:rsid w:val="57214480"/>
    <w:rsid w:val="57416F33"/>
    <w:rsid w:val="57AC5687"/>
    <w:rsid w:val="57BB70D0"/>
    <w:rsid w:val="58A16C5D"/>
    <w:rsid w:val="5AE56432"/>
    <w:rsid w:val="5B2F74EA"/>
    <w:rsid w:val="5BE630DC"/>
    <w:rsid w:val="5C3173CC"/>
    <w:rsid w:val="5C8C45DB"/>
    <w:rsid w:val="5CE921CA"/>
    <w:rsid w:val="5E2750A8"/>
    <w:rsid w:val="60C36B9E"/>
    <w:rsid w:val="611F4404"/>
    <w:rsid w:val="61204548"/>
    <w:rsid w:val="62BF7BF4"/>
    <w:rsid w:val="67061813"/>
    <w:rsid w:val="67255483"/>
    <w:rsid w:val="68F67CBE"/>
    <w:rsid w:val="69402275"/>
    <w:rsid w:val="6B0A2F94"/>
    <w:rsid w:val="6C09557E"/>
    <w:rsid w:val="6D394EB4"/>
    <w:rsid w:val="6D936F1C"/>
    <w:rsid w:val="6E9F0A54"/>
    <w:rsid w:val="6F7076E4"/>
    <w:rsid w:val="712958DC"/>
    <w:rsid w:val="72593CA6"/>
    <w:rsid w:val="72823DCC"/>
    <w:rsid w:val="72D97864"/>
    <w:rsid w:val="73113D7E"/>
    <w:rsid w:val="74FE41D6"/>
    <w:rsid w:val="75A85435"/>
    <w:rsid w:val="75DB5DD4"/>
    <w:rsid w:val="77143F1A"/>
    <w:rsid w:val="79547B43"/>
    <w:rsid w:val="799E78F7"/>
    <w:rsid w:val="7A3A67F3"/>
    <w:rsid w:val="7C233CC9"/>
    <w:rsid w:val="7DD9393F"/>
    <w:rsid w:val="7E045365"/>
    <w:rsid w:val="7E9324A3"/>
    <w:rsid w:val="7EEE5DF0"/>
    <w:rsid w:val="7F166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footnote text"/>
    <w:basedOn w:val="1"/>
    <w:semiHidden/>
    <w:unhideWhenUsed/>
    <w:qFormat/>
    <w:uiPriority w:val="99"/>
    <w:pPr>
      <w:snapToGrid w:val="0"/>
      <w:jc w:val="left"/>
    </w:pPr>
    <w:rPr>
      <w:sz w:val="18"/>
      <w:szCs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qFormat/>
    <w:uiPriority w:val="0"/>
    <w:rPr>
      <w:color w:val="0000FF"/>
      <w:u w:val="single"/>
    </w:rPr>
  </w:style>
  <w:style w:type="character" w:styleId="14">
    <w:name w:val="footnote reference"/>
    <w:basedOn w:val="10"/>
    <w:semiHidden/>
    <w:unhideWhenUsed/>
    <w:qFormat/>
    <w:uiPriority w:val="99"/>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中国电信股份有限公司研究院</Company>
  <Pages>6</Pages>
  <Words>2981</Words>
  <Characters>3436</Characters>
  <Lines>0</Lines>
  <Paragraphs>0</Paragraphs>
  <TotalTime>6</TotalTime>
  <ScaleCrop>false</ScaleCrop>
  <LinksUpToDate>false</LinksUpToDate>
  <CharactersWithSpaces>3451</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2025-01-02T08:24:00Z</dcterms:created>
  <dc:creator>张小东</dc:creator>
  <cp:lastModifiedBy>张小东</cp:lastModifiedBy>
  <dcterms:modified xsi:type="dcterms:W3CDTF">2025-02-18T03:51:12Z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406B3EB20FC94B22AFFC8D06F13AA37B_13</vt:lpwstr>
  </property>
  <property fmtid="{D5CDD505-2E9C-101B-9397-08002B2CF9AE}" pid="4" name="KSOTemplateDocerSaveRecord">
    <vt:lpwstr>eyJoZGlkIjoiZmQ2ZTI3M2U5ZjczNWQ3MGMyYmI0YTRhNTNjMDI5MWUiLCJ1c2VySWQiOiI1MzE5MjcxNjAifQ==</vt:lpwstr>
  </property>
</Properties>
</file>