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14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中国电信数字健康业务问题分析</w:t>
      </w:r>
    </w:p>
    <w:p>
      <w:pPr>
        <w:ind w:left="3080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与发展建议</w:t>
      </w:r>
    </w:p>
    <w:p>
      <w:pPr>
        <w:ind w:left="2557"/>
        <w:spacing w:before="330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6"/>
        </w:rPr>
        <w:t>文/</w:t>
      </w:r>
      <w:r>
        <w:rPr>
          <w:rFonts w:ascii="STKaiti" w:hAnsi="STKaiti" w:eastAsia="STKaiti" w:cs="STKaiti"/>
          <w:sz w:val="30"/>
          <w:szCs w:val="30"/>
          <w:spacing w:val="2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彭淇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于明月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江乔卉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32" w:right="238" w:firstLine="604"/>
        <w:spacing w:before="98" w:line="259" w:lineRule="auto"/>
        <w:jc w:val="both"/>
        <w:rPr/>
      </w:pPr>
      <w:r>
        <w:rPr>
          <w:spacing w:val="-10"/>
        </w:rPr>
        <w:t>在人口老龄化进程加快、各种慢性疾病年轻化的背景下，</w:t>
      </w:r>
      <w:r>
        <w:rPr>
          <w:spacing w:val="-10"/>
        </w:rPr>
        <w:t xml:space="preserve"> </w:t>
      </w:r>
      <w:r>
        <w:rPr>
          <w:spacing w:val="-10"/>
        </w:rPr>
        <w:t>居</w:t>
      </w:r>
      <w:r>
        <w:rPr>
          <w:spacing w:val="-4"/>
        </w:rPr>
        <w:t>民健康意识及需求持续提升，健康医疗行业发展受到国家高度重</w:t>
      </w:r>
      <w:r>
        <w:rPr>
          <w:spacing w:val="-16"/>
        </w:rPr>
        <w:t>视，《健康中国行动》、《“十四五</w:t>
      </w:r>
      <w:r>
        <w:rPr>
          <w:spacing w:val="-95"/>
        </w:rPr>
        <w:t xml:space="preserve"> </w:t>
      </w:r>
      <w:r>
        <w:rPr>
          <w:spacing w:val="-16"/>
        </w:rPr>
        <w:t>”国民健康规划》等政策相继</w:t>
      </w:r>
      <w:r>
        <w:rPr>
          <w:spacing w:val="-4"/>
        </w:rPr>
        <w:t>出台。与此同时，产业数字化变革推动新技术与健康医疗融合发</w:t>
      </w:r>
      <w:r>
        <w:rPr>
          <w:spacing w:val="-12"/>
        </w:rPr>
        <w:t>展，数字健康领域新业态、新产品、新需求不断涌现，</w:t>
      </w:r>
      <w:r>
        <w:rPr>
          <w:spacing w:val="71"/>
        </w:rPr>
        <w:t xml:space="preserve"> </w:t>
      </w:r>
      <w:r>
        <w:rPr>
          <w:spacing w:val="-12"/>
        </w:rPr>
        <w:t>有望成为</w:t>
      </w:r>
      <w:r>
        <w:rPr>
          <w:spacing w:val="-7"/>
        </w:rPr>
        <w:t>数字经济新蓝海。</w:t>
      </w:r>
    </w:p>
    <w:p>
      <w:pPr>
        <w:pStyle w:val="BodyText"/>
        <w:ind w:left="33" w:firstLine="639"/>
        <w:spacing w:before="277" w:line="260" w:lineRule="auto"/>
        <w:jc w:val="both"/>
        <w:rPr/>
      </w:pPr>
      <w:r>
        <w:rPr>
          <w:spacing w:val="-8"/>
        </w:rPr>
        <w:t>中国电信应把握机遇，以客户为中心重构数字健康产品体系，</w:t>
      </w:r>
      <w:r>
        <w:rPr>
          <w:spacing w:val="-4"/>
        </w:rPr>
        <w:t>强化数字健康平台核心能力，并基于海量健康数据为用户提供创</w:t>
      </w:r>
      <w:r>
        <w:rPr>
          <w:spacing w:val="-3"/>
        </w:rPr>
        <w:t>新的数字健康服务。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一、数字健康行业现状及发展机遇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5" w:right="250" w:firstLine="601"/>
        <w:spacing w:before="97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．市场前景广阔，综合健康服务平台与垂类应用领域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潜力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空间大</w:t>
      </w:r>
    </w:p>
    <w:p>
      <w:pPr>
        <w:ind w:firstLine="1732"/>
        <w:spacing w:before="24" w:line="3648" w:lineRule="exact"/>
        <w:rPr/>
      </w:pPr>
      <w:r>
        <w:rPr>
          <w:position w:val="-72"/>
        </w:rPr>
        <w:drawing>
          <wp:inline distT="0" distB="0" distL="0" distR="0">
            <wp:extent cx="3357371" cy="231647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7371" cy="23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 w:right="242"/>
        <w:spacing w:before="91" w:line="241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（数据来源：据头豹研究院《2021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7"/>
        </w:rPr>
        <w:t>年中国数字健康行业简报》、网经社《2022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7"/>
        </w:rPr>
        <w:t>年</w:t>
      </w:r>
      <w:r>
        <w:rPr>
          <w:sz w:val="24"/>
          <w:szCs w:val="24"/>
          <w:spacing w:val="-2"/>
        </w:rPr>
        <w:t>度中国数字健康市场数据报告》整理）</w:t>
      </w:r>
    </w:p>
    <w:p>
      <w:pPr>
        <w:ind w:left="765"/>
        <w:spacing w:before="25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2020～2025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年中国数字健康行业市</w:t>
      </w:r>
      <w:r>
        <w:rPr>
          <w:rFonts w:ascii="KaiTi" w:hAnsi="KaiTi" w:eastAsia="KaiTi" w:cs="KaiTi"/>
          <w:sz w:val="30"/>
          <w:szCs w:val="30"/>
          <w:spacing w:val="-4"/>
        </w:rPr>
        <w:t>场规模预测</w:t>
      </w:r>
    </w:p>
    <w:p>
      <w:pPr>
        <w:spacing w:line="215" w:lineRule="auto"/>
        <w:sectPr>
          <w:pgSz w:w="11907" w:h="16839"/>
          <w:pgMar w:top="1431" w:right="1557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5" w:firstLine="599"/>
        <w:spacing w:before="8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在需求提升和技术发展双重驱动下，伴随支持政策相继出台，</w:t>
      </w:r>
      <w:r>
        <w:rPr>
          <w:rFonts w:ascii="SimSun" w:hAnsi="SimSun" w:eastAsia="SimSun" w:cs="SimSun"/>
          <w:sz w:val="30"/>
          <w:szCs w:val="30"/>
          <w:spacing w:val="-6"/>
        </w:rPr>
        <w:t>数字健康产业不断发展。据统计，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2022 </w:t>
      </w:r>
      <w:r>
        <w:rPr>
          <w:rFonts w:ascii="SimSun" w:hAnsi="SimSun" w:eastAsia="SimSun" w:cs="SimSun"/>
          <w:sz w:val="30"/>
          <w:szCs w:val="30"/>
          <w:spacing w:val="-6"/>
        </w:rPr>
        <w:t>年我国数字健康市场规模</w:t>
      </w:r>
      <w:r>
        <w:rPr>
          <w:rFonts w:ascii="SimSun" w:hAnsi="SimSun" w:eastAsia="SimSun" w:cs="SimSun"/>
          <w:sz w:val="30"/>
          <w:szCs w:val="30"/>
          <w:spacing w:val="-7"/>
        </w:rPr>
        <w:t>达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597 </w:t>
      </w:r>
      <w:r>
        <w:rPr>
          <w:rFonts w:ascii="SimSun" w:hAnsi="SimSun" w:eastAsia="SimSun" w:cs="SimSun"/>
          <w:sz w:val="30"/>
          <w:szCs w:val="30"/>
          <w:spacing w:val="-7"/>
        </w:rPr>
        <w:t>亿元，预计于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2025 </w:t>
      </w:r>
      <w:r>
        <w:rPr>
          <w:rFonts w:ascii="SimSun" w:hAnsi="SimSun" w:eastAsia="SimSun" w:cs="SimSun"/>
          <w:sz w:val="30"/>
          <w:szCs w:val="30"/>
          <w:spacing w:val="-7"/>
        </w:rPr>
        <w:t>年达到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1500.6 </w:t>
      </w:r>
      <w:r>
        <w:rPr>
          <w:rFonts w:ascii="SimSun" w:hAnsi="SimSun" w:eastAsia="SimSun" w:cs="SimSun"/>
          <w:sz w:val="30"/>
          <w:szCs w:val="30"/>
          <w:spacing w:val="-7"/>
        </w:rPr>
        <w:t>亿（图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</w:t>
      </w:r>
      <w:r>
        <w:rPr>
          <w:rFonts w:ascii="SimSun" w:hAnsi="SimSun" w:eastAsia="SimSun" w:cs="SimSun"/>
          <w:sz w:val="30"/>
          <w:szCs w:val="30"/>
          <w:spacing w:val="-8"/>
        </w:rPr>
        <w:t>）。</w:t>
      </w:r>
    </w:p>
    <w:p>
      <w:pPr>
        <w:ind w:left="1959"/>
        <w:spacing w:before="251" w:line="20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表</w:t>
      </w:r>
      <w:r>
        <w:rPr>
          <w:rFonts w:ascii="KaiTi" w:hAnsi="KaiTi" w:eastAsia="KaiTi" w:cs="KaiTi"/>
          <w:sz w:val="30"/>
          <w:szCs w:val="30"/>
          <w:spacing w:val="-3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数字健康产业主要玩家分析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631"/>
        <w:gridCol w:w="2044"/>
        <w:gridCol w:w="2044"/>
        <w:gridCol w:w="2583"/>
      </w:tblGrid>
      <w:tr>
        <w:trPr>
          <w:trHeight w:val="354" w:hRule="atLeast"/>
        </w:trPr>
        <w:tc>
          <w:tcPr>
            <w:shd w:val="clear" w:fill="5B9BD5"/>
            <w:tcW w:w="8302" w:type="dxa"/>
            <w:vAlign w:val="top"/>
            <w:gridSpan w:val="4"/>
          </w:tcPr>
          <w:p>
            <w:pPr>
              <w:pStyle w:val="TableText"/>
              <w:ind w:left="426"/>
              <w:spacing w:before="61" w:line="226" w:lineRule="auto"/>
              <w:rPr/>
            </w:pPr>
            <w:r>
              <w:rPr>
                <w:b/>
                <w:bCs/>
                <w:color w:val="FFFFFF"/>
                <w:spacing w:val="6"/>
              </w:rPr>
              <w:t>参与主体</w:t>
            </w:r>
            <w:r>
              <w:rPr>
                <w:color w:val="FFFFFF"/>
                <w:spacing w:val="14"/>
              </w:rPr>
              <w:t xml:space="preserve">       </w:t>
            </w:r>
            <w:r>
              <w:rPr>
                <w:b/>
                <w:bCs/>
                <w:color w:val="FFFFFF"/>
                <w:spacing w:val="6"/>
              </w:rPr>
              <w:t>产品及服务形态</w:t>
            </w:r>
            <w:r>
              <w:rPr>
                <w:color w:val="FFFFFF"/>
                <w:spacing w:val="19"/>
              </w:rPr>
              <w:t xml:space="preserve">    </w:t>
            </w:r>
            <w:r>
              <w:rPr>
                <w:b/>
                <w:bCs/>
                <w:color w:val="FFFFFF"/>
                <w:spacing w:val="6"/>
              </w:rPr>
              <w:t>主要能力及资源禀赋</w:t>
            </w:r>
            <w:r>
              <w:rPr>
                <w:color w:val="FFFFFF"/>
                <w:spacing w:val="6"/>
              </w:rPr>
              <w:t xml:space="preserve">          </w:t>
            </w:r>
            <w:r>
              <w:rPr>
                <w:b/>
                <w:bCs/>
                <w:color w:val="FFFFFF"/>
                <w:spacing w:val="6"/>
              </w:rPr>
              <w:t>典型企业</w:t>
            </w:r>
          </w:p>
        </w:tc>
      </w:tr>
      <w:tr>
        <w:trPr>
          <w:trHeight w:val="1564" w:hRule="atLeast"/>
        </w:trPr>
        <w:tc>
          <w:tcPr>
            <w:shd w:val="clear" w:fill="BDD6EE"/>
            <w:tcW w:w="1631" w:type="dxa"/>
            <w:vAlign w:val="top"/>
          </w:tcPr>
          <w:p>
            <w:pPr>
              <w:pStyle w:val="TableText"/>
              <w:ind w:left="113" w:right="213" w:firstLine="24"/>
              <w:spacing w:before="56" w:line="303" w:lineRule="auto"/>
              <w:rPr/>
            </w:pPr>
            <w:r>
              <w:rPr>
                <w:b/>
                <w:bCs/>
                <w:spacing w:val="3"/>
              </w:rPr>
              <w:t>医疗器械厂商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7"/>
              </w:rPr>
              <w:t>/智能硬件厂商</w:t>
            </w:r>
          </w:p>
        </w:tc>
        <w:tc>
          <w:tcPr>
            <w:shd w:val="clear" w:fill="BDD6EE"/>
            <w:tcW w:w="2044" w:type="dxa"/>
            <w:vAlign w:val="top"/>
          </w:tcPr>
          <w:p>
            <w:pPr>
              <w:pStyle w:val="TableText"/>
              <w:ind w:left="134" w:right="178" w:hanging="17"/>
              <w:spacing w:before="55" w:line="303" w:lineRule="auto"/>
              <w:rPr/>
            </w:pPr>
            <w:r>
              <w:rPr>
                <w:b/>
                <w:bCs/>
                <w:spacing w:val="1"/>
              </w:rPr>
              <w:t>智能健康硬件设备：</w:t>
            </w:r>
            <w:r>
              <w:rPr>
                <w:spacing w:val="4"/>
              </w:rPr>
              <w:t>医疗级智能设备、</w:t>
            </w:r>
          </w:p>
          <w:p>
            <w:pPr>
              <w:pStyle w:val="TableText"/>
              <w:ind w:left="116"/>
              <w:spacing w:line="226" w:lineRule="auto"/>
              <w:rPr/>
            </w:pPr>
            <w:r>
              <w:rPr>
                <w:spacing w:val="8"/>
              </w:rPr>
              <w:t>健康管理级智能设备</w:t>
            </w:r>
          </w:p>
        </w:tc>
        <w:tc>
          <w:tcPr>
            <w:shd w:val="clear" w:fill="BDD6EE"/>
            <w:tcW w:w="2044" w:type="dxa"/>
            <w:vAlign w:val="top"/>
          </w:tcPr>
          <w:p>
            <w:pPr>
              <w:pStyle w:val="TableText"/>
              <w:ind w:left="118" w:right="134" w:hanging="1"/>
              <w:spacing w:before="53" w:line="304" w:lineRule="auto"/>
              <w:rPr/>
            </w:pPr>
            <w:r>
              <w:rPr>
                <w:spacing w:val="3"/>
              </w:rPr>
              <w:t>设备生产研发能力；</w:t>
            </w:r>
            <w:r>
              <w:rPr>
                <w:spacing w:val="8"/>
              </w:rPr>
              <w:t>医疗领域专业度及技</w:t>
            </w:r>
            <w:r>
              <w:rPr>
                <w:spacing w:val="6"/>
              </w:rPr>
              <w:t>术壁垒高</w:t>
            </w:r>
          </w:p>
        </w:tc>
        <w:tc>
          <w:tcPr>
            <w:shd w:val="clear" w:fill="BDD6EE"/>
            <w:tcW w:w="2583" w:type="dxa"/>
            <w:vAlign w:val="top"/>
          </w:tcPr>
          <w:p>
            <w:pPr>
              <w:pStyle w:val="TableText"/>
              <w:ind w:left="119" w:right="268" w:firstLine="7"/>
              <w:spacing w:before="56" w:line="291" w:lineRule="auto"/>
              <w:rPr/>
            </w:pPr>
            <w:r>
              <w:rPr>
                <w:b/>
                <w:bCs/>
                <w:spacing w:val="4"/>
              </w:rPr>
              <w:t>鱼跃：</w:t>
            </w:r>
            <w:r>
              <w:rPr>
                <w:spacing w:val="-54"/>
              </w:rPr>
              <w:t xml:space="preserve"> </w:t>
            </w:r>
            <w:r>
              <w:rPr>
                <w:spacing w:val="4"/>
              </w:rPr>
              <w:t>生产慢病监测智能</w:t>
            </w:r>
            <w:r>
              <w:rPr>
                <w:spacing w:val="8"/>
              </w:rPr>
              <w:t>设备如血压计、血糖仪等</w:t>
            </w:r>
            <w:r>
              <w:rPr>
                <w:b/>
                <w:bCs/>
                <w:spacing w:val="5"/>
              </w:rPr>
              <w:t>小米、华为：</w:t>
            </w:r>
            <w:r>
              <w:rPr>
                <w:spacing w:val="5"/>
              </w:rPr>
              <w:t>智能手环、</w:t>
            </w:r>
            <w:r>
              <w:rPr>
                <w:spacing w:val="8"/>
              </w:rPr>
              <w:t>智能健身镜等智能穿戴设</w:t>
            </w:r>
            <w:r>
              <w:rPr>
                <w:spacing w:val="8"/>
              </w:rPr>
              <w:t>备和健康娱乐设备</w:t>
            </w:r>
          </w:p>
        </w:tc>
      </w:tr>
      <w:tr>
        <w:trPr>
          <w:trHeight w:val="1877" w:hRule="atLeast"/>
        </w:trPr>
        <w:tc>
          <w:tcPr>
            <w:shd w:val="clear" w:fill="DEEAF6"/>
            <w:tcW w:w="1631" w:type="dxa"/>
            <w:vAlign w:val="top"/>
          </w:tcPr>
          <w:p>
            <w:pPr>
              <w:pStyle w:val="TableText"/>
              <w:ind w:left="124" w:right="515" w:hanging="3"/>
              <w:spacing w:before="59" w:line="304" w:lineRule="auto"/>
              <w:rPr/>
            </w:pPr>
            <w:r>
              <w:rPr>
                <w:b/>
                <w:bCs/>
                <w:spacing w:val="5"/>
              </w:rPr>
              <w:t>科技公司/</w:t>
            </w:r>
            <w:r>
              <w:rPr>
                <w:b/>
                <w:bCs/>
                <w:spacing w:val="4"/>
              </w:rPr>
              <w:t>互联网企业</w:t>
            </w:r>
          </w:p>
        </w:tc>
        <w:tc>
          <w:tcPr>
            <w:shd w:val="clear" w:fill="DEEAF6"/>
            <w:tcW w:w="2044" w:type="dxa"/>
            <w:vAlign w:val="top"/>
          </w:tcPr>
          <w:p>
            <w:pPr>
              <w:pStyle w:val="TableText"/>
              <w:ind w:left="128" w:right="129" w:hanging="6"/>
              <w:spacing w:before="59" w:line="303" w:lineRule="auto"/>
              <w:rPr/>
            </w:pPr>
            <w:r>
              <w:rPr>
                <w:b/>
                <w:bCs/>
                <w:spacing w:val="3"/>
              </w:rPr>
              <w:t>垂类应用：</w:t>
            </w:r>
            <w:r>
              <w:rPr>
                <w:spacing w:val="-57"/>
              </w:rPr>
              <w:t xml:space="preserve"> </w:t>
            </w:r>
            <w:r>
              <w:rPr>
                <w:spacing w:val="3"/>
              </w:rPr>
              <w:t>运动、养</w:t>
            </w:r>
            <w:r>
              <w:rPr>
                <w:spacing w:val="8"/>
              </w:rPr>
              <w:t>生等健康类</w:t>
            </w:r>
            <w:r>
              <w:rPr>
                <w:spacing w:val="-43"/>
              </w:rPr>
              <w:t xml:space="preserve"> </w:t>
            </w:r>
            <w:r>
              <w:rPr/>
              <w:t>APP</w:t>
            </w:r>
          </w:p>
          <w:p>
            <w:pPr>
              <w:pStyle w:val="TableText"/>
              <w:ind w:left="119" w:right="129"/>
              <w:spacing w:line="303" w:lineRule="auto"/>
              <w:rPr/>
            </w:pPr>
            <w:r>
              <w:rPr>
                <w:b/>
                <w:bCs/>
                <w:spacing w:val="7"/>
              </w:rPr>
              <w:t>综合平台：</w:t>
            </w:r>
            <w:r>
              <w:rPr>
                <w:spacing w:val="7"/>
              </w:rPr>
              <w:t>居家健康</w:t>
            </w:r>
            <w:r>
              <w:rPr>
                <w:spacing w:val="7"/>
              </w:rPr>
              <w:t>综合服务平台</w:t>
            </w:r>
          </w:p>
        </w:tc>
        <w:tc>
          <w:tcPr>
            <w:shd w:val="clear" w:fill="DEEAF6"/>
            <w:tcW w:w="2044" w:type="dxa"/>
            <w:vAlign w:val="top"/>
          </w:tcPr>
          <w:p>
            <w:pPr>
              <w:pStyle w:val="TableText"/>
              <w:ind w:left="129" w:right="134" w:hanging="10"/>
              <w:spacing w:before="59" w:line="303" w:lineRule="auto"/>
              <w:rPr/>
            </w:pPr>
            <w:r>
              <w:rPr>
                <w:spacing w:val="8"/>
              </w:rPr>
              <w:t>技术领先、技术创新</w:t>
            </w:r>
            <w:r>
              <w:rPr>
                <w:spacing w:val="-7"/>
              </w:rPr>
              <w:t>能力强；</w:t>
            </w:r>
          </w:p>
          <w:p>
            <w:pPr>
              <w:pStyle w:val="TableText"/>
              <w:ind w:left="130"/>
              <w:spacing w:line="226" w:lineRule="auto"/>
              <w:rPr/>
            </w:pPr>
            <w:r>
              <w:rPr>
                <w:spacing w:val="6"/>
              </w:rPr>
              <w:t>生态聚合能力强</w:t>
            </w:r>
          </w:p>
        </w:tc>
        <w:tc>
          <w:tcPr>
            <w:shd w:val="clear" w:fill="DEEAF6"/>
            <w:tcW w:w="2583" w:type="dxa"/>
            <w:vAlign w:val="top"/>
          </w:tcPr>
          <w:p>
            <w:pPr>
              <w:pStyle w:val="TableText"/>
              <w:ind w:left="110"/>
              <w:spacing w:before="58" w:line="221" w:lineRule="auto"/>
              <w:rPr/>
            </w:pPr>
            <w:r>
              <w:rPr>
                <w:b/>
                <w:bCs/>
              </w:rPr>
              <w:t>Keep</w:t>
            </w:r>
            <w:r>
              <w:rPr>
                <w:b/>
                <w:bCs/>
                <w:spacing w:val="11"/>
              </w:rPr>
              <w:t>：</w:t>
            </w:r>
            <w:r>
              <w:rPr>
                <w:spacing w:val="11"/>
              </w:rPr>
              <w:t>聚焦运动健康领</w:t>
            </w:r>
          </w:p>
          <w:p>
            <w:pPr>
              <w:pStyle w:val="TableText"/>
              <w:ind w:left="141" w:right="270" w:hanging="22"/>
              <w:spacing w:before="84" w:line="303" w:lineRule="auto"/>
              <w:rPr/>
            </w:pPr>
            <w:r>
              <w:rPr>
                <w:spacing w:val="8"/>
              </w:rPr>
              <w:t>域，提供专业化的</w:t>
            </w:r>
            <w:r>
              <w:rPr>
                <w:spacing w:val="-41"/>
              </w:rPr>
              <w:t xml:space="preserve"> </w:t>
            </w:r>
            <w:r>
              <w:rPr/>
              <w:t>APP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产</w:t>
            </w:r>
            <w:r>
              <w:rPr/>
              <w:t>品</w:t>
            </w:r>
          </w:p>
          <w:p>
            <w:pPr>
              <w:pStyle w:val="TableText"/>
              <w:ind w:left="119" w:right="265"/>
              <w:spacing w:before="1" w:line="282" w:lineRule="auto"/>
              <w:rPr/>
            </w:pPr>
            <w:r>
              <w:rPr>
                <w:b/>
                <w:bCs/>
                <w:spacing w:val="8"/>
              </w:rPr>
              <w:t>平安好医生：</w:t>
            </w:r>
            <w:r>
              <w:rPr>
                <w:spacing w:val="8"/>
              </w:rPr>
              <w:t>提供家庭医</w:t>
            </w:r>
            <w:r>
              <w:rPr>
                <w:spacing w:val="8"/>
              </w:rPr>
              <w:t>生、医药电商等多模块的</w:t>
            </w:r>
            <w:r>
              <w:rPr>
                <w:spacing w:val="8"/>
              </w:rPr>
              <w:t>健康综合服务平台</w:t>
            </w:r>
          </w:p>
        </w:tc>
      </w:tr>
      <w:tr>
        <w:trPr>
          <w:trHeight w:val="1256" w:hRule="atLeast"/>
        </w:trPr>
        <w:tc>
          <w:tcPr>
            <w:shd w:val="clear" w:fill="BDD6EE"/>
            <w:tcW w:w="1631" w:type="dxa"/>
            <w:vAlign w:val="top"/>
          </w:tcPr>
          <w:p>
            <w:pPr>
              <w:pStyle w:val="TableText"/>
              <w:ind w:left="138"/>
              <w:spacing w:before="58" w:line="227" w:lineRule="auto"/>
              <w:rPr/>
            </w:pPr>
            <w:r>
              <w:rPr>
                <w:b/>
                <w:bCs/>
                <w:spacing w:val="3"/>
              </w:rPr>
              <w:t>医院/医疗机构</w:t>
            </w:r>
          </w:p>
        </w:tc>
        <w:tc>
          <w:tcPr>
            <w:shd w:val="clear" w:fill="BDD6EE"/>
            <w:tcW w:w="2044" w:type="dxa"/>
            <w:vAlign w:val="top"/>
          </w:tcPr>
          <w:p>
            <w:pPr>
              <w:pStyle w:val="TableText"/>
              <w:ind w:left="121"/>
              <w:spacing w:before="58" w:line="227" w:lineRule="auto"/>
              <w:rPr/>
            </w:pPr>
            <w:r>
              <w:rPr>
                <w:b/>
                <w:bCs/>
                <w:spacing w:val="4"/>
              </w:rPr>
              <w:t>互联网医院</w:t>
            </w:r>
          </w:p>
        </w:tc>
        <w:tc>
          <w:tcPr>
            <w:shd w:val="clear" w:fill="BDD6EE"/>
            <w:tcW w:w="2044" w:type="dxa"/>
            <w:vAlign w:val="top"/>
          </w:tcPr>
          <w:p>
            <w:pPr>
              <w:pStyle w:val="TableText"/>
              <w:ind w:left="129" w:right="134" w:hanging="9"/>
              <w:spacing w:before="59" w:line="303" w:lineRule="auto"/>
              <w:rPr/>
            </w:pPr>
            <w:r>
              <w:rPr>
                <w:spacing w:val="8"/>
              </w:rPr>
              <w:t>具备开设互联网医院</w:t>
            </w:r>
            <w:r>
              <w:rPr/>
              <w:t>的资质牌照；</w:t>
            </w:r>
          </w:p>
          <w:p>
            <w:pPr>
              <w:pStyle w:val="TableText"/>
              <w:ind w:left="120"/>
              <w:spacing w:line="227" w:lineRule="auto"/>
              <w:rPr/>
            </w:pPr>
            <w:r>
              <w:rPr>
                <w:spacing w:val="8"/>
              </w:rPr>
              <w:t>专业权威的医疗队伍</w:t>
            </w:r>
          </w:p>
        </w:tc>
        <w:tc>
          <w:tcPr>
            <w:shd w:val="clear" w:fill="BDD6EE"/>
            <w:tcW w:w="2583" w:type="dxa"/>
            <w:vAlign w:val="top"/>
          </w:tcPr>
          <w:p>
            <w:pPr>
              <w:pStyle w:val="TableText"/>
              <w:ind w:left="122" w:right="265" w:firstLine="2"/>
              <w:spacing w:before="60" w:line="288" w:lineRule="auto"/>
              <w:jc w:val="both"/>
              <w:rPr/>
            </w:pPr>
            <w:r>
              <w:rPr>
                <w:b/>
                <w:bCs/>
                <w:spacing w:val="7"/>
              </w:rPr>
              <w:t>北京儿童医院：</w:t>
            </w:r>
            <w:r>
              <w:rPr>
                <w:spacing w:val="7"/>
              </w:rPr>
              <w:t>开通互联</w:t>
            </w:r>
            <w:r>
              <w:rPr>
                <w:spacing w:val="3"/>
              </w:rPr>
              <w:t>网医院，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患者可通过手机</w:t>
            </w:r>
            <w:r>
              <w:rPr>
                <w:spacing w:val="8"/>
              </w:rPr>
              <w:t>实现在线复诊、开药、送</w:t>
            </w:r>
            <w:r>
              <w:rPr>
                <w:spacing w:val="8"/>
              </w:rPr>
              <w:t>药到家等互联网诊疗服务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ind w:left="25" w:right="127" w:firstLine="602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面对数字健康新蓝海，行业玩家纷纷布局抢占</w:t>
      </w:r>
      <w:r>
        <w:rPr>
          <w:rFonts w:ascii="SimSun" w:hAnsi="SimSun" w:eastAsia="SimSun" w:cs="SimSun"/>
          <w:sz w:val="30"/>
          <w:szCs w:val="30"/>
          <w:spacing w:val="-5"/>
        </w:rPr>
        <w:t>，多数玩家聚</w:t>
      </w:r>
      <w:r>
        <w:rPr>
          <w:rFonts w:ascii="SimSun" w:hAnsi="SimSun" w:eastAsia="SimSun" w:cs="SimSun"/>
          <w:sz w:val="30"/>
          <w:szCs w:val="30"/>
          <w:spacing w:val="-5"/>
        </w:rPr>
        <w:t>焦于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1~2 </w:t>
      </w:r>
      <w:r>
        <w:rPr>
          <w:rFonts w:ascii="SimSun" w:hAnsi="SimSun" w:eastAsia="SimSun" w:cs="SimSun"/>
          <w:sz w:val="30"/>
          <w:szCs w:val="30"/>
          <w:spacing w:val="-5"/>
        </w:rPr>
        <w:t>个垂类领域，打造差异化优势，也有京东等少数玩</w:t>
      </w:r>
      <w:r>
        <w:rPr>
          <w:rFonts w:ascii="SimSun" w:hAnsi="SimSun" w:eastAsia="SimSun" w:cs="SimSun"/>
          <w:sz w:val="30"/>
          <w:szCs w:val="30"/>
          <w:spacing w:val="-6"/>
        </w:rPr>
        <w:t>家跻</w:t>
      </w:r>
      <w:r>
        <w:rPr>
          <w:rFonts w:ascii="SimSun" w:hAnsi="SimSun" w:eastAsia="SimSun" w:cs="SimSun"/>
          <w:sz w:val="30"/>
          <w:szCs w:val="30"/>
          <w:spacing w:val="-10"/>
        </w:rPr>
        <w:t>身行业整合者与综合体的角色，全面布局各类产品服务（表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1</w:t>
      </w:r>
      <w:r>
        <w:rPr>
          <w:rFonts w:ascii="SimSun" w:hAnsi="SimSun" w:eastAsia="SimSun" w:cs="SimSun"/>
          <w:sz w:val="30"/>
          <w:szCs w:val="30"/>
          <w:spacing w:val="-10"/>
        </w:rPr>
        <w:t>）。</w:t>
      </w:r>
      <w:r>
        <w:rPr>
          <w:rFonts w:ascii="SimSun" w:hAnsi="SimSun" w:eastAsia="SimSun" w:cs="SimSun"/>
          <w:sz w:val="30"/>
          <w:szCs w:val="30"/>
          <w:spacing w:val="-4"/>
        </w:rPr>
        <w:t>在各细分赛道中，智能健康设备与互联网医院在技术、资质、医</w:t>
      </w:r>
      <w:r>
        <w:rPr>
          <w:rFonts w:ascii="SimSun" w:hAnsi="SimSun" w:eastAsia="SimSun" w:cs="SimSun"/>
          <w:sz w:val="30"/>
          <w:szCs w:val="30"/>
          <w:spacing w:val="-10"/>
        </w:rPr>
        <w:t>疗资源等方面要求严格，切入壁垒较高；行</w:t>
      </w:r>
      <w:r>
        <w:rPr>
          <w:rFonts w:ascii="SimSun" w:hAnsi="SimSun" w:eastAsia="SimSun" w:cs="SimSun"/>
          <w:sz w:val="30"/>
          <w:szCs w:val="30"/>
          <w:spacing w:val="-11"/>
        </w:rPr>
        <w:t>业整合者需聚合医疗、</w:t>
      </w:r>
      <w:r>
        <w:rPr>
          <w:rFonts w:ascii="SimSun" w:hAnsi="SimSun" w:eastAsia="SimSun" w:cs="SimSun"/>
          <w:sz w:val="30"/>
          <w:szCs w:val="30"/>
          <w:spacing w:val="-19"/>
        </w:rPr>
        <w:t>资质、平台、供应链等全方位资源，</w:t>
      </w:r>
      <w:r>
        <w:rPr>
          <w:rFonts w:ascii="SimSun" w:hAnsi="SimSun" w:eastAsia="SimSun" w:cs="SimSu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市场上鲜有。相比</w:t>
      </w:r>
      <w:r>
        <w:rPr>
          <w:rFonts w:ascii="SimSun" w:hAnsi="SimSun" w:eastAsia="SimSun" w:cs="SimSun"/>
          <w:sz w:val="30"/>
          <w:szCs w:val="30"/>
          <w:spacing w:val="-20"/>
        </w:rPr>
        <w:t>之下，</w:t>
      </w:r>
      <w:r>
        <w:rPr>
          <w:rFonts w:ascii="SimSun" w:hAnsi="SimSun" w:eastAsia="SimSun" w:cs="SimSun"/>
          <w:sz w:val="30"/>
          <w:szCs w:val="30"/>
          <w:spacing w:val="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0"/>
        </w:rPr>
        <w:t>提</w:t>
      </w:r>
      <w:r>
        <w:rPr>
          <w:rFonts w:ascii="SimSun" w:hAnsi="SimSun" w:eastAsia="SimSun" w:cs="SimSun"/>
          <w:sz w:val="30"/>
          <w:szCs w:val="30"/>
          <w:spacing w:val="-4"/>
        </w:rPr>
        <w:t>供在线诊疗和健康管理服务的综合健康服务平台、医药电商或医</w:t>
      </w:r>
      <w:r>
        <w:rPr>
          <w:rFonts w:ascii="SimSun" w:hAnsi="SimSun" w:eastAsia="SimSun" w:cs="SimSun"/>
          <w:sz w:val="30"/>
          <w:szCs w:val="30"/>
          <w:spacing w:val="-4"/>
        </w:rPr>
        <w:t>疗知识等垂类应用，两类细分领域的市场壁垒较小，对参与主体</w:t>
      </w:r>
      <w:r>
        <w:rPr>
          <w:rFonts w:ascii="SimSun" w:hAnsi="SimSun" w:eastAsia="SimSun" w:cs="SimSun"/>
          <w:sz w:val="30"/>
          <w:szCs w:val="30"/>
          <w:spacing w:val="-2"/>
        </w:rPr>
        <w:t>来说有较大发挥空间，未来的市场空间潜力大。</w:t>
      </w:r>
    </w:p>
    <w:p>
      <w:pPr>
        <w:ind w:left="27" w:right="241" w:firstLine="596"/>
        <w:spacing w:before="27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．用户需求旺盛但产品尚未普及，不同群体需求呈现差异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化，运动、心理等新型健康需求涌现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8" w:right="232" w:firstLine="597"/>
        <w:spacing w:before="97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根据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月中国电信研究院的线上消费者调研，</w:t>
      </w:r>
      <w:r>
        <w:rPr>
          <w:rFonts w:ascii="SimSun" w:hAnsi="SimSun" w:eastAsia="SimSun" w:cs="SimSun"/>
          <w:sz w:val="30"/>
          <w:szCs w:val="30"/>
          <w:spacing w:val="-5"/>
        </w:rPr>
        <w:t>消费</w:t>
      </w:r>
      <w:r>
        <w:rPr>
          <w:rFonts w:ascii="SimSun" w:hAnsi="SimSun" w:eastAsia="SimSun" w:cs="SimSun"/>
          <w:sz w:val="30"/>
          <w:szCs w:val="30"/>
          <w:spacing w:val="-4"/>
        </w:rPr>
        <w:t>者对于各类数字健康产品已具备较高认知度，但使用过的人并不</w:t>
      </w:r>
      <w:r>
        <w:rPr>
          <w:rFonts w:ascii="SimSun" w:hAnsi="SimSun" w:eastAsia="SimSun" w:cs="SimSun"/>
          <w:sz w:val="30"/>
          <w:szCs w:val="30"/>
          <w:spacing w:val="-7"/>
        </w:rPr>
        <w:t>多，存在较大市场开拓空间（图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</w:t>
      </w:r>
      <w:r>
        <w:rPr>
          <w:rFonts w:ascii="SimSun" w:hAnsi="SimSun" w:eastAsia="SimSun" w:cs="SimSun"/>
          <w:sz w:val="30"/>
          <w:szCs w:val="30"/>
          <w:spacing w:val="-7"/>
        </w:rPr>
        <w:t>）。</w:t>
      </w:r>
    </w:p>
    <w:p>
      <w:pPr>
        <w:spacing w:line="263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937"/>
        <w:spacing w:before="68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1321079</wp:posOffset>
            </wp:positionH>
            <wp:positionV relativeFrom="paragraph">
              <wp:posOffset>-51116</wp:posOffset>
            </wp:positionV>
            <wp:extent cx="3537203" cy="186080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7203" cy="186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  <w:position w:val="-1"/>
        </w:rPr>
        <w:t>7%</w:t>
      </w:r>
    </w:p>
    <w:p>
      <w:pPr>
        <w:ind w:left="3461"/>
        <w:spacing w:line="151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2" style="position:absolute;margin-left:63.3646pt;margin-top:-2.13635pt;mso-position-vertical-relative:text;mso-position-horizontal-relative:text;width:34.05pt;height:13.2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</w:rPr>
                    <w:t>没听说过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4"/>
          <w:position w:val="-2"/>
        </w:rPr>
        <w:t>12%</w:t>
      </w:r>
    </w:p>
    <w:p>
      <w:pPr>
        <w:ind w:left="3142"/>
        <w:spacing w:line="20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</w:rPr>
        <w:t>9%</w:t>
      </w:r>
    </w:p>
    <w:p>
      <w:pPr>
        <w:ind w:left="4999"/>
        <w:spacing w:before="185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  <w:position w:val="-1"/>
        </w:rPr>
        <w:t>27%</w:t>
      </w:r>
    </w:p>
    <w:p>
      <w:pPr>
        <w:ind w:left="5826"/>
        <w:spacing w:line="15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4" style="position:absolute;margin-left:31.757pt;margin-top:-2.1264pt;mso-position-vertical-relative:text;mso-position-horizontal-relative:text;width:65.75pt;height:13.1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  <w:spacing w:val="-1"/>
                    </w:rPr>
                    <w:t>听说过，但不了解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  <w:position w:val="-1"/>
        </w:rPr>
        <w:t>35%</w:t>
      </w:r>
    </w:p>
    <w:p>
      <w:pPr>
        <w:ind w:left="5206"/>
        <w:spacing w:line="20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</w:rPr>
        <w:t>29%</w:t>
      </w:r>
    </w:p>
    <w:p>
      <w:pPr>
        <w:ind w:left="6846"/>
        <w:spacing w:before="186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1"/>
          <w:position w:val="-1"/>
        </w:rPr>
        <w:t>45%</w:t>
      </w:r>
    </w:p>
    <w:p>
      <w:pPr>
        <w:ind w:left="5929"/>
        <w:spacing w:line="15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6" style="position:absolute;margin-left:7.24639pt;margin-top:-2.11133pt;mso-position-vertical-relative:text;mso-position-horizontal-relative:text;width:90.4pt;height:13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</w:rPr>
                    <w:t>有一定了解，但没使用过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  <w:position w:val="-1"/>
        </w:rPr>
        <w:t>36%</w:t>
      </w:r>
    </w:p>
    <w:p>
      <w:pPr>
        <w:ind w:left="7786"/>
        <w:spacing w:before="1" w:line="20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3"/>
        </w:rPr>
        <w:t>54%</w:t>
      </w:r>
    </w:p>
    <w:p>
      <w:pPr>
        <w:ind w:left="4381"/>
        <w:spacing w:before="185" w:line="16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  <w:position w:val="-1"/>
        </w:rPr>
        <w:t>21%</w:t>
      </w:r>
    </w:p>
    <w:p>
      <w:pPr>
        <w:ind w:left="3977"/>
        <w:spacing w:line="152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8" style="position:absolute;margin-left:63.3324pt;margin-top:-2.12128pt;mso-position-vertical-relative:text;mso-position-horizontal-relative:text;width:34.1pt;height:13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</w:rPr>
                    <w:t>有使用过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4"/>
          <w:position w:val="-2"/>
        </w:rPr>
        <w:t>17%</w:t>
      </w:r>
    </w:p>
    <w:p>
      <w:pPr>
        <w:ind w:left="3039"/>
        <w:spacing w:before="1" w:line="203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404040"/>
          <w:spacing w:val="-2"/>
        </w:rPr>
        <w:t>8%</w:t>
      </w:r>
    </w:p>
    <w:p>
      <w:pPr>
        <w:ind w:left="1978"/>
        <w:spacing w:before="190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 xml:space="preserve">       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10%               20%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 xml:space="preserve">        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30%               40%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 xml:space="preserve">                50%               60%</w:t>
      </w:r>
    </w:p>
    <w:p>
      <w:pPr>
        <w:ind w:left="1228"/>
        <w:spacing w:before="218" w:line="19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position w:val="2"/>
        </w:rPr>
        <w:drawing>
          <wp:inline distT="0" distB="0" distL="0" distR="0">
            <wp:extent cx="59435" cy="6095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1"/>
        </w:rPr>
        <w:t>健康综合平台及垂类应用                        </w:t>
      </w:r>
      <w:r>
        <w:rPr>
          <w:sz w:val="16"/>
          <w:szCs w:val="16"/>
          <w:position w:val="2"/>
        </w:rPr>
        <w:drawing>
          <wp:inline distT="0" distB="0" distL="0" distR="0">
            <wp:extent cx="59435" cy="609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1"/>
        </w:rPr>
        <w:t>智能健康设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备                        </w:t>
      </w:r>
      <w:r>
        <w:rPr>
          <w:sz w:val="16"/>
          <w:szCs w:val="16"/>
          <w:position w:val="2"/>
        </w:rPr>
        <w:drawing>
          <wp:inline distT="0" distB="0" distL="0" distR="0">
            <wp:extent cx="59435" cy="6095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5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互联网医院</w:t>
      </w:r>
    </w:p>
    <w:p>
      <w:pPr>
        <w:ind w:left="1252"/>
        <w:spacing w:before="152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数字健康产品的消费者认知及使用情况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5" w:right="149" w:firstLine="602"/>
        <w:spacing w:before="98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1471955</wp:posOffset>
            </wp:positionH>
            <wp:positionV relativeFrom="paragraph">
              <wp:posOffset>1253721</wp:posOffset>
            </wp:positionV>
            <wp:extent cx="3304031" cy="127253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4031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0"/>
          <w:szCs w:val="30"/>
          <w:spacing w:val="-4"/>
        </w:rPr>
        <w:t>银发族无疑是数字健康的重点目标人群，但随着我</w:t>
      </w:r>
      <w:r>
        <w:rPr>
          <w:rFonts w:ascii="SimSun" w:hAnsi="SimSun" w:eastAsia="SimSun" w:cs="SimSun"/>
          <w:sz w:val="30"/>
          <w:szCs w:val="30"/>
          <w:spacing w:val="-5"/>
        </w:rPr>
        <w:t>国重大疾</w:t>
      </w:r>
      <w:r>
        <w:rPr>
          <w:rFonts w:ascii="SimSun" w:hAnsi="SimSun" w:eastAsia="SimSun" w:cs="SimSun"/>
          <w:sz w:val="30"/>
          <w:szCs w:val="30"/>
          <w:spacing w:val="-4"/>
        </w:rPr>
        <w:t>病呈现年轻化趋势，青年人群的自我健康管理意识逐渐增强，也</w:t>
      </w:r>
      <w:r>
        <w:rPr>
          <w:rFonts w:ascii="SimSun" w:hAnsi="SimSun" w:eastAsia="SimSun" w:cs="SimSun"/>
          <w:sz w:val="30"/>
          <w:szCs w:val="30"/>
          <w:spacing w:val="-4"/>
        </w:rPr>
        <w:t>成为了数字健康产品的主力消费群体。他们购买数字健康产品除</w:t>
      </w:r>
      <w:r>
        <w:rPr>
          <w:rFonts w:ascii="SimSun" w:hAnsi="SimSun" w:eastAsia="SimSun" w:cs="SimSun"/>
          <w:sz w:val="30"/>
          <w:szCs w:val="30"/>
          <w:spacing w:val="-18"/>
        </w:rPr>
        <w:t>了给家中的老人和儿童使用外，也有很多人选择购买自用（</w:t>
      </w:r>
      <w:r>
        <w:rPr>
          <w:rFonts w:ascii="SimSun" w:hAnsi="SimSun" w:eastAsia="SimSun" w:cs="SimSun"/>
          <w:sz w:val="30"/>
          <w:szCs w:val="30"/>
          <w:spacing w:val="-19"/>
        </w:rPr>
        <w:t>图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3</w:t>
      </w:r>
      <w:r>
        <w:rPr>
          <w:rFonts w:ascii="SimSun" w:hAnsi="SimSun" w:eastAsia="SimSun" w:cs="SimSun"/>
          <w:sz w:val="30"/>
          <w:szCs w:val="30"/>
          <w:spacing w:val="-19"/>
        </w:rPr>
        <w:t>）。</w:t>
      </w:r>
    </w:p>
    <w:p>
      <w:pPr>
        <w:ind w:left="1525" w:right="6412"/>
        <w:spacing w:before="256" w:line="292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0" style="position:absolute;margin-left:381.448pt;margin-top:12.4872pt;mso-position-vertical-relative:text;mso-position-horizontal-relative:text;width:18.15pt;height:14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2"/>
                    </w:rPr>
                    <w:t>89%</w:t>
                  </w:r>
                </w:p>
              </w:txbxContent>
            </v:textbox>
          </v:shape>
        </w:pict>
      </w:r>
      <w:r>
        <w:pict>
          <v:shape id="_x0000_s12" style="position:absolute;margin-left:249.796pt;margin-top:29.1872pt;mso-position-vertical-relative:text;mso-position-horizontal-relative:text;width:30.15pt;height:30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3"/>
                    <w:spacing w:before="19" w:line="26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1"/>
                    </w:rPr>
                    <w:t>48%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1"/>
                    </w:rPr>
                    <w:t>44%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家中老人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家中儿童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5"/>
        </w:rPr>
        <w:t>自己</w:t>
      </w:r>
    </w:p>
    <w:p>
      <w:pPr>
        <w:ind w:left="1045"/>
        <w:spacing w:before="1" w:line="19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4" style="position:absolute;margin-left:185.998pt;margin-top:-0.36441pt;mso-position-vertical-relative:text;mso-position-horizontal-relative:text;width:32.65pt;height:30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91"/>
                    <w:spacing w:before="20" w:line="26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4"/>
                    </w:rPr>
                    <w:t>27%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2"/>
                    </w:rPr>
                    <w:t>22%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家中基础病患者</w:t>
      </w:r>
    </w:p>
    <w:p>
      <w:pPr>
        <w:ind w:left="82" w:right="6410" w:firstLine="1283"/>
        <w:spacing w:before="110" w:line="302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16" style="position:absolute;margin-left:171.778pt;margin-top:21.8949pt;mso-position-vertical-relative:text;mso-position-horizontal-relative:text;width:17.7pt;height:14.1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404040"/>
                      <w:spacing w:val="-4"/>
                    </w:rPr>
                    <w:t>17%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家中孕产妇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家中体质虚弱敏感的易感人群</w:t>
      </w:r>
    </w:p>
    <w:p>
      <w:pPr>
        <w:ind w:left="2215"/>
        <w:spacing w:before="43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1"/>
        </w:rPr>
        <w:t>0%                   20%                  40%                  60%                  80%       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"/>
        </w:rPr>
        <w:t xml:space="preserve">           100%</w:t>
      </w:r>
    </w:p>
    <w:p>
      <w:pPr>
        <w:ind w:left="1401"/>
        <w:spacing w:before="194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青年人购买数字健康产品的使用对象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26" w:right="151" w:firstLine="604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不同年龄群体对数字健康产品的关注卖点和功能需求有差</w:t>
      </w:r>
      <w:r>
        <w:rPr>
          <w:rFonts w:ascii="SimSun" w:hAnsi="SimSun" w:eastAsia="SimSun" w:cs="SimSun"/>
          <w:sz w:val="30"/>
          <w:szCs w:val="30"/>
          <w:spacing w:val="-9"/>
        </w:rPr>
        <w:t>异，青年人更关心实用性，在意产品功能是否齐全、有效， 对身</w:t>
      </w:r>
      <w:r>
        <w:rPr>
          <w:rFonts w:ascii="SimSun" w:hAnsi="SimSun" w:eastAsia="SimSun" w:cs="SimSun"/>
          <w:sz w:val="30"/>
          <w:szCs w:val="30"/>
          <w:spacing w:val="-4"/>
        </w:rPr>
        <w:t>体指标监测、健康指导等预防性功能需求更高。而老年人则更关</w:t>
      </w:r>
      <w:r>
        <w:rPr>
          <w:rFonts w:ascii="SimSun" w:hAnsi="SimSun" w:eastAsia="SimSun" w:cs="SimSun"/>
          <w:sz w:val="30"/>
          <w:szCs w:val="30"/>
          <w:spacing w:val="-9"/>
        </w:rPr>
        <w:t>注便捷性，希望产品操作简洁易懂、质量有保障， 减少学习和售</w:t>
      </w:r>
      <w:r>
        <w:rPr>
          <w:rFonts w:ascii="SimSun" w:hAnsi="SimSun" w:eastAsia="SimSun" w:cs="SimSun"/>
          <w:sz w:val="30"/>
          <w:szCs w:val="30"/>
          <w:spacing w:val="-11"/>
        </w:rPr>
        <w:t>后成本，对健康异常预警、与家人共享健康数据的功能需求更高。</w:t>
      </w:r>
    </w:p>
    <w:p>
      <w:pPr>
        <w:ind w:left="25" w:firstLine="617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随着生活水平和健康意识的提升，居民对饮食、运动、心理</w:t>
      </w:r>
      <w:r>
        <w:rPr>
          <w:rFonts w:ascii="SimSun" w:hAnsi="SimSun" w:eastAsia="SimSun" w:cs="SimSun"/>
          <w:sz w:val="30"/>
          <w:szCs w:val="30"/>
          <w:spacing w:val="-4"/>
        </w:rPr>
        <w:t>等方面的健康需求也不断增强。运动健身、饮食营养已成为全年</w:t>
      </w:r>
      <w:r>
        <w:rPr>
          <w:rFonts w:ascii="SimSun" w:hAnsi="SimSun" w:eastAsia="SimSun" w:cs="SimSun"/>
          <w:sz w:val="30"/>
          <w:szCs w:val="30"/>
          <w:spacing w:val="-5"/>
        </w:rPr>
        <w:t>龄段共同关注的新潮流，而高压行业人群面对压力及情绪</w:t>
      </w:r>
      <w:r>
        <w:rPr>
          <w:rFonts w:ascii="SimSun" w:hAnsi="SimSun" w:eastAsia="SimSun" w:cs="SimSun"/>
          <w:sz w:val="30"/>
          <w:szCs w:val="30"/>
          <w:spacing w:val="-6"/>
        </w:rPr>
        <w:t>波动大、</w:t>
      </w:r>
    </w:p>
    <w:p>
      <w:pPr>
        <w:spacing w:line="260" w:lineRule="auto"/>
        <w:sectPr>
          <w:headerReference w:type="default" r:id="rId2"/>
          <w:pgSz w:w="11907" w:h="16839"/>
          <w:pgMar w:top="400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3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失眠困扰，对心理咨询、睡眠调节等健康需求更加迫切。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二、运营商数字健康业务发展情况对标分析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5" w:right="125" w:firstLine="601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运营商通过布局数字健康这一市场前景广阔、用户关</w:t>
      </w:r>
      <w:r>
        <w:rPr>
          <w:rFonts w:ascii="SimSun" w:hAnsi="SimSun" w:eastAsia="SimSun" w:cs="SimSun"/>
          <w:sz w:val="30"/>
          <w:szCs w:val="30"/>
          <w:spacing w:val="-5"/>
        </w:rPr>
        <w:t>注度高</w:t>
      </w:r>
      <w:r>
        <w:rPr>
          <w:rFonts w:ascii="SimSun" w:hAnsi="SimSun" w:eastAsia="SimSun" w:cs="SimSun"/>
          <w:sz w:val="30"/>
          <w:szCs w:val="30"/>
          <w:spacing w:val="-4"/>
        </w:rPr>
        <w:t>的细分领域，丰富数字生活服务场景，为存量用户提供更丰富的</w:t>
      </w:r>
      <w:r>
        <w:rPr>
          <w:rFonts w:ascii="SimSun" w:hAnsi="SimSun" w:eastAsia="SimSun" w:cs="SimSun"/>
          <w:sz w:val="30"/>
          <w:szCs w:val="30"/>
        </w:rPr>
        <w:t>权益填充，是能够有效提升用户粘性和价值的价值增值型业务。</w:t>
      </w:r>
    </w:p>
    <w:p>
      <w:pPr>
        <w:ind w:left="1809"/>
        <w:spacing w:before="260" w:line="215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运营商数字健康业务布局情况</w:t>
      </w:r>
    </w:p>
    <w:p>
      <w:pPr>
        <w:ind w:firstLine="21"/>
        <w:spacing w:before="79" w:line="3867" w:lineRule="exact"/>
        <w:rPr/>
      </w:pPr>
      <w:r>
        <w:rPr>
          <w:position w:val="-77"/>
        </w:rPr>
        <w:drawing>
          <wp:inline distT="0" distB="0" distL="0" distR="0">
            <wp:extent cx="5263895" cy="245516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3895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25" w:firstLine="658"/>
        <w:spacing w:before="9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目前三大运营商在数字健康产业布局的战略方向大致相似，</w:t>
      </w:r>
      <w:r>
        <w:rPr>
          <w:rFonts w:ascii="SimSun" w:hAnsi="SimSun" w:eastAsia="SimSun" w:cs="SimSun"/>
          <w:sz w:val="30"/>
          <w:szCs w:val="30"/>
          <w:spacing w:val="-9"/>
        </w:rPr>
        <w:t>以银发群体的居家养老场景为主要切入点拓展市场。其中， 电信</w:t>
      </w:r>
      <w:r>
        <w:rPr>
          <w:rFonts w:ascii="SimSun" w:hAnsi="SimSun" w:eastAsia="SimSun" w:cs="SimSun"/>
          <w:sz w:val="30"/>
          <w:szCs w:val="30"/>
          <w:spacing w:val="-4"/>
        </w:rPr>
        <w:t>与移动均依托集约能力平台，开发大中小屏入口链接用户，提供</w:t>
      </w:r>
      <w:r>
        <w:rPr>
          <w:rFonts w:ascii="SimSun" w:hAnsi="SimSun" w:eastAsia="SimSun" w:cs="SimSun"/>
          <w:sz w:val="30"/>
          <w:szCs w:val="30"/>
          <w:spacing w:val="-9"/>
        </w:rPr>
        <w:t>健康管理、健康安全监测、在线诊疗等服务； 联通除养老场景外</w:t>
      </w:r>
      <w:r>
        <w:rPr>
          <w:rFonts w:ascii="SimSun" w:hAnsi="SimSun" w:eastAsia="SimSun" w:cs="SimSun"/>
          <w:sz w:val="30"/>
          <w:szCs w:val="30"/>
          <w:spacing w:val="-9"/>
        </w:rPr>
        <w:t>还拓展了运动、饮食等新场景， 且各省积极通过自研、合作等方</w:t>
      </w:r>
      <w:r>
        <w:rPr>
          <w:rFonts w:ascii="SimSun" w:hAnsi="SimSun" w:eastAsia="SimSun" w:cs="SimSun"/>
          <w:sz w:val="30"/>
          <w:szCs w:val="30"/>
          <w:spacing w:val="-7"/>
        </w:rPr>
        <w:t>式推出特色健康服务平台（表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</w:t>
      </w:r>
      <w:r>
        <w:rPr>
          <w:rFonts w:ascii="SimSun" w:hAnsi="SimSun" w:eastAsia="SimSun" w:cs="SimSun"/>
          <w:sz w:val="30"/>
          <w:szCs w:val="30"/>
          <w:spacing w:val="-7"/>
        </w:rPr>
        <w:t>）。 对比来看，中国电信数字健</w:t>
      </w:r>
      <w:r>
        <w:rPr>
          <w:rFonts w:ascii="SimSun" w:hAnsi="SimSun" w:eastAsia="SimSun" w:cs="SimSun"/>
          <w:sz w:val="30"/>
          <w:szCs w:val="30"/>
          <w:spacing w:val="-6"/>
        </w:rPr>
        <w:t>康服务场景布局相对单一，产品体系也并未按用户需求进行划分，</w:t>
      </w:r>
      <w:r>
        <w:rPr>
          <w:rFonts w:ascii="SimSun" w:hAnsi="SimSun" w:eastAsia="SimSun" w:cs="SimSun"/>
          <w:sz w:val="30"/>
          <w:szCs w:val="30"/>
          <w:spacing w:val="-3"/>
        </w:rPr>
        <w:t>在战略层面需提升前瞻意识，加强布局抢占先机。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三、中国电信数字健康业务发展问题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6" w:right="235" w:firstLine="599"/>
        <w:spacing w:before="9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根据调研，中国电信目前在数字健康业务发展过</w:t>
      </w:r>
      <w:r>
        <w:rPr>
          <w:rFonts w:ascii="SimSun" w:hAnsi="SimSun" w:eastAsia="SimSun" w:cs="SimSun"/>
          <w:sz w:val="30"/>
          <w:szCs w:val="30"/>
          <w:spacing w:val="-5"/>
        </w:rPr>
        <w:t>程中，产品</w:t>
      </w:r>
      <w:r>
        <w:rPr>
          <w:rFonts w:ascii="SimSun" w:hAnsi="SimSun" w:eastAsia="SimSun" w:cs="SimSun"/>
          <w:sz w:val="30"/>
          <w:szCs w:val="30"/>
          <w:spacing w:val="-2"/>
        </w:rPr>
        <w:t>包装、平台活跃、数据采集等方面也还存在一些问题。</w:t>
      </w:r>
    </w:p>
    <w:p>
      <w:pPr>
        <w:spacing w:line="260" w:lineRule="auto"/>
        <w:sectPr>
          <w:headerReference w:type="default" r:id="rId8"/>
          <w:pgSz w:w="11907" w:h="16839"/>
          <w:pgMar w:top="400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6" w:right="15" w:firstLine="610"/>
        <w:spacing w:before="98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．产品：智能健康终端种类有限，且未按细分人群差异化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包装</w:t>
      </w:r>
    </w:p>
    <w:p>
      <w:pPr>
        <w:rPr>
          <w:rFonts w:ascii="Arial"/>
          <w:sz w:val="21"/>
        </w:rPr>
      </w:pPr>
      <w:r/>
    </w:p>
    <w:p>
      <w:pPr>
        <w:ind w:left="25" w:right="12" w:firstLine="599"/>
        <w:spacing w:before="98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据调研，电信目前在实体厅店出售的智能健康产品主要存在</w:t>
      </w:r>
      <w:r>
        <w:rPr>
          <w:rFonts w:ascii="SimSun" w:hAnsi="SimSun" w:eastAsia="SimSun" w:cs="SimSun"/>
          <w:sz w:val="30"/>
          <w:szCs w:val="30"/>
          <w:spacing w:val="-4"/>
        </w:rPr>
        <w:t>两大问题，难对用户形成有效吸引：一是终端种类有限，品牌和</w:t>
      </w:r>
      <w:r>
        <w:rPr>
          <w:rFonts w:ascii="SimSun" w:hAnsi="SimSun" w:eastAsia="SimSun" w:cs="SimSun"/>
          <w:sz w:val="30"/>
          <w:szCs w:val="30"/>
          <w:spacing w:val="-4"/>
        </w:rPr>
        <w:t>型号较单一导致用户选择少；二是智能健康产品礼包未按不同细</w:t>
      </w:r>
      <w:r>
        <w:rPr>
          <w:rFonts w:ascii="SimSun" w:hAnsi="SimSun" w:eastAsia="SimSun" w:cs="SimSun"/>
          <w:sz w:val="30"/>
          <w:szCs w:val="30"/>
          <w:spacing w:val="-4"/>
        </w:rPr>
        <w:t>分人群的需求进行差异化包装。以某省为例，电信在售的智能健</w:t>
      </w:r>
      <w:r>
        <w:rPr>
          <w:rFonts w:ascii="SimSun" w:hAnsi="SimSun" w:eastAsia="SimSun" w:cs="SimSun"/>
          <w:sz w:val="30"/>
          <w:szCs w:val="30"/>
          <w:spacing w:val="-15"/>
        </w:rPr>
        <w:t>康产品仅有血压仪、血糖仪两类，</w:t>
      </w:r>
      <w:r>
        <w:rPr>
          <w:rFonts w:ascii="SimSun" w:hAnsi="SimSun" w:eastAsia="SimSun" w:cs="SimSu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品牌以乐心、诺凡等为主</w:t>
      </w:r>
      <w:r>
        <w:rPr>
          <w:rFonts w:ascii="SimSun" w:hAnsi="SimSun" w:eastAsia="SimSun" w:cs="SimSun"/>
          <w:sz w:val="30"/>
          <w:szCs w:val="30"/>
          <w:spacing w:val="-16"/>
        </w:rPr>
        <w:t>， 每</w:t>
      </w:r>
      <w:r>
        <w:rPr>
          <w:rFonts w:ascii="SimSun" w:hAnsi="SimSun" w:eastAsia="SimSun" w:cs="SimSun"/>
          <w:sz w:val="30"/>
          <w:szCs w:val="30"/>
          <w:spacing w:val="-6"/>
        </w:rPr>
        <w:t>类产品仅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1~2 </w:t>
      </w:r>
      <w:r>
        <w:rPr>
          <w:rFonts w:ascii="SimSun" w:hAnsi="SimSun" w:eastAsia="SimSun" w:cs="SimSun"/>
          <w:sz w:val="30"/>
          <w:szCs w:val="30"/>
          <w:spacing w:val="-6"/>
        </w:rPr>
        <w:t>个型号。</w:t>
      </w:r>
    </w:p>
    <w:p>
      <w:pPr>
        <w:ind w:left="25" w:right="15" w:firstLine="608"/>
        <w:spacing w:before="24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另外，健康会员这类终端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服务融合叠加包产品能有效提升</w:t>
      </w:r>
      <w:r>
        <w:rPr>
          <w:rFonts w:ascii="SimSun" w:hAnsi="SimSun" w:eastAsia="SimSun" w:cs="SimSun"/>
          <w:sz w:val="30"/>
          <w:szCs w:val="30"/>
          <w:spacing w:val="-8"/>
        </w:rPr>
        <w:t>用户价值和粘性、拉动平台使用和数据采集，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但目前宣传推广力</w:t>
      </w:r>
      <w:r>
        <w:rPr>
          <w:rFonts w:ascii="SimSun" w:hAnsi="SimSun" w:eastAsia="SimSun" w:cs="SimSun"/>
          <w:sz w:val="30"/>
          <w:szCs w:val="30"/>
          <w:spacing w:val="-2"/>
        </w:rPr>
        <w:t>度不足，调研的大部分实体厅店中均未见相关产品</w:t>
      </w:r>
      <w:r>
        <w:rPr>
          <w:rFonts w:ascii="SimSun" w:hAnsi="SimSun" w:eastAsia="SimSun" w:cs="SimSun"/>
          <w:sz w:val="30"/>
          <w:szCs w:val="30"/>
          <w:spacing w:val="-3"/>
        </w:rPr>
        <w:t>销售。</w:t>
      </w:r>
    </w:p>
    <w:p>
      <w:pPr>
        <w:ind w:left="27" w:right="16" w:firstLine="596"/>
        <w:spacing w:before="28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．平台：平台使用频率低，设备和平台之间未形成有效联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动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13" w:firstLine="656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目前，电信的智能健康产品和服务主要通过小翼管家平台承</w:t>
      </w:r>
      <w:r>
        <w:rPr>
          <w:rFonts w:ascii="SimSun" w:hAnsi="SimSun" w:eastAsia="SimSun" w:cs="SimSun"/>
          <w:sz w:val="30"/>
          <w:szCs w:val="30"/>
          <w:spacing w:val="-4"/>
        </w:rPr>
        <w:t>载，用户将设备与平台绑定可享受更多个性化健康服务。但调研</w:t>
      </w:r>
      <w:r>
        <w:rPr>
          <w:rFonts w:ascii="SimSun" w:hAnsi="SimSun" w:eastAsia="SimSun" w:cs="SimSun"/>
          <w:sz w:val="30"/>
          <w:szCs w:val="30"/>
          <w:spacing w:val="4"/>
        </w:rPr>
        <w:t>发现，购买健康设备的用户对平台使用率较低</w:t>
      </w: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,</w:t>
      </w:r>
      <w:r>
        <w:rPr>
          <w:rFonts w:ascii="SimSun" w:hAnsi="SimSun" w:eastAsia="SimSun" w:cs="SimSun"/>
          <w:sz w:val="30"/>
          <w:szCs w:val="30"/>
          <w:spacing w:val="4"/>
        </w:rPr>
        <w:t>主要存在两方面</w:t>
      </w:r>
      <w:r>
        <w:rPr>
          <w:rFonts w:ascii="SimSun" w:hAnsi="SimSun" w:eastAsia="SimSun" w:cs="SimSun"/>
          <w:sz w:val="30"/>
          <w:szCs w:val="30"/>
          <w:spacing w:val="-14"/>
        </w:rPr>
        <w:t>制约因素：</w:t>
      </w:r>
    </w:p>
    <w:p>
      <w:pPr>
        <w:ind w:left="34" w:right="12" w:firstLine="596"/>
        <w:spacing w:before="27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一方面，营销人员在销售智能健康产品礼包时，未介绍及引</w:t>
      </w:r>
      <w:r>
        <w:rPr>
          <w:rFonts w:ascii="SimSun" w:hAnsi="SimSun" w:eastAsia="SimSun" w:cs="SimSun"/>
          <w:sz w:val="30"/>
          <w:szCs w:val="30"/>
          <w:spacing w:val="-2"/>
        </w:rPr>
        <w:t>导用户下载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APP</w:t>
      </w:r>
      <w:r>
        <w:rPr>
          <w:rFonts w:ascii="Times New Roman" w:hAnsi="Times New Roman" w:eastAsia="Times New Roman" w:cs="Times New Roman"/>
          <w:sz w:val="30"/>
          <w:szCs w:val="30"/>
          <w:spacing w:val="7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并绑定设备，部分用户对小翼管家</w:t>
      </w:r>
      <w:r>
        <w:rPr>
          <w:rFonts w:ascii="SimSun" w:hAnsi="SimSun" w:eastAsia="SimSun" w:cs="SimSun"/>
          <w:sz w:val="30"/>
          <w:szCs w:val="30"/>
          <w:spacing w:val="-3"/>
        </w:rPr>
        <w:t>功能“不知</w:t>
      </w:r>
      <w:r>
        <w:rPr>
          <w:rFonts w:ascii="SimSun" w:hAnsi="SimSun" w:eastAsia="SimSun" w:cs="SimSun"/>
          <w:sz w:val="30"/>
          <w:szCs w:val="30"/>
          <w:spacing w:val="-12"/>
        </w:rPr>
        <w:t>晓、不了解”；且部分终端（如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4G </w:t>
      </w:r>
      <w:r>
        <w:rPr>
          <w:rFonts w:ascii="SimSun" w:hAnsi="SimSun" w:eastAsia="SimSun" w:cs="SimSun"/>
          <w:sz w:val="30"/>
          <w:szCs w:val="30"/>
          <w:spacing w:val="-12"/>
        </w:rPr>
        <w:t>版）只能使用设备品牌自有平</w:t>
      </w:r>
      <w:r>
        <w:rPr>
          <w:rFonts w:ascii="SimSun" w:hAnsi="SimSun" w:eastAsia="SimSun" w:cs="SimSun"/>
          <w:sz w:val="30"/>
          <w:szCs w:val="30"/>
          <w:spacing w:val="-3"/>
        </w:rPr>
        <w:t>台，无法与小翼管家做强校验，导致用户“不能用</w:t>
      </w:r>
      <w:r>
        <w:rPr>
          <w:rFonts w:ascii="SimSun" w:hAnsi="SimSun" w:eastAsia="SimSun" w:cs="SimSun"/>
          <w:sz w:val="30"/>
          <w:szCs w:val="30"/>
          <w:spacing w:val="-9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”；</w:t>
      </w:r>
    </w:p>
    <w:p>
      <w:pPr>
        <w:ind w:left="27" w:right="14" w:firstLine="605"/>
        <w:spacing w:before="271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另一方面，小翼管家平台存在部分功能阉割、连接不稳定等</w:t>
      </w:r>
      <w:r>
        <w:rPr>
          <w:rFonts w:ascii="SimSun" w:hAnsi="SimSun" w:eastAsia="SimSun" w:cs="SimSun"/>
          <w:sz w:val="30"/>
          <w:szCs w:val="30"/>
          <w:spacing w:val="-6"/>
        </w:rPr>
        <w:t>联动问题，影响用户体验，使用户“不想用”。</w:t>
      </w:r>
    </w:p>
    <w:p>
      <w:pPr>
        <w:ind w:left="29" w:right="17" w:firstLine="591"/>
        <w:spacing w:before="270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．数据：智能设备数据采集不完整，未充分赋能业务经营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分析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29" w:right="13" w:firstLine="632"/>
        <w:spacing w:before="98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由于小翼管家平台使用率低，导致未连接平台的智能健康设</w:t>
      </w:r>
      <w:r>
        <w:rPr>
          <w:rFonts w:ascii="SimSun" w:hAnsi="SimSun" w:eastAsia="SimSun" w:cs="SimSun"/>
          <w:sz w:val="30"/>
          <w:szCs w:val="30"/>
          <w:spacing w:val="-4"/>
        </w:rPr>
        <w:t>备数据无法采集，大量有价值的数据流失，无法形成完整用户健</w:t>
      </w:r>
    </w:p>
    <w:p>
      <w:pPr>
        <w:spacing w:line="260" w:lineRule="auto"/>
        <w:sectPr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5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康画像，制约后续数字健康产品及服务的精准推荐。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right="110" w:firstLine="601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此外，电信尚未将采集到的数据充分用于数据</w:t>
      </w:r>
      <w:r>
        <w:rPr>
          <w:rFonts w:ascii="SimSun" w:hAnsi="SimSun" w:eastAsia="SimSun" w:cs="SimSun"/>
          <w:sz w:val="30"/>
          <w:szCs w:val="30"/>
          <w:spacing w:val="-5"/>
        </w:rPr>
        <w:t>赋能。调研发</w:t>
      </w:r>
      <w:r>
        <w:rPr>
          <w:rFonts w:ascii="SimSun" w:hAnsi="SimSun" w:eastAsia="SimSun" w:cs="SimSun"/>
          <w:sz w:val="30"/>
          <w:szCs w:val="30"/>
          <w:spacing w:val="-4"/>
        </w:rPr>
        <w:t>现，目前小翼管家采集的数据由数字生活公司集约运营，省公司</w:t>
      </w:r>
      <w:r>
        <w:rPr>
          <w:rFonts w:ascii="SimSun" w:hAnsi="SimSun" w:eastAsia="SimSun" w:cs="SimSun"/>
          <w:sz w:val="30"/>
          <w:szCs w:val="30"/>
          <w:spacing w:val="-4"/>
        </w:rPr>
        <w:t>层面对该部分数据的掌握权低，导致无法充分发挥数据价值，赋</w:t>
      </w:r>
      <w:r>
        <w:rPr>
          <w:rFonts w:ascii="SimSun" w:hAnsi="SimSun" w:eastAsia="SimSun" w:cs="SimSun"/>
          <w:sz w:val="30"/>
          <w:szCs w:val="30"/>
          <w:spacing w:val="-3"/>
        </w:rPr>
        <w:t>能省公司产品包装、客户营销和经营分析。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四、中国电信数字健康业务发展建议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26" w:right="107" w:firstLine="602"/>
        <w:spacing w:before="9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数字健康业务发展应根据用户需求调整战略布局</w:t>
      </w:r>
      <w:r>
        <w:rPr>
          <w:rFonts w:ascii="SimSun" w:hAnsi="SimSun" w:eastAsia="SimSun" w:cs="SimSun"/>
          <w:sz w:val="30"/>
          <w:szCs w:val="30"/>
          <w:spacing w:val="-5"/>
        </w:rPr>
        <w:t>，聚焦线上</w:t>
      </w:r>
      <w:r>
        <w:rPr>
          <w:rFonts w:ascii="SimSun" w:hAnsi="SimSun" w:eastAsia="SimSun" w:cs="SimSun"/>
          <w:sz w:val="30"/>
          <w:szCs w:val="30"/>
          <w:spacing w:val="-4"/>
        </w:rPr>
        <w:t>健康综合服务平台这一细分领域，进一步深耕设备与数据上云管</w:t>
      </w:r>
      <w:r>
        <w:rPr>
          <w:rFonts w:ascii="SimSun" w:hAnsi="SimSun" w:eastAsia="SimSun" w:cs="SimSun"/>
          <w:sz w:val="30"/>
          <w:szCs w:val="30"/>
          <w:spacing w:val="-7"/>
        </w:rPr>
        <w:t>理、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 </w:t>
      </w:r>
      <w:r>
        <w:rPr>
          <w:rFonts w:ascii="SimSun" w:hAnsi="SimSun" w:eastAsia="SimSun" w:cs="SimSun"/>
          <w:sz w:val="30"/>
          <w:szCs w:val="30"/>
          <w:spacing w:val="-7"/>
        </w:rPr>
        <w:t>服务等核心能力，加强与医疗、养老、民政等生态机构合</w:t>
      </w:r>
      <w:r>
        <w:rPr>
          <w:rFonts w:ascii="SimSun" w:hAnsi="SimSun" w:eastAsia="SimSun" w:cs="SimSun"/>
          <w:sz w:val="30"/>
          <w:szCs w:val="30"/>
          <w:spacing w:val="-4"/>
        </w:rPr>
        <w:t>作，利用下沉渠道深度连结家庭用户。</w:t>
      </w:r>
    </w:p>
    <w:p>
      <w:pPr>
        <w:ind w:left="26" w:right="116" w:firstLine="610"/>
        <w:spacing w:before="281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．强化数字健康平台核心能力，基于海量数据创新价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值及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服务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5" w:right="2" w:firstLine="608"/>
        <w:spacing w:before="97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强化标准化数据接口、多维健康数据采集、定制化健康计划、</w:t>
      </w:r>
      <w:r>
        <w:rPr>
          <w:rFonts w:ascii="SimSun" w:hAnsi="SimSun" w:eastAsia="SimSun" w:cs="SimSun"/>
          <w:sz w:val="30"/>
          <w:szCs w:val="30"/>
          <w:spacing w:val="-4"/>
        </w:rPr>
        <w:t>疾病预测模型等平台核心数字能力。</w:t>
      </w:r>
    </w:p>
    <w:p>
      <w:pPr>
        <w:ind w:left="25" w:firstLine="599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对内，加强健康终端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健康会员融合产品的营销推广</w:t>
      </w:r>
      <w:r>
        <w:rPr>
          <w:rFonts w:ascii="SimSun" w:hAnsi="SimSun" w:eastAsia="SimSun" w:cs="SimSun"/>
          <w:sz w:val="30"/>
          <w:szCs w:val="30"/>
        </w:rPr>
        <w:t>，引导</w:t>
      </w:r>
      <w:r>
        <w:rPr>
          <w:rFonts w:ascii="SimSun" w:hAnsi="SimSun" w:eastAsia="SimSun" w:cs="SimSun"/>
          <w:sz w:val="30"/>
          <w:szCs w:val="30"/>
          <w:spacing w:val="-4"/>
        </w:rPr>
        <w:t>用户将智能健康设备与小翼管家绑定，推动多设备与数字健康平</w:t>
      </w:r>
      <w:r>
        <w:rPr>
          <w:rFonts w:ascii="SimSun" w:hAnsi="SimSun" w:eastAsia="SimSun" w:cs="SimSun"/>
          <w:sz w:val="30"/>
          <w:szCs w:val="30"/>
        </w:rPr>
        <w:t>台的数据互联。并将设备数据与体检、就诊、购药等数据打通，</w:t>
      </w:r>
      <w:r>
        <w:rPr>
          <w:rFonts w:ascii="SimSun" w:hAnsi="SimSun" w:eastAsia="SimSun" w:cs="SimSun"/>
          <w:sz w:val="30"/>
          <w:szCs w:val="30"/>
          <w:spacing w:val="-4"/>
        </w:rPr>
        <w:t>建立全方位的用户数字健康档案，提供个性化服务。同时加强数</w:t>
      </w:r>
      <w:r>
        <w:rPr>
          <w:rFonts w:ascii="SimSun" w:hAnsi="SimSun" w:eastAsia="SimSun" w:cs="SimSun"/>
          <w:sz w:val="30"/>
          <w:szCs w:val="30"/>
        </w:rPr>
        <w:t>据在企业内部的流通，充分发挥数据价值，赋能业务经营分析。</w:t>
      </w:r>
    </w:p>
    <w:p>
      <w:pPr>
        <w:ind w:left="28" w:right="107" w:firstLine="596"/>
        <w:spacing w:before="27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对外，依托平台能力与医疗、药品、养老、保险、</w:t>
      </w:r>
      <w:r>
        <w:rPr>
          <w:rFonts w:ascii="SimSun" w:hAnsi="SimSun" w:eastAsia="SimSun" w:cs="SimSun"/>
          <w:sz w:val="30"/>
          <w:szCs w:val="30"/>
          <w:spacing w:val="-5"/>
        </w:rPr>
        <w:t>体育等机</w:t>
      </w:r>
      <w:r>
        <w:rPr>
          <w:rFonts w:ascii="SimSun" w:hAnsi="SimSun" w:eastAsia="SimSun" w:cs="SimSun"/>
          <w:sz w:val="30"/>
          <w:szCs w:val="30"/>
          <w:spacing w:val="-9"/>
        </w:rPr>
        <w:t>构开展广泛合作，促进产业融合、内容多元， 创新商业场景及服</w:t>
      </w:r>
      <w:r>
        <w:rPr>
          <w:rFonts w:ascii="SimSun" w:hAnsi="SimSun" w:eastAsia="SimSun" w:cs="SimSun"/>
          <w:sz w:val="30"/>
          <w:szCs w:val="30"/>
          <w:spacing w:val="-11"/>
        </w:rPr>
        <w:t>务价值。</w:t>
      </w:r>
    </w:p>
    <w:p>
      <w:pPr>
        <w:ind w:left="31" w:right="116" w:firstLine="593"/>
        <w:spacing w:before="273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．以客户为中心重构产品体系，深挖用户需求延伸健康场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景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7" w:right="107" w:firstLine="609"/>
        <w:spacing w:before="98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改变目前各种健康产品的简单堆砌的产品体系，转变为以客</w:t>
      </w:r>
      <w:r>
        <w:rPr>
          <w:rFonts w:ascii="SimSun" w:hAnsi="SimSun" w:eastAsia="SimSun" w:cs="SimSun"/>
          <w:sz w:val="30"/>
          <w:szCs w:val="30"/>
          <w:spacing w:val="-4"/>
        </w:rPr>
        <w:t>户需求为维度的产品设计和组合包装。加强健康场景与教育、安</w:t>
      </w:r>
    </w:p>
    <w:p>
      <w:pPr>
        <w:spacing w:line="262" w:lineRule="auto"/>
        <w:sectPr>
          <w:pgSz w:w="11907" w:h="16839"/>
          <w:pgMar w:top="400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9" w:firstLine="15"/>
        <w:spacing w:before="97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防、娱乐等其他家庭场景的融通， 并将各类智能设备、服务、特</w:t>
      </w:r>
      <w:r>
        <w:rPr>
          <w:rFonts w:ascii="SimSun" w:hAnsi="SimSun" w:eastAsia="SimSun" w:cs="SimSun"/>
          <w:sz w:val="30"/>
          <w:szCs w:val="30"/>
        </w:rPr>
        <w:t>色号卡和宽带深度融合，以此推出满足不同客户需求的服</w:t>
      </w:r>
      <w:r>
        <w:rPr>
          <w:rFonts w:ascii="SimSun" w:hAnsi="SimSun" w:eastAsia="SimSun" w:cs="SimSun"/>
          <w:sz w:val="30"/>
          <w:szCs w:val="30"/>
          <w:spacing w:val="-1"/>
        </w:rPr>
        <w:t>务包。</w:t>
      </w:r>
    </w:p>
    <w:p>
      <w:pPr>
        <w:spacing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从而实现从单一设备销售到场景化服务的升级，提升用户</w:t>
      </w:r>
      <w:r>
        <w:rPr>
          <w:rFonts w:ascii="SimSun" w:hAnsi="SimSun" w:eastAsia="SimSun" w:cs="SimSun"/>
          <w:sz w:val="30"/>
          <w:szCs w:val="30"/>
          <w:spacing w:val="-1"/>
        </w:rPr>
        <w:t>价值。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5" w:right="21" w:firstLine="605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关注银发族养老之外的其他各年龄段细分群体的健康需求，</w:t>
      </w:r>
      <w:r>
        <w:rPr>
          <w:rFonts w:ascii="SimSun" w:hAnsi="SimSun" w:eastAsia="SimSun" w:cs="SimSun"/>
          <w:sz w:val="30"/>
          <w:szCs w:val="30"/>
          <w:spacing w:val="-4"/>
        </w:rPr>
        <w:t>在提供传统医疗健康服务的基础上，拓展运动、心理、健康社交</w:t>
      </w:r>
      <w:r>
        <w:rPr>
          <w:rFonts w:ascii="SimSun" w:hAnsi="SimSun" w:eastAsia="SimSun" w:cs="SimSun"/>
          <w:sz w:val="30"/>
          <w:szCs w:val="30"/>
          <w:spacing w:val="-4"/>
        </w:rPr>
        <w:t>等新场景，打造差异化竞争优势。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62" w:lineRule="auto"/>
        <w:rPr>
          <w:rFonts w:ascii="Arial"/>
          <w:sz w:val="21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269519</wp:posOffset>
            </wp:positionH>
            <wp:positionV relativeFrom="paragraph">
              <wp:posOffset>218988</wp:posOffset>
            </wp:positionV>
            <wp:extent cx="778763" cy="108966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8763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03"/>
        <w:spacing w:before="91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彭淇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【18144840722】</w:t>
      </w:r>
    </w:p>
    <w:p>
      <w:pPr>
        <w:ind w:left="2391" w:right="441" w:firstLine="290"/>
        <w:spacing w:before="117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一级分析师，暨南大学硕士，从事通信行业</w:t>
      </w:r>
      <w:r>
        <w:rPr>
          <w:rFonts w:ascii="KaiTi" w:hAnsi="KaiTi" w:eastAsia="KaiTi" w:cs="KaiTi"/>
          <w:sz w:val="28"/>
          <w:szCs w:val="28"/>
          <w:spacing w:val="-1"/>
        </w:rPr>
        <w:t>客户需求、用户体验、产品管理研究工作，近</w:t>
      </w:r>
      <w:r>
        <w:rPr>
          <w:rFonts w:ascii="KaiTi" w:hAnsi="KaiTi" w:eastAsia="KaiTi" w:cs="KaiTi"/>
          <w:sz w:val="28"/>
          <w:szCs w:val="28"/>
          <w:spacing w:val="-1"/>
        </w:rPr>
        <w:t>年来专注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5G、数字生活领域。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287807</wp:posOffset>
            </wp:positionH>
            <wp:positionV relativeFrom="paragraph">
              <wp:posOffset>130322</wp:posOffset>
            </wp:positionV>
            <wp:extent cx="745236" cy="107442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236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410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于明月</w:t>
      </w:r>
    </w:p>
    <w:p>
      <w:pPr>
        <w:ind w:left="2405" w:right="441" w:firstLine="273"/>
        <w:spacing w:before="11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二级分析师，北京邮电大学硕士，专注于数</w:t>
      </w:r>
      <w:r>
        <w:rPr>
          <w:rFonts w:ascii="KaiTi" w:hAnsi="KaiTi" w:eastAsia="KaiTi" w:cs="KaiTi"/>
          <w:sz w:val="28"/>
          <w:szCs w:val="28"/>
          <w:spacing w:val="-3"/>
        </w:rPr>
        <w:t>字生活、渠道数字化等方向研究。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191795</wp:posOffset>
            </wp:positionH>
            <wp:positionV relativeFrom="paragraph">
              <wp:posOffset>50752</wp:posOffset>
            </wp:positionV>
            <wp:extent cx="937260" cy="9372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7260" cy="937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11"/>
        <w:spacing w:before="92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江乔卉</w:t>
      </w:r>
    </w:p>
    <w:p>
      <w:pPr>
        <w:ind w:left="2396" w:right="441" w:firstLine="283"/>
        <w:spacing w:before="12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二级分析师，从事通信行业研究、用户需求</w:t>
      </w:r>
      <w:r>
        <w:rPr>
          <w:rFonts w:ascii="KaiTi" w:hAnsi="KaiTi" w:eastAsia="KaiTi" w:cs="KaiTi"/>
          <w:sz w:val="28"/>
          <w:szCs w:val="28"/>
          <w:spacing w:val="-1"/>
        </w:rPr>
        <w:t>及体验研究，专注于数字生活领域。</w:t>
      </w:r>
    </w:p>
    <w:sectPr>
      <w:pgSz w:w="11907" w:h="16839"/>
      <w:pgMar w:top="400" w:right="169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header" Target="header1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2023-06-13T16:33:24Z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2025-11-04T15:55:34</vt:filetime>
  </property>
</Properties>
</file>