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48D5F"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中国电信第二增长曲线</w:t>
      </w:r>
      <w:r>
        <w:rPr>
          <w:rFonts w:hint="eastAsia"/>
          <w:b/>
          <w:sz w:val="30"/>
          <w:szCs w:val="30"/>
          <w:lang w:val="en-US" w:eastAsia="zh-CN"/>
        </w:rPr>
        <w:t>业务提质增效的若干</w:t>
      </w:r>
      <w:r>
        <w:rPr>
          <w:rFonts w:hint="eastAsia"/>
          <w:b/>
          <w:sz w:val="30"/>
          <w:szCs w:val="30"/>
        </w:rPr>
        <w:t>建议</w:t>
      </w:r>
    </w:p>
    <w:p w14:paraId="5A902264">
      <w:pPr>
        <w:rPr>
          <w:rFonts w:hint="eastAsia"/>
          <w:b/>
          <w:bCs/>
          <w:color w:val="FF0000"/>
          <w:sz w:val="24"/>
        </w:rPr>
      </w:pPr>
    </w:p>
    <w:p w14:paraId="3A3BFDB8">
      <w:pPr>
        <w:pStyle w:val="13"/>
        <w:numPr>
          <w:ilvl w:val="0"/>
          <w:numId w:val="0"/>
        </w:numPr>
        <w:ind w:left="0" w:leftChars="0" w:firstLine="420" w:firstLineChars="175"/>
        <w:rPr>
          <w:rFonts w:hint="default" w:eastAsiaTheme="minorEastAsia"/>
          <w:b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中国电信大力发展产数、战新等创新业务，成为企业</w:t>
      </w:r>
      <w:r>
        <w:rPr>
          <w:rFonts w:hint="eastAsia"/>
          <w:bCs/>
          <w:sz w:val="24"/>
        </w:rPr>
        <w:t>第二增长曲线</w:t>
      </w:r>
      <w:r>
        <w:rPr>
          <w:rFonts w:hint="eastAsia"/>
          <w:bCs/>
          <w:sz w:val="24"/>
          <w:lang w:eastAsia="zh-CN"/>
        </w:rPr>
        <w:t>，</w:t>
      </w:r>
      <w:r>
        <w:rPr>
          <w:rFonts w:hint="eastAsia"/>
          <w:bCs/>
          <w:sz w:val="24"/>
          <w:lang w:val="en-US" w:eastAsia="zh-CN"/>
        </w:rPr>
        <w:t>2024年收入占比已超三成，但财务表现不容乐观，普遍存在亏损，究其原因主要在于</w:t>
      </w:r>
      <w:r>
        <w:rPr>
          <w:rFonts w:hint="eastAsia"/>
          <w:b w:val="0"/>
          <w:bCs/>
          <w:sz w:val="24"/>
        </w:rPr>
        <w:t>研发成本偏高、</w:t>
      </w:r>
      <w:bookmarkStart w:id="0" w:name="_GoBack"/>
      <w:bookmarkEnd w:id="0"/>
      <w:r>
        <w:rPr>
          <w:rFonts w:hint="eastAsia"/>
          <w:b w:val="0"/>
          <w:bCs/>
          <w:sz w:val="24"/>
          <w:lang w:val="en-US" w:eastAsia="zh-CN"/>
        </w:rPr>
        <w:t>自融率偏低、低价重量屡见不鲜</w:t>
      </w:r>
      <w:r>
        <w:rPr>
          <w:rFonts w:hint="eastAsia"/>
          <w:b w:val="0"/>
          <w:bCs/>
          <w:sz w:val="24"/>
          <w:lang w:val="en-US" w:eastAsia="zh-CN"/>
        </w:rPr>
        <w:t>。建议：1、构建集约研发体系，增强自研能力，提高投入效益比；2、</w:t>
      </w:r>
      <w:r>
        <w:rPr>
          <w:rFonts w:hint="eastAsia"/>
          <w:b w:val="0"/>
          <w:bCs/>
          <w:sz w:val="24"/>
        </w:rPr>
        <w:t>提升产品及支撑能力，进而提升产数项目自融率</w:t>
      </w:r>
      <w:r>
        <w:rPr>
          <w:rFonts w:hint="eastAsia"/>
          <w:b w:val="0"/>
          <w:bCs/>
          <w:sz w:val="24"/>
          <w:lang w:eastAsia="zh-CN"/>
        </w:rPr>
        <w:t>；</w:t>
      </w:r>
      <w:r>
        <w:rPr>
          <w:rFonts w:hint="eastAsia"/>
          <w:b w:val="0"/>
          <w:bCs/>
          <w:sz w:val="24"/>
          <w:lang w:val="en-US" w:eastAsia="zh-CN"/>
        </w:rPr>
        <w:t>3、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  <w:lang w:val="en-US" w:eastAsia="zh-CN"/>
        </w:rPr>
        <w:t>改变营销模式，重“量”更需重“质”，提升销售利润率；4、加强考核，助力改革优化。</w:t>
      </w:r>
    </w:p>
    <w:p w14:paraId="7CD61E23">
      <w:pPr>
        <w:pStyle w:val="13"/>
        <w:numPr>
          <w:ilvl w:val="0"/>
          <w:numId w:val="1"/>
        </w:numPr>
        <w:ind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>中国电信第二增长曲线经过长时间高投入快速培育，依然难见盈利前景</w:t>
      </w:r>
    </w:p>
    <w:p w14:paraId="499C2ED4">
      <w:pPr>
        <w:numPr>
          <w:ilvl w:val="0"/>
          <w:numId w:val="2"/>
        </w:numPr>
        <w:ind w:firstLine="480" w:firstLineChars="200"/>
        <w:rPr>
          <w:rFonts w:hint="eastAsia"/>
          <w:bCs/>
          <w:sz w:val="24"/>
          <w:lang w:val="en-US" w:eastAsia="zh-CN"/>
        </w:rPr>
      </w:pPr>
      <w:r>
        <w:rPr>
          <w:rFonts w:hint="eastAsia"/>
          <w:b/>
          <w:bCs w:val="0"/>
          <w:sz w:val="24"/>
          <w:lang w:val="en-US" w:eastAsia="zh-CN"/>
        </w:rPr>
        <w:t>与</w:t>
      </w:r>
      <w:r>
        <w:rPr>
          <w:rFonts w:hint="eastAsia"/>
          <w:b/>
          <w:bCs w:val="0"/>
          <w:color w:val="auto"/>
          <w:sz w:val="24"/>
          <w:lang w:val="en-US" w:eastAsia="zh-CN"/>
        </w:rPr>
        <w:t>七融相关的专业公司</w:t>
      </w:r>
      <w:r>
        <w:rPr>
          <w:rStyle w:val="12"/>
          <w:rFonts w:hint="eastAsia"/>
          <w:b/>
          <w:bCs w:val="0"/>
          <w:color w:val="auto"/>
          <w:sz w:val="24"/>
          <w:lang w:val="en-US" w:eastAsia="zh-CN"/>
        </w:rPr>
        <w:footnoteReference w:id="0"/>
      </w:r>
      <w:r>
        <w:rPr>
          <w:rFonts w:hint="eastAsia"/>
          <w:b/>
          <w:bCs w:val="0"/>
          <w:sz w:val="24"/>
          <w:lang w:val="en-US" w:eastAsia="zh-CN"/>
        </w:rPr>
        <w:t>2024年利润率约为-30%，亏损额约56.7亿，同比2023年增加5%</w:t>
      </w:r>
      <w:r>
        <w:rPr>
          <w:rFonts w:hint="eastAsia"/>
          <w:bCs/>
          <w:sz w:val="24"/>
          <w:lang w:val="en-US" w:eastAsia="zh-CN"/>
        </w:rPr>
        <w:t>。部分业务已具备相当规模，但仍未产生利润收益，值得重点关注。以云电脑为例：</w:t>
      </w:r>
      <w:r>
        <w:rPr>
          <w:rFonts w:hint="eastAsia"/>
          <w:sz w:val="24"/>
        </w:rPr>
        <w:t>华为2</w:t>
      </w:r>
      <w:r>
        <w:rPr>
          <w:sz w:val="24"/>
        </w:rPr>
        <w:t>020</w:t>
      </w:r>
      <w:r>
        <w:rPr>
          <w:rFonts w:hint="eastAsia"/>
          <w:sz w:val="24"/>
        </w:rPr>
        <w:t>年推出该业务，</w:t>
      </w:r>
      <w:r>
        <w:rPr>
          <w:rFonts w:hint="eastAsia"/>
          <w:sz w:val="24"/>
          <w:lang w:val="en-US" w:eastAsia="zh-CN"/>
        </w:rPr>
        <w:t>在</w:t>
      </w:r>
      <w:r>
        <w:rPr>
          <w:rFonts w:hint="eastAsia"/>
          <w:sz w:val="24"/>
        </w:rPr>
        <w:t>第二年用户</w:t>
      </w:r>
      <w:r>
        <w:rPr>
          <w:rFonts w:hint="eastAsia"/>
          <w:sz w:val="24"/>
          <w:lang w:val="en-US" w:eastAsia="zh-CN"/>
        </w:rPr>
        <w:t>规模为</w:t>
      </w:r>
      <w:r>
        <w:rPr>
          <w:rFonts w:hint="eastAsia"/>
          <w:sz w:val="24"/>
        </w:rPr>
        <w:t>6</w:t>
      </w:r>
      <w:r>
        <w:rPr>
          <w:sz w:val="24"/>
        </w:rPr>
        <w:t>4</w:t>
      </w:r>
      <w:r>
        <w:rPr>
          <w:rFonts w:hint="eastAsia"/>
          <w:sz w:val="24"/>
        </w:rPr>
        <w:t>万</w:t>
      </w:r>
      <w:r>
        <w:rPr>
          <w:rFonts w:hint="eastAsia"/>
          <w:sz w:val="24"/>
          <w:lang w:val="en-US" w:eastAsia="zh-CN"/>
        </w:rPr>
        <w:t>的情况下就</w:t>
      </w:r>
      <w:r>
        <w:rPr>
          <w:rFonts w:hint="eastAsia"/>
          <w:sz w:val="24"/>
        </w:rPr>
        <w:t>实现了</w:t>
      </w:r>
      <w:r>
        <w:rPr>
          <w:rFonts w:hint="eastAsia"/>
          <w:sz w:val="24"/>
          <w:lang w:val="en-US" w:eastAsia="zh-CN"/>
        </w:rPr>
        <w:t>3%的</w:t>
      </w:r>
      <w:r>
        <w:rPr>
          <w:rFonts w:hint="eastAsia"/>
          <w:sz w:val="24"/>
        </w:rPr>
        <w:t>小幅盈利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截至2</w:t>
      </w:r>
      <w:r>
        <w:rPr>
          <w:sz w:val="24"/>
        </w:rPr>
        <w:t>024</w:t>
      </w:r>
      <w:r>
        <w:rPr>
          <w:rFonts w:hint="eastAsia"/>
          <w:sz w:val="24"/>
        </w:rPr>
        <w:t>年用户规模1</w:t>
      </w:r>
      <w:r>
        <w:rPr>
          <w:sz w:val="24"/>
        </w:rPr>
        <w:t>20</w:t>
      </w:r>
      <w:r>
        <w:rPr>
          <w:rFonts w:hint="eastAsia"/>
          <w:sz w:val="24"/>
        </w:rPr>
        <w:t>万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净利率1</w:t>
      </w:r>
      <w:r>
        <w:rPr>
          <w:sz w:val="24"/>
        </w:rPr>
        <w:t>3%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bCs/>
          <w:sz w:val="24"/>
          <w:lang w:val="en-US" w:eastAsia="zh-CN"/>
        </w:rPr>
        <w:t>深信服云电脑业务依托深耕行业大客户，以1万客户即可斩获2亿利润</w:t>
      </w:r>
      <w:r>
        <w:rPr>
          <w:rStyle w:val="12"/>
          <w:rFonts w:hint="eastAsia"/>
          <w:bCs/>
          <w:sz w:val="24"/>
          <w:lang w:val="en-US" w:eastAsia="zh-CN"/>
        </w:rPr>
        <w:footnoteReference w:id="1"/>
      </w:r>
      <w:r>
        <w:rPr>
          <w:rFonts w:hint="eastAsia"/>
          <w:bCs/>
          <w:sz w:val="24"/>
          <w:lang w:val="en-US" w:eastAsia="zh-CN"/>
        </w:rPr>
        <w:t>；</w:t>
      </w:r>
      <w:r>
        <w:rPr>
          <w:rFonts w:hint="eastAsia"/>
          <w:b w:val="0"/>
          <w:bCs/>
          <w:sz w:val="24"/>
        </w:rPr>
        <w:t>中国电信当前云电脑用户规模已达7</w:t>
      </w:r>
      <w:r>
        <w:rPr>
          <w:b w:val="0"/>
          <w:bCs/>
          <w:sz w:val="24"/>
        </w:rPr>
        <w:t>00</w:t>
      </w:r>
      <w:r>
        <w:rPr>
          <w:rFonts w:hint="eastAsia"/>
          <w:b w:val="0"/>
          <w:bCs/>
          <w:sz w:val="24"/>
        </w:rPr>
        <w:t>万，</w:t>
      </w:r>
      <w:r>
        <w:rPr>
          <w:rFonts w:hint="eastAsia"/>
          <w:b w:val="0"/>
          <w:bCs/>
          <w:color w:val="auto"/>
          <w:sz w:val="24"/>
          <w:lang w:val="en-US" w:eastAsia="zh-CN"/>
        </w:rPr>
        <w:t>但盈利</w:t>
      </w:r>
      <w:r>
        <w:rPr>
          <w:rFonts w:hint="eastAsia"/>
          <w:bCs/>
          <w:color w:val="auto"/>
          <w:sz w:val="24"/>
          <w:lang w:val="en-US" w:eastAsia="zh-CN"/>
        </w:rPr>
        <w:t>情况仍不乐观</w:t>
      </w:r>
      <w:r>
        <w:rPr>
          <w:rFonts w:hint="eastAsia"/>
          <w:bCs/>
          <w:sz w:val="24"/>
          <w:lang w:val="en-US" w:eastAsia="zh-CN"/>
        </w:rPr>
        <w:t>。</w:t>
      </w:r>
    </w:p>
    <w:p w14:paraId="20D00763">
      <w:pPr>
        <w:ind w:firstLine="480" w:firstLineChars="200"/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/>
          <w:bCs w:val="0"/>
          <w:sz w:val="24"/>
          <w:lang w:val="en-US" w:eastAsia="zh-CN"/>
        </w:rPr>
        <w:t>2、产数项目利润率为-18.8%</w:t>
      </w:r>
      <w:r>
        <w:rPr>
          <w:rFonts w:hint="eastAsia"/>
          <w:bCs/>
          <w:sz w:val="24"/>
          <w:lang w:val="en-US" w:eastAsia="zh-CN"/>
        </w:rPr>
        <w:t>。产数业务整体亏损严重，部分产数业务发展较好的省公司甚至因此承担较重利润负担。对比行业典型公司，</w:t>
      </w:r>
      <w:r>
        <w:rPr>
          <w:rFonts w:hint="eastAsia"/>
          <w:sz w:val="24"/>
        </w:rPr>
        <w:t>如</w:t>
      </w:r>
      <w:r>
        <w:rPr>
          <w:sz w:val="24"/>
        </w:rPr>
        <w:t>浪潮</w:t>
      </w:r>
      <w:r>
        <w:rPr>
          <w:rFonts w:hint="eastAsia"/>
          <w:sz w:val="24"/>
          <w:lang w:val="en-US" w:eastAsia="zh-CN"/>
        </w:rPr>
        <w:t>凭借其供应链管理和面向大客户交付能力的优势</w:t>
      </w:r>
      <w:r>
        <w:rPr>
          <w:sz w:val="24"/>
        </w:rPr>
        <w:t>近两年净利润率</w:t>
      </w:r>
      <w:r>
        <w:rPr>
          <w:rFonts w:hint="eastAsia"/>
          <w:sz w:val="24"/>
          <w:lang w:val="en-US" w:eastAsia="zh-CN"/>
        </w:rPr>
        <w:t>保持</w:t>
      </w:r>
      <w:r>
        <w:rPr>
          <w:sz w:val="24"/>
        </w:rPr>
        <w:t>在(1%</w:t>
      </w:r>
      <w:r>
        <w:rPr>
          <w:rFonts w:hint="eastAsia"/>
          <w:sz w:val="24"/>
        </w:rPr>
        <w:t>，</w:t>
      </w:r>
      <w:r>
        <w:rPr>
          <w:sz w:val="24"/>
        </w:rPr>
        <w:t>3%)</w:t>
      </w:r>
      <w:r>
        <w:rPr>
          <w:rFonts w:hint="eastAsia"/>
          <w:sz w:val="24"/>
        </w:rPr>
        <w:t>区间</w:t>
      </w:r>
      <w:r>
        <w:rPr>
          <w:sz w:val="24"/>
        </w:rPr>
        <w:t>，东软</w:t>
      </w:r>
      <w:r>
        <w:rPr>
          <w:rFonts w:hint="eastAsia"/>
          <w:bCs/>
          <w:sz w:val="24"/>
          <w:lang w:val="en-US" w:eastAsia="zh-CN"/>
        </w:rPr>
        <w:t>凭借软件优势</w:t>
      </w:r>
      <w:r>
        <w:rPr>
          <w:sz w:val="24"/>
        </w:rPr>
        <w:t>近两年净利润率</w:t>
      </w:r>
      <w:r>
        <w:rPr>
          <w:rFonts w:hint="eastAsia"/>
          <w:sz w:val="24"/>
        </w:rPr>
        <w:t>主要位于</w:t>
      </w:r>
      <w:r>
        <w:rPr>
          <w:sz w:val="24"/>
        </w:rPr>
        <w:t>(0</w:t>
      </w:r>
      <w:r>
        <w:rPr>
          <w:rFonts w:hint="eastAsia"/>
          <w:sz w:val="24"/>
        </w:rPr>
        <w:t>，2</w:t>
      </w:r>
      <w:r>
        <w:rPr>
          <w:sz w:val="24"/>
        </w:rPr>
        <w:t>.5%)</w:t>
      </w:r>
      <w:r>
        <w:rPr>
          <w:rFonts w:hint="eastAsia"/>
          <w:sz w:val="24"/>
        </w:rPr>
        <w:t>区间</w:t>
      </w:r>
      <w:r>
        <w:rPr>
          <w:rFonts w:hint="eastAsia"/>
          <w:bCs/>
          <w:sz w:val="24"/>
          <w:lang w:val="en-US" w:eastAsia="zh-CN"/>
        </w:rPr>
        <w:t>，阿里和科大讯飞等凭借云资源、人工智能优势也在ICT市场获得良好收益。</w:t>
      </w:r>
    </w:p>
    <w:p w14:paraId="16D22CE4">
      <w:pPr>
        <w:pStyle w:val="13"/>
        <w:numPr>
          <w:ilvl w:val="0"/>
          <w:numId w:val="1"/>
        </w:numPr>
        <w:ind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研发成本偏高、</w:t>
      </w:r>
      <w:r>
        <w:rPr>
          <w:rFonts w:hint="eastAsia"/>
          <w:b/>
          <w:sz w:val="24"/>
          <w:lang w:val="en-US" w:eastAsia="zh-CN"/>
        </w:rPr>
        <w:t>自融率偏低、低价冲量，是</w:t>
      </w:r>
      <w:r>
        <w:rPr>
          <w:rFonts w:hint="eastAsia"/>
          <w:b/>
          <w:sz w:val="24"/>
        </w:rPr>
        <w:t>第二</w:t>
      </w:r>
      <w:r>
        <w:rPr>
          <w:rFonts w:hint="eastAsia"/>
          <w:b/>
          <w:sz w:val="24"/>
          <w:lang w:val="en-US" w:eastAsia="zh-CN"/>
        </w:rPr>
        <w:t>增长</w:t>
      </w:r>
      <w:r>
        <w:rPr>
          <w:rFonts w:hint="eastAsia"/>
          <w:b/>
          <w:sz w:val="24"/>
        </w:rPr>
        <w:t>曲线</w:t>
      </w:r>
      <w:r>
        <w:rPr>
          <w:rFonts w:hint="eastAsia"/>
          <w:b/>
          <w:sz w:val="24"/>
          <w:lang w:val="en-US" w:eastAsia="zh-CN"/>
        </w:rPr>
        <w:t>亏损的主要原因，</w:t>
      </w:r>
    </w:p>
    <w:p w14:paraId="1810F3AB">
      <w:pPr>
        <w:numPr>
          <w:ilvl w:val="0"/>
          <w:numId w:val="3"/>
        </w:numPr>
        <w:ind w:firstLine="639" w:firstLineChars="266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自研能力不强，集约研发体系尚未形成，</w:t>
      </w:r>
      <w:r>
        <w:rPr>
          <w:rFonts w:hint="eastAsia"/>
          <w:b/>
          <w:bCs/>
          <w:sz w:val="24"/>
        </w:rPr>
        <w:t>推高研发成本</w:t>
      </w:r>
    </w:p>
    <w:p w14:paraId="5D60B83B">
      <w:pPr>
        <w:ind w:firstLine="638" w:firstLineChars="266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研发投入效益比不高主要体现在：</w:t>
      </w:r>
      <w:r>
        <w:rPr>
          <w:rFonts w:hint="eastAsia"/>
          <w:sz w:val="24"/>
        </w:rPr>
        <w:t>一是集约研发体系</w:t>
      </w:r>
      <w:r>
        <w:rPr>
          <w:rFonts w:hint="eastAsia"/>
          <w:sz w:val="24"/>
          <w:lang w:val="en-US" w:eastAsia="zh-CN"/>
        </w:rPr>
        <w:t>尚未真正形成</w:t>
      </w:r>
      <w:r>
        <w:rPr>
          <w:rFonts w:hint="eastAsia"/>
          <w:sz w:val="24"/>
        </w:rPr>
        <w:t>，导致企业内部重复研发严重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>二是自研能力不够强，有些</w:t>
      </w:r>
      <w:r>
        <w:rPr>
          <w:rFonts w:hint="eastAsia"/>
          <w:sz w:val="24"/>
        </w:rPr>
        <w:t>战新业务</w:t>
      </w:r>
      <w:r>
        <w:rPr>
          <w:rFonts w:hint="eastAsia"/>
          <w:sz w:val="24"/>
          <w:lang w:val="en-US" w:eastAsia="zh-CN"/>
        </w:rPr>
        <w:t>的核心能力仍然依赖第三方，成本较高。</w:t>
      </w:r>
      <w:r>
        <w:rPr>
          <w:rFonts w:hint="eastAsia"/>
          <w:sz w:val="24"/>
        </w:rPr>
        <w:t>以AI大模型为例，目前集团内部在研14个AI大模型，分别由12个单位主导研发，涉及12个建设/运营单位；再如数字人，有6个单位自研该产品相关的AI能力。而业界AI头部厂商则采取AI能力集中研发、统一调用的方式，如阿里云承接和负责阿里集团内部所有的AI能力研发，通过集中平台向其他事业部开放调用，有效避免重复开发并降低了研发成本。</w:t>
      </w:r>
      <w:r>
        <w:rPr>
          <w:rFonts w:hint="eastAsia"/>
          <w:sz w:val="24"/>
          <w:lang w:val="en-US" w:eastAsia="zh-CN"/>
        </w:rPr>
        <w:t>当然，如大模型等的重复研发，在集约研发能力形成之前，也是不得已的权宜之策。</w:t>
      </w:r>
    </w:p>
    <w:p w14:paraId="62888E1B">
      <w:pPr>
        <w:numPr>
          <w:ilvl w:val="0"/>
          <w:numId w:val="3"/>
        </w:numPr>
        <w:ind w:firstLine="639" w:firstLineChars="266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产数</w:t>
      </w:r>
      <w:r>
        <w:rPr>
          <w:rFonts w:hint="eastAsia"/>
          <w:b/>
          <w:bCs/>
          <w:sz w:val="24"/>
          <w:lang w:val="en-US" w:eastAsia="zh-CN"/>
        </w:rPr>
        <w:t>方面，</w:t>
      </w:r>
      <w:r>
        <w:rPr>
          <w:rFonts w:hint="eastAsia"/>
          <w:b/>
          <w:bCs/>
          <w:sz w:val="24"/>
        </w:rPr>
        <w:t>自融率</w:t>
      </w:r>
      <w:r>
        <w:rPr>
          <w:rFonts w:hint="eastAsia"/>
          <w:b/>
          <w:bCs/>
          <w:sz w:val="24"/>
          <w:lang w:val="en-US" w:eastAsia="zh-CN"/>
        </w:rPr>
        <w:t>低</w:t>
      </w:r>
      <w:r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  <w:lang w:val="en-US" w:eastAsia="zh-CN"/>
        </w:rPr>
        <w:t>屡屡突破利润红线，</w:t>
      </w:r>
      <w:r>
        <w:rPr>
          <w:rFonts w:hint="eastAsia"/>
          <w:b/>
          <w:bCs/>
          <w:sz w:val="24"/>
        </w:rPr>
        <w:t>直接拉低了利润空间</w:t>
      </w:r>
    </w:p>
    <w:p w14:paraId="2BC07BB9">
      <w:pPr>
        <w:ind w:firstLine="638" w:firstLineChars="266"/>
        <w:rPr>
          <w:rFonts w:hint="default"/>
          <w:b w:val="0"/>
          <w:bCs w:val="0"/>
          <w:sz w:val="24"/>
          <w:lang w:val="en-US"/>
        </w:rPr>
      </w:pPr>
      <w:r>
        <w:rPr>
          <w:rFonts w:hint="eastAsia"/>
          <w:sz w:val="24"/>
        </w:rPr>
        <w:t>2024年集团提出七融率考核，及格线为22%。但从实际完成情况来看，截至8月，全国七融率只有18.0%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究其根源，主要在于省市公司开展</w:t>
      </w:r>
      <w:r>
        <w:rPr>
          <w:rFonts w:hint="eastAsia"/>
          <w:sz w:val="24"/>
          <w:lang w:val="en-US" w:eastAsia="zh-CN"/>
        </w:rPr>
        <w:t>产数</w:t>
      </w:r>
      <w:r>
        <w:rPr>
          <w:rFonts w:hint="eastAsia"/>
          <w:sz w:val="24"/>
        </w:rPr>
        <w:t>项目时，对集团及专业公司提供的能力服务存在顾虑，即使面临更高的成本压力，仍倾向于采购第三方产品，而不愿调用集团或专业公司自身的能力。</w:t>
      </w:r>
      <w:r>
        <w:rPr>
          <w:rFonts w:hint="eastAsia"/>
          <w:sz w:val="24"/>
          <w:lang w:val="en-US" w:eastAsia="zh-CN"/>
        </w:rPr>
        <w:t>省市公司的顾虑体现在</w:t>
      </w:r>
      <w:r>
        <w:rPr>
          <w:rFonts w:hint="eastAsia"/>
          <w:sz w:val="24"/>
        </w:rPr>
        <w:t>：一、对自有交付能力</w:t>
      </w:r>
      <w:r>
        <w:rPr>
          <w:rFonts w:hint="eastAsia"/>
          <w:sz w:val="24"/>
          <w:lang w:eastAsia="zh-CN"/>
        </w:rPr>
        <w:t>的</w:t>
      </w:r>
      <w:r>
        <w:rPr>
          <w:rFonts w:hint="eastAsia"/>
          <w:sz w:val="24"/>
        </w:rPr>
        <w:t>信任度不足，省市公司担心项目无法按期交付甚至出现交付</w:t>
      </w:r>
      <w:r>
        <w:rPr>
          <w:rFonts w:hint="eastAsia"/>
          <w:sz w:val="24"/>
          <w:lang w:val="en-US" w:eastAsia="zh-CN"/>
        </w:rPr>
        <w:t>达不到客户需求的</w:t>
      </w:r>
      <w:r>
        <w:rPr>
          <w:rFonts w:hint="eastAsia"/>
          <w:sz w:val="24"/>
        </w:rPr>
        <w:t>风险；二、自有能力的售后支撑体系不完善，缺乏本地化驻场支撑团队，无法快速响应</w:t>
      </w:r>
      <w:r>
        <w:rPr>
          <w:rFonts w:hint="eastAsia"/>
          <w:sz w:val="24"/>
          <w:lang w:val="en-US" w:eastAsia="zh-CN"/>
        </w:rPr>
        <w:t>产品优化</w:t>
      </w:r>
      <w:r>
        <w:rPr>
          <w:rFonts w:hint="eastAsia"/>
          <w:sz w:val="24"/>
        </w:rPr>
        <w:t>需求</w:t>
      </w:r>
      <w:r>
        <w:rPr>
          <w:rFonts w:hint="eastAsia"/>
          <w:sz w:val="24"/>
          <w:lang w:val="en-US" w:eastAsia="zh-CN"/>
        </w:rPr>
        <w:t>和</w:t>
      </w:r>
      <w:r>
        <w:rPr>
          <w:rFonts w:hint="eastAsia"/>
          <w:sz w:val="24"/>
        </w:rPr>
        <w:t>故障</w:t>
      </w:r>
      <w:r>
        <w:rPr>
          <w:rFonts w:hint="eastAsia"/>
          <w:sz w:val="24"/>
          <w:lang w:val="en-US" w:eastAsia="zh-CN"/>
        </w:rPr>
        <w:t>处理服务</w:t>
      </w:r>
      <w:r>
        <w:rPr>
          <w:rFonts w:hint="eastAsia"/>
          <w:sz w:val="24"/>
        </w:rPr>
        <w:t>；三、品牌影响力与市场认可度不足，不少客户对电信战新产品缺乏信心，往往会</w:t>
      </w:r>
      <w:r>
        <w:rPr>
          <w:rFonts w:hint="eastAsia"/>
          <w:sz w:val="24"/>
          <w:lang w:val="en-US" w:eastAsia="zh-CN"/>
        </w:rPr>
        <w:t>直接</w:t>
      </w:r>
      <w:r>
        <w:rPr>
          <w:rFonts w:hint="eastAsia"/>
          <w:sz w:val="24"/>
        </w:rPr>
        <w:t>指定使用第三方厂家产品。</w:t>
      </w:r>
      <w:r>
        <w:rPr>
          <w:rFonts w:hint="eastAsia"/>
          <w:b w:val="0"/>
          <w:bCs w:val="0"/>
          <w:sz w:val="24"/>
          <w:lang w:val="en-US" w:eastAsia="zh-CN"/>
        </w:rPr>
        <w:t>此外，</w:t>
      </w:r>
      <w:r>
        <w:rPr>
          <w:rFonts w:hint="eastAsia"/>
          <w:b w:val="0"/>
          <w:bCs w:val="0"/>
          <w:sz w:val="24"/>
        </w:rPr>
        <w:t>省市为了完成销售</w:t>
      </w:r>
      <w:r>
        <w:rPr>
          <w:rFonts w:hint="eastAsia"/>
          <w:b w:val="0"/>
          <w:bCs w:val="0"/>
          <w:sz w:val="24"/>
          <w:lang w:val="en-US" w:eastAsia="zh-CN"/>
        </w:rPr>
        <w:t>收入</w:t>
      </w:r>
      <w:r>
        <w:rPr>
          <w:rFonts w:hint="eastAsia"/>
          <w:b w:val="0"/>
          <w:bCs w:val="0"/>
          <w:sz w:val="24"/>
        </w:rPr>
        <w:t>目标，</w:t>
      </w:r>
      <w:r>
        <w:rPr>
          <w:rFonts w:hint="eastAsia"/>
          <w:b w:val="0"/>
          <w:bCs w:val="0"/>
          <w:sz w:val="24"/>
          <w:lang w:val="en-US" w:eastAsia="zh-CN"/>
        </w:rPr>
        <w:t>产数项目拓展屡屡突破利润红线，也是利润率低下的重要原因。</w:t>
      </w:r>
    </w:p>
    <w:p w14:paraId="125740DA">
      <w:pPr>
        <w:ind w:firstLine="639" w:firstLineChars="266"/>
        <w:rPr>
          <w:rFonts w:hint="eastAsia"/>
          <w:sz w:val="24"/>
        </w:rPr>
      </w:pPr>
      <w:r>
        <w:rPr>
          <w:rFonts w:hint="eastAsia"/>
          <w:b/>
          <w:sz w:val="24"/>
        </w:rPr>
        <w:t>3、</w:t>
      </w:r>
      <w:r>
        <w:rPr>
          <w:rFonts w:hint="eastAsia"/>
          <w:b/>
          <w:sz w:val="24"/>
          <w:lang w:val="en-US" w:eastAsia="zh-CN"/>
        </w:rPr>
        <w:t>标品方面，高价值营销意识较弱，重“量”不重“质”现象普遍</w:t>
      </w:r>
    </w:p>
    <w:p w14:paraId="2899E298">
      <w:pPr>
        <w:ind w:firstLine="638" w:firstLineChars="266"/>
        <w:rPr>
          <w:rFonts w:hint="eastAsia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首先，</w:t>
      </w:r>
      <w:r>
        <w:rPr>
          <w:rFonts w:hint="eastAsia"/>
          <w:b w:val="0"/>
          <w:bCs w:val="0"/>
          <w:sz w:val="24"/>
        </w:rPr>
        <w:t>战新标品户均获客成本远高于友商，销售收益率低。</w:t>
      </w:r>
      <w:r>
        <w:rPr>
          <w:rFonts w:hint="eastAsia"/>
          <w:sz w:val="24"/>
        </w:rPr>
        <w:t>以云电脑为例，头部企业深信服客均用户</w:t>
      </w:r>
      <w:r>
        <w:rPr>
          <w:rStyle w:val="12"/>
          <w:rFonts w:hint="eastAsia"/>
          <w:sz w:val="24"/>
        </w:rPr>
        <w:footnoteReference w:id="2"/>
      </w:r>
      <w:r>
        <w:rPr>
          <w:rFonts w:hint="eastAsia"/>
          <w:sz w:val="24"/>
        </w:rPr>
        <w:t>数达200+，华为云电脑虽为后起之秀，但专注于发展高价值的大客户（如贝壳），其客均用户数超100。相比之下，天翼云电脑企业客户平均用户数不足4个，户均获客成本远高于友商，销售利润率差距不言而喻。</w:t>
      </w:r>
      <w:r>
        <w:rPr>
          <w:rFonts w:hint="eastAsia"/>
          <w:b w:val="0"/>
          <w:bCs w:val="0"/>
          <w:sz w:val="24"/>
          <w:lang w:val="en-US" w:eastAsia="zh-CN"/>
        </w:rPr>
        <w:t>其次，省市公司普遍采用搭售热门套餐，以低价或赠送实现冲量，</w:t>
      </w:r>
      <w:r>
        <w:rPr>
          <w:rFonts w:hint="eastAsia"/>
          <w:b w:val="0"/>
          <w:bCs w:val="0"/>
          <w:sz w:val="24"/>
        </w:rPr>
        <w:t>导致增量难增收</w:t>
      </w:r>
      <w:r>
        <w:rPr>
          <w:rFonts w:hint="eastAsia"/>
          <w:b w:val="0"/>
          <w:bCs w:val="0"/>
          <w:sz w:val="24"/>
          <w:lang w:eastAsia="zh-CN"/>
        </w:rPr>
        <w:t>、</w:t>
      </w:r>
      <w:r>
        <w:rPr>
          <w:rFonts w:hint="eastAsia"/>
          <w:b w:val="0"/>
          <w:bCs w:val="0"/>
          <w:sz w:val="24"/>
          <w:lang w:val="en-US" w:eastAsia="zh-CN"/>
        </w:rPr>
        <w:t>用户质态差、续费意愿低</w:t>
      </w:r>
      <w:r>
        <w:rPr>
          <w:rFonts w:hint="eastAsia"/>
          <w:b w:val="0"/>
          <w:bCs w:val="0"/>
          <w:sz w:val="24"/>
        </w:rPr>
        <w:t>，前期投入成本难以收回</w:t>
      </w:r>
      <w:r>
        <w:rPr>
          <w:rFonts w:hint="eastAsia"/>
          <w:b w:val="0"/>
          <w:bCs w:val="0"/>
          <w:sz w:val="24"/>
          <w:lang w:eastAsia="zh-CN"/>
        </w:rPr>
        <w:t>，</w:t>
      </w:r>
      <w:r>
        <w:rPr>
          <w:rFonts w:hint="eastAsia"/>
          <w:b w:val="0"/>
          <w:bCs w:val="0"/>
          <w:sz w:val="24"/>
        </w:rPr>
        <w:t>无法有效贡献利润</w:t>
      </w:r>
      <w:r>
        <w:rPr>
          <w:rFonts w:hint="eastAsia"/>
          <w:sz w:val="24"/>
        </w:rPr>
        <w:t>。</w:t>
      </w:r>
    </w:p>
    <w:p w14:paraId="32969898">
      <w:pPr>
        <w:pStyle w:val="13"/>
        <w:numPr>
          <w:ilvl w:val="0"/>
          <w:numId w:val="1"/>
        </w:numPr>
        <w:ind w:firstLine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策略建议</w:t>
      </w:r>
    </w:p>
    <w:p w14:paraId="5668BB9C">
      <w:pPr>
        <w:pStyle w:val="13"/>
        <w:ind w:left="0" w:leftChars="0" w:firstLine="639" w:firstLineChars="266"/>
        <w:rPr>
          <w:rFonts w:hint="default" w:eastAsiaTheme="minorEastAsia"/>
          <w:b/>
          <w:sz w:val="24"/>
          <w:lang w:val="en-US" w:eastAsia="zh-CN"/>
        </w:rPr>
      </w:pPr>
      <w:r>
        <w:rPr>
          <w:rFonts w:hint="eastAsia"/>
          <w:b/>
          <w:sz w:val="24"/>
        </w:rPr>
        <w:t>1、构建集约研发体系，增强自研能力，提高投入</w:t>
      </w:r>
      <w:r>
        <w:rPr>
          <w:rFonts w:hint="eastAsia"/>
          <w:b/>
          <w:sz w:val="24"/>
          <w:lang w:val="en-US" w:eastAsia="zh-CN"/>
        </w:rPr>
        <w:t>收益比。</w:t>
      </w:r>
      <w:r>
        <w:rPr>
          <w:rFonts w:hint="eastAsia"/>
          <w:b w:val="0"/>
          <w:bCs/>
          <w:sz w:val="24"/>
          <w:lang w:val="en-US" w:eastAsia="zh-CN"/>
        </w:rPr>
        <w:t>在集约研发方面：</w:t>
      </w:r>
      <w:r>
        <w:rPr>
          <w:rFonts w:hint="eastAsia"/>
          <w:b w:val="0"/>
          <w:bCs/>
          <w:sz w:val="24"/>
        </w:rPr>
        <w:t>首先</w:t>
      </w:r>
      <w:r>
        <w:rPr>
          <w:rFonts w:hint="eastAsia"/>
          <w:b w:val="0"/>
          <w:bCs/>
          <w:sz w:val="24"/>
          <w:lang w:eastAsia="zh-CN"/>
        </w:rPr>
        <w:t>，</w:t>
      </w:r>
      <w:r>
        <w:rPr>
          <w:rFonts w:hint="eastAsia"/>
          <w:b w:val="0"/>
          <w:bCs/>
          <w:sz w:val="24"/>
        </w:rPr>
        <w:t>梳理技术体系，明确战新业务所需的各类基础研究、共性技术等</w:t>
      </w:r>
      <w:r>
        <w:rPr>
          <w:rFonts w:hint="eastAsia"/>
          <w:b w:val="0"/>
          <w:bCs/>
          <w:sz w:val="24"/>
          <w:lang w:eastAsia="zh-CN"/>
        </w:rPr>
        <w:t>；</w:t>
      </w:r>
      <w:r>
        <w:rPr>
          <w:rFonts w:hint="eastAsia"/>
          <w:b w:val="0"/>
          <w:bCs/>
          <w:sz w:val="24"/>
        </w:rPr>
        <w:t>其次，明确各类基础共性技术的主导研发部门，建立能力需求征集与确认机制，提高基础原子能力研发的前瞻性和适用性</w:t>
      </w:r>
      <w:r>
        <w:rPr>
          <w:rFonts w:hint="eastAsia"/>
          <w:b w:val="0"/>
          <w:bCs/>
          <w:sz w:val="24"/>
          <w:lang w:eastAsia="zh-CN"/>
        </w:rPr>
        <w:t>；</w:t>
      </w:r>
      <w:r>
        <w:rPr>
          <w:rFonts w:hint="eastAsia"/>
          <w:b w:val="0"/>
          <w:bCs/>
          <w:sz w:val="24"/>
          <w:lang w:val="en-US" w:eastAsia="zh-CN"/>
        </w:rPr>
        <w:t>再次</w:t>
      </w:r>
      <w:r>
        <w:rPr>
          <w:rFonts w:hint="eastAsia"/>
          <w:b w:val="0"/>
          <w:bCs/>
          <w:sz w:val="24"/>
        </w:rPr>
        <w:t>，制定基础原子能力的调用和保障机制，确保能力调用前、中、后的响应速度。最终通过建立明确的组织架构和管理机制，形成覆盖基础研究、共性技术开发、产品装备研制、成果转化落地全链条的研发机制</w:t>
      </w:r>
      <w:r>
        <w:rPr>
          <w:rFonts w:hint="eastAsia"/>
          <w:b w:val="0"/>
          <w:bCs/>
          <w:sz w:val="24"/>
          <w:lang w:eastAsia="zh-CN"/>
        </w:rPr>
        <w:t>，</w:t>
      </w:r>
      <w:r>
        <w:rPr>
          <w:rFonts w:hint="eastAsia"/>
          <w:b w:val="0"/>
          <w:bCs/>
          <w:sz w:val="24"/>
          <w:lang w:val="en-US" w:eastAsia="zh-CN"/>
        </w:rPr>
        <w:t>并通过集约研发，增强自研能力，掌控优势技术，打造拳头产品。</w:t>
      </w:r>
    </w:p>
    <w:p w14:paraId="35180181">
      <w:pPr>
        <w:pStyle w:val="13"/>
        <w:ind w:left="0" w:leftChars="0" w:firstLine="639" w:firstLineChars="266"/>
        <w:rPr>
          <w:rFonts w:hint="eastAsia"/>
          <w:bCs/>
          <w:sz w:val="24"/>
        </w:rPr>
      </w:pPr>
      <w:r>
        <w:rPr>
          <w:rFonts w:hint="eastAsia"/>
          <w:b/>
          <w:sz w:val="24"/>
        </w:rPr>
        <w:t>2、提升产品及支撑</w:t>
      </w:r>
      <w:r>
        <w:rPr>
          <w:rFonts w:hint="eastAsia"/>
          <w:b/>
          <w:bCs/>
          <w:sz w:val="24"/>
        </w:rPr>
        <w:t>能力，增强客户和一线人员信心，进而达到提升产数项目自融率和利润率的目的。</w:t>
      </w:r>
      <w:r>
        <w:rPr>
          <w:rFonts w:hint="eastAsia"/>
          <w:sz w:val="24"/>
        </w:rPr>
        <w:t>要解决产数项目自融率和利润率过低，归根结底要提升能力，包括</w:t>
      </w:r>
      <w:r>
        <w:rPr>
          <w:rFonts w:hint="eastAsia"/>
          <w:bCs/>
          <w:sz w:val="24"/>
        </w:rPr>
        <w:t>集团及各专业公司产品能力以及支撑能力，尤其是交付和售后服务能力，提高战新和产数业务在客户心目中的品牌形象，消除客户和一线人员顾虑，增强他们的信心。</w:t>
      </w:r>
    </w:p>
    <w:p w14:paraId="0970BC82">
      <w:pPr>
        <w:pStyle w:val="13"/>
        <w:ind w:left="0" w:leftChars="0" w:firstLine="639" w:firstLineChars="266"/>
        <w:rPr>
          <w:rFonts w:hint="eastAsia" w:ascii="等线" w:hAnsi="等线" w:eastAsia="等线" w:cs="Times New Roman"/>
          <w:sz w:val="24"/>
          <w:szCs w:val="22"/>
          <w:highlight w:val="none"/>
          <w:lang w:eastAsia="zh-CN"/>
        </w:rPr>
      </w:pPr>
      <w:r>
        <w:rPr>
          <w:rFonts w:hint="eastAsia" w:ascii="等线" w:hAnsi="等线" w:eastAsia="等线" w:cs="Times New Roman"/>
          <w:b/>
          <w:sz w:val="24"/>
          <w:szCs w:val="22"/>
          <w:highlight w:val="none"/>
          <w:lang w:val="en-US" w:eastAsia="zh-CN"/>
        </w:rPr>
        <w:t>3、改变营销</w:t>
      </w:r>
      <w:r>
        <w:rPr>
          <w:rFonts w:hint="eastAsia" w:ascii="等线" w:hAnsi="等线" w:eastAsia="等线" w:cs="Times New Roman"/>
          <w:b/>
          <w:bCs w:val="0"/>
          <w:sz w:val="24"/>
          <w:szCs w:val="22"/>
          <w:highlight w:val="none"/>
        </w:rPr>
        <w:t>模式</w:t>
      </w:r>
      <w:r>
        <w:rPr>
          <w:rFonts w:hint="eastAsia" w:ascii="等线" w:hAnsi="等线" w:eastAsia="等线" w:cs="Times New Roman"/>
          <w:b/>
          <w:bCs w:val="0"/>
          <w:sz w:val="24"/>
          <w:szCs w:val="22"/>
          <w:highlight w:val="none"/>
          <w:lang w:eastAsia="zh-CN"/>
        </w:rPr>
        <w:t>，</w:t>
      </w:r>
      <w:r>
        <w:rPr>
          <w:rFonts w:hint="eastAsia" w:ascii="等线" w:hAnsi="等线" w:eastAsia="等线" w:cs="Times New Roman"/>
          <w:b/>
          <w:bCs w:val="0"/>
          <w:sz w:val="24"/>
          <w:szCs w:val="22"/>
          <w:highlight w:val="none"/>
        </w:rPr>
        <w:t>重“量”更</w:t>
      </w:r>
      <w:r>
        <w:rPr>
          <w:rFonts w:hint="eastAsia" w:ascii="等线" w:hAnsi="等线" w:eastAsia="等线" w:cs="Times New Roman"/>
          <w:b/>
          <w:bCs w:val="0"/>
          <w:sz w:val="24"/>
          <w:szCs w:val="22"/>
          <w:highlight w:val="none"/>
          <w:lang w:val="en-US" w:eastAsia="zh-CN"/>
        </w:rPr>
        <w:t>需</w:t>
      </w:r>
      <w:r>
        <w:rPr>
          <w:rFonts w:hint="eastAsia" w:ascii="等线" w:hAnsi="等线" w:eastAsia="等线" w:cs="Times New Roman"/>
          <w:b/>
          <w:bCs w:val="0"/>
          <w:sz w:val="24"/>
          <w:szCs w:val="22"/>
          <w:highlight w:val="none"/>
        </w:rPr>
        <w:t>重“质”</w:t>
      </w:r>
      <w:r>
        <w:rPr>
          <w:rFonts w:hint="eastAsia" w:ascii="等线" w:hAnsi="等线" w:eastAsia="等线" w:cs="Times New Roman"/>
          <w:b/>
          <w:sz w:val="24"/>
          <w:szCs w:val="22"/>
          <w:highlight w:val="none"/>
          <w:lang w:val="en-US" w:eastAsia="zh-CN"/>
        </w:rPr>
        <w:t>，提升销售利润率</w:t>
      </w:r>
      <w:r>
        <w:rPr>
          <w:rFonts w:hint="eastAsia" w:ascii="等线" w:hAnsi="等线" w:eastAsia="等线" w:cs="Times New Roman"/>
          <w:b/>
          <w:sz w:val="24"/>
          <w:szCs w:val="22"/>
          <w:highlight w:val="none"/>
          <w:lang w:eastAsia="zh-CN"/>
        </w:rPr>
        <w:t>。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  <w:lang w:val="en-US" w:eastAsia="zh-CN"/>
        </w:rPr>
        <w:t>一是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</w:rPr>
        <w:t>销售模式重“量”更重“质”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  <w:lang w:eastAsia="zh-CN"/>
        </w:rPr>
        <w:t>，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避免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低价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冲量、虚假销售等粗放销售模式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eastAsia="zh-CN"/>
        </w:rPr>
        <w:t>，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加强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各级经营单元的盈利意识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eastAsia="zh-CN"/>
        </w:rPr>
        <w:t>，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如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  <w:lang w:val="en-US" w:eastAsia="zh-CN"/>
        </w:rPr>
        <w:t>产数项目仍需把控利润红线，避免亏本打单；二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</w:rPr>
        <w:t>是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  <w:lang w:val="en-US" w:eastAsia="zh-CN"/>
        </w:rPr>
        <w:t>战新标品在自有渠道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</w:rPr>
        <w:t>注重高价值行业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  <w:lang w:val="en-US" w:eastAsia="zh-CN"/>
        </w:rPr>
        <w:t>大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</w:rPr>
        <w:t>客户拓展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  <w:lang w:eastAsia="zh-CN"/>
        </w:rPr>
        <w:t>，</w:t>
      </w:r>
      <w:r>
        <w:rPr>
          <w:rFonts w:hint="eastAsia" w:ascii="等线" w:hAnsi="等线" w:eastAsia="等线" w:cs="Times New Roman"/>
          <w:b w:val="0"/>
          <w:bCs/>
          <w:sz w:val="24"/>
          <w:szCs w:val="22"/>
          <w:highlight w:val="none"/>
          <w:lang w:val="en-US" w:eastAsia="zh-CN"/>
        </w:rPr>
        <w:t>改变过往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以低值客户为主的低效营销模式。三是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引入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资源强的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第三方销售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渠道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，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在提升销售业绩的同时压降销售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成本。如华为构建“伙伴+华为”体系，设置分层分级的经销商认证机制，“从优不从多”，牵引分销精英快速实现对市场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的广泛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覆盖，助力华为有效提升销售业绩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并</w:t>
      </w:r>
      <w:r>
        <w:rPr>
          <w:rFonts w:hint="eastAsia" w:ascii="等线" w:hAnsi="等线" w:eastAsia="等线" w:cs="Times New Roman"/>
          <w:sz w:val="24"/>
          <w:szCs w:val="22"/>
          <w:highlight w:val="none"/>
        </w:rPr>
        <w:t>精准控制成本。</w:t>
      </w:r>
    </w:p>
    <w:p w14:paraId="7807076F">
      <w:pPr>
        <w:pStyle w:val="13"/>
        <w:ind w:left="0" w:leftChars="0" w:firstLine="639" w:firstLineChars="266"/>
        <w:rPr>
          <w:rFonts w:hint="default" w:ascii="等线" w:hAnsi="等线" w:eastAsia="等线" w:cs="Times New Roman"/>
          <w:sz w:val="24"/>
          <w:szCs w:val="22"/>
          <w:highlight w:val="none"/>
          <w:lang w:val="en-US" w:eastAsia="zh-CN"/>
        </w:rPr>
      </w:pPr>
      <w:r>
        <w:rPr>
          <w:rFonts w:hint="eastAsia" w:ascii="等线" w:hAnsi="等线" w:eastAsia="等线" w:cs="Times New Roman"/>
          <w:b/>
          <w:bCs/>
          <w:sz w:val="24"/>
          <w:szCs w:val="22"/>
          <w:highlight w:val="none"/>
          <w:lang w:val="en-US" w:eastAsia="zh-CN"/>
        </w:rPr>
        <w:t>4、加强考核，助力以上三方面的工作推进</w:t>
      </w:r>
      <w:r>
        <w:rPr>
          <w:rFonts w:hint="eastAsia" w:ascii="等线" w:hAnsi="等线" w:eastAsia="等线" w:cs="Times New Roman"/>
          <w:sz w:val="24"/>
          <w:szCs w:val="22"/>
          <w:highlight w:val="none"/>
          <w:lang w:val="en-US" w:eastAsia="zh-CN"/>
        </w:rPr>
        <w:t>。一是集团层面，宜加强对研发投入产出比/投入效益比的考核，加强对产品能力、实施交付及售后支撑能力的考核，加强对产品发展质态的考核；二是加强省对专、专对专的多维考核，推动协调发展。</w:t>
      </w:r>
    </w:p>
    <w:p w14:paraId="1EABFEA4">
      <w:pPr>
        <w:pStyle w:val="13"/>
        <w:ind w:firstLine="0" w:firstLineChars="0"/>
        <w:rPr>
          <w:rFonts w:hint="default" w:eastAsiaTheme="minorEastAsia"/>
          <w:bCs/>
          <w:sz w:val="24"/>
          <w:lang w:val="en-US" w:eastAsia="zh-CN"/>
        </w:rPr>
      </w:pPr>
    </w:p>
    <w:p w14:paraId="097F7DA0">
      <w:pPr>
        <w:ind w:firstLine="480" w:firstLineChars="200"/>
        <w:rPr>
          <w:rFonts w:hint="eastAsia"/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 w14:paraId="09D51AC4">
      <w:pPr>
        <w:pStyle w:val="6"/>
        <w:snapToGrid w:val="0"/>
        <w:rPr>
          <w:rFonts w:hint="default" w:eastAsiaTheme="minorEastAsia"/>
          <w:lang w:val="en-US" w:eastAsia="zh-CN"/>
        </w:rPr>
      </w:pPr>
      <w:r>
        <w:rPr>
          <w:rStyle w:val="12"/>
        </w:rPr>
        <w:footnoteRef/>
      </w:r>
      <w:r>
        <w:t xml:space="preserve"> </w:t>
      </w:r>
      <w:r>
        <w:rPr>
          <w:rFonts w:hint="eastAsia"/>
          <w:lang w:val="en-US" w:eastAsia="zh-CN"/>
        </w:rPr>
        <w:t>七融相关的公司包括天翼云公司本部、人工智能公司、物联网公司、安全公司、量子公司、视联网公司、数字生活公司、卫星公司等</w:t>
      </w:r>
    </w:p>
  </w:footnote>
  <w:footnote w:id="1">
    <w:p w14:paraId="698F318D">
      <w:pPr>
        <w:pStyle w:val="6"/>
        <w:snapToGrid w:val="0"/>
        <w:rPr>
          <w:rFonts w:hint="eastAsia"/>
          <w:lang w:val="en-US" w:eastAsia="zh-CN"/>
        </w:rPr>
      </w:pPr>
      <w:r>
        <w:rPr>
          <w:rStyle w:val="12"/>
        </w:rPr>
        <w:footnoteRef/>
      </w:r>
      <w:r>
        <w:t xml:space="preserve"> </w:t>
      </w:r>
      <w:r>
        <w:rPr>
          <w:rFonts w:hint="eastAsia"/>
          <w:lang w:val="en-US" w:eastAsia="zh-CN"/>
        </w:rPr>
        <w:t>深信服2024业绩快报。据内部人士透露，其利润主要来自云电脑。</w:t>
      </w:r>
    </w:p>
  </w:footnote>
  <w:footnote w:id="2">
    <w:p w14:paraId="2B0595FB">
      <w:pPr>
        <w:pStyle w:val="6"/>
        <w:snapToGrid w:val="0"/>
      </w:pPr>
      <w:r>
        <w:rPr>
          <w:rStyle w:val="12"/>
        </w:rPr>
        <w:footnoteRef/>
      </w:r>
      <w:r>
        <w:t xml:space="preserve"> </w:t>
      </w:r>
      <w:r>
        <w:rPr>
          <w:rFonts w:hint="eastAsia"/>
          <w:sz w:val="18"/>
          <w:szCs w:val="18"/>
        </w:rPr>
        <w:t>注：业界有时称为账号数或桌面数，本文统称用户数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577C8"/>
    <w:multiLevelType w:val="singleLevel"/>
    <w:tmpl w:val="03C577C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5CA88BE"/>
    <w:multiLevelType w:val="singleLevel"/>
    <w:tmpl w:val="05CA88B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74F6013"/>
    <w:multiLevelType w:val="multilevel"/>
    <w:tmpl w:val="474F601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6"/>
    <w:footnote w:id="7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66"/>
    <w:rsid w:val="00001CF6"/>
    <w:rsid w:val="00003ED6"/>
    <w:rsid w:val="0000540D"/>
    <w:rsid w:val="00006503"/>
    <w:rsid w:val="000076A8"/>
    <w:rsid w:val="00024C18"/>
    <w:rsid w:val="00025349"/>
    <w:rsid w:val="00025797"/>
    <w:rsid w:val="00026B31"/>
    <w:rsid w:val="00032894"/>
    <w:rsid w:val="000378FB"/>
    <w:rsid w:val="0004167B"/>
    <w:rsid w:val="00042E28"/>
    <w:rsid w:val="00043DEF"/>
    <w:rsid w:val="00044013"/>
    <w:rsid w:val="00050F37"/>
    <w:rsid w:val="00051600"/>
    <w:rsid w:val="00054839"/>
    <w:rsid w:val="000561C9"/>
    <w:rsid w:val="0006407E"/>
    <w:rsid w:val="000640E1"/>
    <w:rsid w:val="000674F6"/>
    <w:rsid w:val="000720C4"/>
    <w:rsid w:val="00076646"/>
    <w:rsid w:val="00076B5C"/>
    <w:rsid w:val="00077440"/>
    <w:rsid w:val="000814FB"/>
    <w:rsid w:val="00081FCE"/>
    <w:rsid w:val="00083382"/>
    <w:rsid w:val="00085566"/>
    <w:rsid w:val="000917B2"/>
    <w:rsid w:val="00091D5B"/>
    <w:rsid w:val="000925AC"/>
    <w:rsid w:val="000947A7"/>
    <w:rsid w:val="00095EB4"/>
    <w:rsid w:val="000A48D5"/>
    <w:rsid w:val="000B00B7"/>
    <w:rsid w:val="000B4D4E"/>
    <w:rsid w:val="000B5D3C"/>
    <w:rsid w:val="000B6AF4"/>
    <w:rsid w:val="000B71FE"/>
    <w:rsid w:val="000D02E4"/>
    <w:rsid w:val="000D15B4"/>
    <w:rsid w:val="000D2C83"/>
    <w:rsid w:val="000D3BA9"/>
    <w:rsid w:val="000D5CC1"/>
    <w:rsid w:val="000D722C"/>
    <w:rsid w:val="000E2F45"/>
    <w:rsid w:val="0010476C"/>
    <w:rsid w:val="001058AB"/>
    <w:rsid w:val="00112665"/>
    <w:rsid w:val="001143FF"/>
    <w:rsid w:val="001172D0"/>
    <w:rsid w:val="00123BE3"/>
    <w:rsid w:val="00131BDB"/>
    <w:rsid w:val="00145717"/>
    <w:rsid w:val="00152738"/>
    <w:rsid w:val="0015556F"/>
    <w:rsid w:val="00162388"/>
    <w:rsid w:val="0016320C"/>
    <w:rsid w:val="00164B0F"/>
    <w:rsid w:val="00165842"/>
    <w:rsid w:val="00167C59"/>
    <w:rsid w:val="001701DF"/>
    <w:rsid w:val="00171C6E"/>
    <w:rsid w:val="00173247"/>
    <w:rsid w:val="00174238"/>
    <w:rsid w:val="001749C5"/>
    <w:rsid w:val="001763F4"/>
    <w:rsid w:val="0017720A"/>
    <w:rsid w:val="00180DC7"/>
    <w:rsid w:val="00185590"/>
    <w:rsid w:val="001908CC"/>
    <w:rsid w:val="00192770"/>
    <w:rsid w:val="001A198E"/>
    <w:rsid w:val="001A2308"/>
    <w:rsid w:val="001A2726"/>
    <w:rsid w:val="001A28E4"/>
    <w:rsid w:val="001A3652"/>
    <w:rsid w:val="001A503C"/>
    <w:rsid w:val="001A626A"/>
    <w:rsid w:val="001A6629"/>
    <w:rsid w:val="001A69BD"/>
    <w:rsid w:val="001B0C97"/>
    <w:rsid w:val="001B5100"/>
    <w:rsid w:val="001B5377"/>
    <w:rsid w:val="001B6769"/>
    <w:rsid w:val="001B67AF"/>
    <w:rsid w:val="001B6FA8"/>
    <w:rsid w:val="001C0217"/>
    <w:rsid w:val="001C33FE"/>
    <w:rsid w:val="001C44F6"/>
    <w:rsid w:val="001C6FD7"/>
    <w:rsid w:val="001D0330"/>
    <w:rsid w:val="001D09F4"/>
    <w:rsid w:val="001D1E09"/>
    <w:rsid w:val="001D2A27"/>
    <w:rsid w:val="001D338B"/>
    <w:rsid w:val="001D4B33"/>
    <w:rsid w:val="001E01BA"/>
    <w:rsid w:val="001E28B9"/>
    <w:rsid w:val="001E699B"/>
    <w:rsid w:val="001E7B53"/>
    <w:rsid w:val="001F3F7C"/>
    <w:rsid w:val="0020021C"/>
    <w:rsid w:val="00201149"/>
    <w:rsid w:val="00202C96"/>
    <w:rsid w:val="00206A3F"/>
    <w:rsid w:val="00211BD7"/>
    <w:rsid w:val="002230A1"/>
    <w:rsid w:val="00224968"/>
    <w:rsid w:val="00230A36"/>
    <w:rsid w:val="00232920"/>
    <w:rsid w:val="0023525A"/>
    <w:rsid w:val="002354C0"/>
    <w:rsid w:val="0024038E"/>
    <w:rsid w:val="00250499"/>
    <w:rsid w:val="002504F0"/>
    <w:rsid w:val="0025246B"/>
    <w:rsid w:val="00253BA2"/>
    <w:rsid w:val="002552B1"/>
    <w:rsid w:val="0025537A"/>
    <w:rsid w:val="00267FDC"/>
    <w:rsid w:val="00270AFA"/>
    <w:rsid w:val="00280B48"/>
    <w:rsid w:val="00282FF8"/>
    <w:rsid w:val="00283513"/>
    <w:rsid w:val="00283533"/>
    <w:rsid w:val="0028480A"/>
    <w:rsid w:val="002856C2"/>
    <w:rsid w:val="00286ED4"/>
    <w:rsid w:val="00287F09"/>
    <w:rsid w:val="002A422A"/>
    <w:rsid w:val="002A589A"/>
    <w:rsid w:val="002A7DAC"/>
    <w:rsid w:val="002B246E"/>
    <w:rsid w:val="002B32A8"/>
    <w:rsid w:val="002B340A"/>
    <w:rsid w:val="002B4FBD"/>
    <w:rsid w:val="002B50A9"/>
    <w:rsid w:val="002C004E"/>
    <w:rsid w:val="002D2892"/>
    <w:rsid w:val="002E3F7A"/>
    <w:rsid w:val="002E5E3B"/>
    <w:rsid w:val="002F2316"/>
    <w:rsid w:val="002F307B"/>
    <w:rsid w:val="003001E6"/>
    <w:rsid w:val="003015D8"/>
    <w:rsid w:val="00301D35"/>
    <w:rsid w:val="00302DC6"/>
    <w:rsid w:val="00305658"/>
    <w:rsid w:val="00305EC0"/>
    <w:rsid w:val="00311939"/>
    <w:rsid w:val="00312379"/>
    <w:rsid w:val="00326814"/>
    <w:rsid w:val="00327014"/>
    <w:rsid w:val="00330426"/>
    <w:rsid w:val="0033189B"/>
    <w:rsid w:val="00337B3E"/>
    <w:rsid w:val="00337FBD"/>
    <w:rsid w:val="00340382"/>
    <w:rsid w:val="0034276D"/>
    <w:rsid w:val="00344ECD"/>
    <w:rsid w:val="003456F0"/>
    <w:rsid w:val="003470E7"/>
    <w:rsid w:val="00350BBC"/>
    <w:rsid w:val="0035274B"/>
    <w:rsid w:val="0035643B"/>
    <w:rsid w:val="00357613"/>
    <w:rsid w:val="003609BA"/>
    <w:rsid w:val="00363D02"/>
    <w:rsid w:val="0036667A"/>
    <w:rsid w:val="003703D2"/>
    <w:rsid w:val="00370B9D"/>
    <w:rsid w:val="003710BB"/>
    <w:rsid w:val="0038097D"/>
    <w:rsid w:val="0038434B"/>
    <w:rsid w:val="00384BFF"/>
    <w:rsid w:val="00385463"/>
    <w:rsid w:val="00386B94"/>
    <w:rsid w:val="0038776E"/>
    <w:rsid w:val="0038791D"/>
    <w:rsid w:val="00391502"/>
    <w:rsid w:val="003937F4"/>
    <w:rsid w:val="003977C1"/>
    <w:rsid w:val="003A0930"/>
    <w:rsid w:val="003A18D9"/>
    <w:rsid w:val="003A1AFF"/>
    <w:rsid w:val="003A6724"/>
    <w:rsid w:val="003A71E0"/>
    <w:rsid w:val="003D0DEE"/>
    <w:rsid w:val="003D682F"/>
    <w:rsid w:val="003F0723"/>
    <w:rsid w:val="003F0766"/>
    <w:rsid w:val="003F20C6"/>
    <w:rsid w:val="003F3128"/>
    <w:rsid w:val="003F3DE9"/>
    <w:rsid w:val="00400B66"/>
    <w:rsid w:val="00401D00"/>
    <w:rsid w:val="004021F4"/>
    <w:rsid w:val="00406487"/>
    <w:rsid w:val="00406BE7"/>
    <w:rsid w:val="0042365F"/>
    <w:rsid w:val="00423AF3"/>
    <w:rsid w:val="004254EC"/>
    <w:rsid w:val="00426AA3"/>
    <w:rsid w:val="00430448"/>
    <w:rsid w:val="0043055E"/>
    <w:rsid w:val="004311D2"/>
    <w:rsid w:val="00434C72"/>
    <w:rsid w:val="00437154"/>
    <w:rsid w:val="00440C10"/>
    <w:rsid w:val="004428A5"/>
    <w:rsid w:val="00442A58"/>
    <w:rsid w:val="00443AEF"/>
    <w:rsid w:val="00445650"/>
    <w:rsid w:val="0044675F"/>
    <w:rsid w:val="00456F4B"/>
    <w:rsid w:val="00460E50"/>
    <w:rsid w:val="00463CA1"/>
    <w:rsid w:val="00466C56"/>
    <w:rsid w:val="00472873"/>
    <w:rsid w:val="00474C93"/>
    <w:rsid w:val="00476884"/>
    <w:rsid w:val="00476DD4"/>
    <w:rsid w:val="00485F38"/>
    <w:rsid w:val="00487476"/>
    <w:rsid w:val="00491EE3"/>
    <w:rsid w:val="004949B5"/>
    <w:rsid w:val="00496169"/>
    <w:rsid w:val="00497EC3"/>
    <w:rsid w:val="004A3613"/>
    <w:rsid w:val="004A577F"/>
    <w:rsid w:val="004B1D13"/>
    <w:rsid w:val="004B2D12"/>
    <w:rsid w:val="004D4D18"/>
    <w:rsid w:val="004D7487"/>
    <w:rsid w:val="004E2E55"/>
    <w:rsid w:val="004E4227"/>
    <w:rsid w:val="004E785A"/>
    <w:rsid w:val="004F201F"/>
    <w:rsid w:val="00523A88"/>
    <w:rsid w:val="005324C5"/>
    <w:rsid w:val="00533C53"/>
    <w:rsid w:val="00542042"/>
    <w:rsid w:val="0054295D"/>
    <w:rsid w:val="00546E1E"/>
    <w:rsid w:val="0056045A"/>
    <w:rsid w:val="005607E4"/>
    <w:rsid w:val="00563041"/>
    <w:rsid w:val="00571C1B"/>
    <w:rsid w:val="0057223E"/>
    <w:rsid w:val="0058061E"/>
    <w:rsid w:val="00580AAD"/>
    <w:rsid w:val="00580FB5"/>
    <w:rsid w:val="0058400E"/>
    <w:rsid w:val="00590623"/>
    <w:rsid w:val="00595C3C"/>
    <w:rsid w:val="005A1DE8"/>
    <w:rsid w:val="005A2186"/>
    <w:rsid w:val="005A4A8B"/>
    <w:rsid w:val="005A532C"/>
    <w:rsid w:val="005A6B5F"/>
    <w:rsid w:val="005B12B5"/>
    <w:rsid w:val="005B149E"/>
    <w:rsid w:val="005B3179"/>
    <w:rsid w:val="005B4AA4"/>
    <w:rsid w:val="005C7486"/>
    <w:rsid w:val="005C7B89"/>
    <w:rsid w:val="005D03AF"/>
    <w:rsid w:val="005D18F3"/>
    <w:rsid w:val="005D1B2F"/>
    <w:rsid w:val="005D202B"/>
    <w:rsid w:val="005D3C70"/>
    <w:rsid w:val="005D7E04"/>
    <w:rsid w:val="005D7E7C"/>
    <w:rsid w:val="005E067B"/>
    <w:rsid w:val="005E366A"/>
    <w:rsid w:val="005E55F5"/>
    <w:rsid w:val="005E6201"/>
    <w:rsid w:val="005F46A6"/>
    <w:rsid w:val="00600ED9"/>
    <w:rsid w:val="0060245E"/>
    <w:rsid w:val="00603A48"/>
    <w:rsid w:val="00604FB7"/>
    <w:rsid w:val="006109ED"/>
    <w:rsid w:val="0061346D"/>
    <w:rsid w:val="006168B9"/>
    <w:rsid w:val="00625981"/>
    <w:rsid w:val="0062781E"/>
    <w:rsid w:val="00627DE4"/>
    <w:rsid w:val="00630949"/>
    <w:rsid w:val="006336A7"/>
    <w:rsid w:val="006355D2"/>
    <w:rsid w:val="00635FAC"/>
    <w:rsid w:val="006368C0"/>
    <w:rsid w:val="006374F3"/>
    <w:rsid w:val="0064078C"/>
    <w:rsid w:val="00642003"/>
    <w:rsid w:val="00642D31"/>
    <w:rsid w:val="006433D1"/>
    <w:rsid w:val="00644DAF"/>
    <w:rsid w:val="00645C61"/>
    <w:rsid w:val="00646BE1"/>
    <w:rsid w:val="00646FAA"/>
    <w:rsid w:val="00647191"/>
    <w:rsid w:val="00647388"/>
    <w:rsid w:val="00647B52"/>
    <w:rsid w:val="006544BF"/>
    <w:rsid w:val="00657E54"/>
    <w:rsid w:val="006723BC"/>
    <w:rsid w:val="0067259A"/>
    <w:rsid w:val="00674E5F"/>
    <w:rsid w:val="0067582A"/>
    <w:rsid w:val="006767C1"/>
    <w:rsid w:val="00683A83"/>
    <w:rsid w:val="00685406"/>
    <w:rsid w:val="00691F03"/>
    <w:rsid w:val="00692A90"/>
    <w:rsid w:val="00696156"/>
    <w:rsid w:val="006A5761"/>
    <w:rsid w:val="006A7123"/>
    <w:rsid w:val="006A7DFC"/>
    <w:rsid w:val="006B2EF0"/>
    <w:rsid w:val="006B6959"/>
    <w:rsid w:val="006C1C48"/>
    <w:rsid w:val="006C262B"/>
    <w:rsid w:val="006C4530"/>
    <w:rsid w:val="006D15E2"/>
    <w:rsid w:val="006D1ED0"/>
    <w:rsid w:val="006D304B"/>
    <w:rsid w:val="006D406B"/>
    <w:rsid w:val="006D43EF"/>
    <w:rsid w:val="006D52D4"/>
    <w:rsid w:val="006D540A"/>
    <w:rsid w:val="006E0506"/>
    <w:rsid w:val="006E31CA"/>
    <w:rsid w:val="006E3D8A"/>
    <w:rsid w:val="006E5A13"/>
    <w:rsid w:val="006E786D"/>
    <w:rsid w:val="006F0E47"/>
    <w:rsid w:val="00700E49"/>
    <w:rsid w:val="007045AE"/>
    <w:rsid w:val="007049F8"/>
    <w:rsid w:val="00704EF4"/>
    <w:rsid w:val="00706786"/>
    <w:rsid w:val="00710192"/>
    <w:rsid w:val="00710EFE"/>
    <w:rsid w:val="007163E8"/>
    <w:rsid w:val="007275DD"/>
    <w:rsid w:val="00732D36"/>
    <w:rsid w:val="00735513"/>
    <w:rsid w:val="00737685"/>
    <w:rsid w:val="00740082"/>
    <w:rsid w:val="0074157B"/>
    <w:rsid w:val="007416B2"/>
    <w:rsid w:val="007429EA"/>
    <w:rsid w:val="00743BFC"/>
    <w:rsid w:val="007502F1"/>
    <w:rsid w:val="00750519"/>
    <w:rsid w:val="00752EA4"/>
    <w:rsid w:val="00754039"/>
    <w:rsid w:val="0075763F"/>
    <w:rsid w:val="007654F6"/>
    <w:rsid w:val="00766DFB"/>
    <w:rsid w:val="00770CAB"/>
    <w:rsid w:val="00772C18"/>
    <w:rsid w:val="00773EFD"/>
    <w:rsid w:val="0078034B"/>
    <w:rsid w:val="00781AE3"/>
    <w:rsid w:val="007845AF"/>
    <w:rsid w:val="00786121"/>
    <w:rsid w:val="00790458"/>
    <w:rsid w:val="00791808"/>
    <w:rsid w:val="007932A6"/>
    <w:rsid w:val="00797F06"/>
    <w:rsid w:val="007A1E91"/>
    <w:rsid w:val="007A53FC"/>
    <w:rsid w:val="007A72D4"/>
    <w:rsid w:val="007B064E"/>
    <w:rsid w:val="007B3987"/>
    <w:rsid w:val="007B59BF"/>
    <w:rsid w:val="007B6B08"/>
    <w:rsid w:val="007C26E2"/>
    <w:rsid w:val="007C7FB8"/>
    <w:rsid w:val="007D1618"/>
    <w:rsid w:val="007D235F"/>
    <w:rsid w:val="007D641E"/>
    <w:rsid w:val="007D704D"/>
    <w:rsid w:val="007D7F78"/>
    <w:rsid w:val="007E1150"/>
    <w:rsid w:val="007E2542"/>
    <w:rsid w:val="007E3B8A"/>
    <w:rsid w:val="007E4670"/>
    <w:rsid w:val="007F03B9"/>
    <w:rsid w:val="007F1D52"/>
    <w:rsid w:val="007F276D"/>
    <w:rsid w:val="007F3DDB"/>
    <w:rsid w:val="007F41C0"/>
    <w:rsid w:val="008014A7"/>
    <w:rsid w:val="0081178E"/>
    <w:rsid w:val="00811B57"/>
    <w:rsid w:val="0081446C"/>
    <w:rsid w:val="00814641"/>
    <w:rsid w:val="00817FE7"/>
    <w:rsid w:val="00820F07"/>
    <w:rsid w:val="0082222B"/>
    <w:rsid w:val="008229DB"/>
    <w:rsid w:val="008260C0"/>
    <w:rsid w:val="00827657"/>
    <w:rsid w:val="0082786D"/>
    <w:rsid w:val="008278E9"/>
    <w:rsid w:val="00832B3C"/>
    <w:rsid w:val="00835EEB"/>
    <w:rsid w:val="00836D92"/>
    <w:rsid w:val="00841211"/>
    <w:rsid w:val="00842408"/>
    <w:rsid w:val="00844FB5"/>
    <w:rsid w:val="00845E66"/>
    <w:rsid w:val="008473BB"/>
    <w:rsid w:val="00851191"/>
    <w:rsid w:val="00852470"/>
    <w:rsid w:val="0085435D"/>
    <w:rsid w:val="008547AD"/>
    <w:rsid w:val="00855922"/>
    <w:rsid w:val="00861CCF"/>
    <w:rsid w:val="00862A6A"/>
    <w:rsid w:val="00864E55"/>
    <w:rsid w:val="008664FC"/>
    <w:rsid w:val="00873363"/>
    <w:rsid w:val="00875088"/>
    <w:rsid w:val="00877B18"/>
    <w:rsid w:val="00882DF9"/>
    <w:rsid w:val="00884DB2"/>
    <w:rsid w:val="008857B6"/>
    <w:rsid w:val="00891E8D"/>
    <w:rsid w:val="008974A2"/>
    <w:rsid w:val="008A064E"/>
    <w:rsid w:val="008A0AC6"/>
    <w:rsid w:val="008A14CB"/>
    <w:rsid w:val="008A1F9B"/>
    <w:rsid w:val="008A202B"/>
    <w:rsid w:val="008A703D"/>
    <w:rsid w:val="008B3BE9"/>
    <w:rsid w:val="008B7C7B"/>
    <w:rsid w:val="008C2DAB"/>
    <w:rsid w:val="008D104A"/>
    <w:rsid w:val="008D3659"/>
    <w:rsid w:val="008D37F2"/>
    <w:rsid w:val="008D5221"/>
    <w:rsid w:val="008E219F"/>
    <w:rsid w:val="008E4189"/>
    <w:rsid w:val="008E4DEA"/>
    <w:rsid w:val="008E5B25"/>
    <w:rsid w:val="008E7A31"/>
    <w:rsid w:val="008F07D4"/>
    <w:rsid w:val="008F1199"/>
    <w:rsid w:val="009014E9"/>
    <w:rsid w:val="00904766"/>
    <w:rsid w:val="0090749B"/>
    <w:rsid w:val="0091514C"/>
    <w:rsid w:val="00916E08"/>
    <w:rsid w:val="00920295"/>
    <w:rsid w:val="009220C7"/>
    <w:rsid w:val="00926CD2"/>
    <w:rsid w:val="0092774D"/>
    <w:rsid w:val="009362B1"/>
    <w:rsid w:val="00937FEF"/>
    <w:rsid w:val="00946187"/>
    <w:rsid w:val="00946417"/>
    <w:rsid w:val="009506EE"/>
    <w:rsid w:val="0095313F"/>
    <w:rsid w:val="0095700C"/>
    <w:rsid w:val="009606F1"/>
    <w:rsid w:val="0096184D"/>
    <w:rsid w:val="0096189B"/>
    <w:rsid w:val="00962E80"/>
    <w:rsid w:val="00963212"/>
    <w:rsid w:val="00963349"/>
    <w:rsid w:val="00964C5E"/>
    <w:rsid w:val="0096614D"/>
    <w:rsid w:val="00967046"/>
    <w:rsid w:val="00970841"/>
    <w:rsid w:val="00970EE9"/>
    <w:rsid w:val="00973AEF"/>
    <w:rsid w:val="009804CC"/>
    <w:rsid w:val="00984379"/>
    <w:rsid w:val="00984C59"/>
    <w:rsid w:val="00985BE5"/>
    <w:rsid w:val="00991BBC"/>
    <w:rsid w:val="00991DC9"/>
    <w:rsid w:val="00992E24"/>
    <w:rsid w:val="009A06E2"/>
    <w:rsid w:val="009A0983"/>
    <w:rsid w:val="009A4EA4"/>
    <w:rsid w:val="009B0D70"/>
    <w:rsid w:val="009C2BB0"/>
    <w:rsid w:val="009C48D3"/>
    <w:rsid w:val="009C6418"/>
    <w:rsid w:val="009D0B32"/>
    <w:rsid w:val="009D1F71"/>
    <w:rsid w:val="009D42C5"/>
    <w:rsid w:val="009E0CCE"/>
    <w:rsid w:val="009E2F3D"/>
    <w:rsid w:val="009E4D90"/>
    <w:rsid w:val="009F06B1"/>
    <w:rsid w:val="009F0FA7"/>
    <w:rsid w:val="009F1227"/>
    <w:rsid w:val="009F3619"/>
    <w:rsid w:val="009F4625"/>
    <w:rsid w:val="009F750C"/>
    <w:rsid w:val="00A002BA"/>
    <w:rsid w:val="00A00631"/>
    <w:rsid w:val="00A03716"/>
    <w:rsid w:val="00A046FA"/>
    <w:rsid w:val="00A05397"/>
    <w:rsid w:val="00A06F98"/>
    <w:rsid w:val="00A11769"/>
    <w:rsid w:val="00A11943"/>
    <w:rsid w:val="00A26785"/>
    <w:rsid w:val="00A26C0A"/>
    <w:rsid w:val="00A27B4B"/>
    <w:rsid w:val="00A300F1"/>
    <w:rsid w:val="00A30BED"/>
    <w:rsid w:val="00A325B1"/>
    <w:rsid w:val="00A35A27"/>
    <w:rsid w:val="00A44DCE"/>
    <w:rsid w:val="00A5256B"/>
    <w:rsid w:val="00A567C5"/>
    <w:rsid w:val="00A656C6"/>
    <w:rsid w:val="00A670F4"/>
    <w:rsid w:val="00A67215"/>
    <w:rsid w:val="00A7272D"/>
    <w:rsid w:val="00A751D5"/>
    <w:rsid w:val="00A83E25"/>
    <w:rsid w:val="00A8402A"/>
    <w:rsid w:val="00A85891"/>
    <w:rsid w:val="00A90130"/>
    <w:rsid w:val="00A91E63"/>
    <w:rsid w:val="00A92DB2"/>
    <w:rsid w:val="00A93675"/>
    <w:rsid w:val="00A95DD0"/>
    <w:rsid w:val="00AA0042"/>
    <w:rsid w:val="00AA1C2F"/>
    <w:rsid w:val="00AA5DBE"/>
    <w:rsid w:val="00AA6CBD"/>
    <w:rsid w:val="00AB4107"/>
    <w:rsid w:val="00AB5AFB"/>
    <w:rsid w:val="00AB68D0"/>
    <w:rsid w:val="00AD1EA8"/>
    <w:rsid w:val="00AD2163"/>
    <w:rsid w:val="00AE40D6"/>
    <w:rsid w:val="00AE46AC"/>
    <w:rsid w:val="00AE597E"/>
    <w:rsid w:val="00AE6213"/>
    <w:rsid w:val="00AE6AAA"/>
    <w:rsid w:val="00AF3B53"/>
    <w:rsid w:val="00AF4115"/>
    <w:rsid w:val="00AF5658"/>
    <w:rsid w:val="00AF6624"/>
    <w:rsid w:val="00B07C7E"/>
    <w:rsid w:val="00B12A67"/>
    <w:rsid w:val="00B1330A"/>
    <w:rsid w:val="00B173B9"/>
    <w:rsid w:val="00B17807"/>
    <w:rsid w:val="00B17AC7"/>
    <w:rsid w:val="00B17E3B"/>
    <w:rsid w:val="00B23A88"/>
    <w:rsid w:val="00B25AA4"/>
    <w:rsid w:val="00B263DD"/>
    <w:rsid w:val="00B30FE6"/>
    <w:rsid w:val="00B34074"/>
    <w:rsid w:val="00B34C1E"/>
    <w:rsid w:val="00B4159E"/>
    <w:rsid w:val="00B436F1"/>
    <w:rsid w:val="00B46414"/>
    <w:rsid w:val="00B5743E"/>
    <w:rsid w:val="00B60F2D"/>
    <w:rsid w:val="00B621C5"/>
    <w:rsid w:val="00B64E30"/>
    <w:rsid w:val="00B65665"/>
    <w:rsid w:val="00B71100"/>
    <w:rsid w:val="00B718A6"/>
    <w:rsid w:val="00B74FE6"/>
    <w:rsid w:val="00B7628C"/>
    <w:rsid w:val="00B82835"/>
    <w:rsid w:val="00B85095"/>
    <w:rsid w:val="00B8650E"/>
    <w:rsid w:val="00B95614"/>
    <w:rsid w:val="00B96A92"/>
    <w:rsid w:val="00B96C6D"/>
    <w:rsid w:val="00BA069A"/>
    <w:rsid w:val="00BA3B56"/>
    <w:rsid w:val="00BB0AB8"/>
    <w:rsid w:val="00BB1AD6"/>
    <w:rsid w:val="00BB4583"/>
    <w:rsid w:val="00BB5386"/>
    <w:rsid w:val="00BB6145"/>
    <w:rsid w:val="00BB7A2A"/>
    <w:rsid w:val="00BB7C1E"/>
    <w:rsid w:val="00BC0686"/>
    <w:rsid w:val="00BC38B4"/>
    <w:rsid w:val="00BD04F1"/>
    <w:rsid w:val="00BD36A7"/>
    <w:rsid w:val="00BD7CB4"/>
    <w:rsid w:val="00BE137B"/>
    <w:rsid w:val="00BE432C"/>
    <w:rsid w:val="00BE6D9D"/>
    <w:rsid w:val="00BE7000"/>
    <w:rsid w:val="00BF1BBD"/>
    <w:rsid w:val="00BF3A88"/>
    <w:rsid w:val="00BF417A"/>
    <w:rsid w:val="00C01484"/>
    <w:rsid w:val="00C02B75"/>
    <w:rsid w:val="00C044E5"/>
    <w:rsid w:val="00C062C5"/>
    <w:rsid w:val="00C06642"/>
    <w:rsid w:val="00C178A5"/>
    <w:rsid w:val="00C179D1"/>
    <w:rsid w:val="00C17AB9"/>
    <w:rsid w:val="00C17B35"/>
    <w:rsid w:val="00C20163"/>
    <w:rsid w:val="00C21393"/>
    <w:rsid w:val="00C21D3B"/>
    <w:rsid w:val="00C22133"/>
    <w:rsid w:val="00C2361C"/>
    <w:rsid w:val="00C24227"/>
    <w:rsid w:val="00C26DE1"/>
    <w:rsid w:val="00C32751"/>
    <w:rsid w:val="00C32B55"/>
    <w:rsid w:val="00C32ED2"/>
    <w:rsid w:val="00C35EC5"/>
    <w:rsid w:val="00C37009"/>
    <w:rsid w:val="00C37B4F"/>
    <w:rsid w:val="00C46F21"/>
    <w:rsid w:val="00C66D52"/>
    <w:rsid w:val="00C67F4D"/>
    <w:rsid w:val="00C7029B"/>
    <w:rsid w:val="00C735A6"/>
    <w:rsid w:val="00C75822"/>
    <w:rsid w:val="00C81DC5"/>
    <w:rsid w:val="00C8272A"/>
    <w:rsid w:val="00C82D9D"/>
    <w:rsid w:val="00C844DB"/>
    <w:rsid w:val="00C84934"/>
    <w:rsid w:val="00C856D8"/>
    <w:rsid w:val="00C9088A"/>
    <w:rsid w:val="00C90D5D"/>
    <w:rsid w:val="00CA343C"/>
    <w:rsid w:val="00CA4E9D"/>
    <w:rsid w:val="00CA4EEE"/>
    <w:rsid w:val="00CA64B0"/>
    <w:rsid w:val="00CA64C1"/>
    <w:rsid w:val="00CA7FCB"/>
    <w:rsid w:val="00CB0D80"/>
    <w:rsid w:val="00CB23F2"/>
    <w:rsid w:val="00CB3C36"/>
    <w:rsid w:val="00CC0B92"/>
    <w:rsid w:val="00CC2FF4"/>
    <w:rsid w:val="00CC6F66"/>
    <w:rsid w:val="00CD1319"/>
    <w:rsid w:val="00CD1A16"/>
    <w:rsid w:val="00CD7608"/>
    <w:rsid w:val="00CE1DAC"/>
    <w:rsid w:val="00CE2F95"/>
    <w:rsid w:val="00CE705A"/>
    <w:rsid w:val="00CF088C"/>
    <w:rsid w:val="00CF08B1"/>
    <w:rsid w:val="00CF1755"/>
    <w:rsid w:val="00CF2EA4"/>
    <w:rsid w:val="00CF3336"/>
    <w:rsid w:val="00CF68D0"/>
    <w:rsid w:val="00D0075B"/>
    <w:rsid w:val="00D01D20"/>
    <w:rsid w:val="00D03F99"/>
    <w:rsid w:val="00D10EEF"/>
    <w:rsid w:val="00D1350B"/>
    <w:rsid w:val="00D13655"/>
    <w:rsid w:val="00D155A1"/>
    <w:rsid w:val="00D16928"/>
    <w:rsid w:val="00D1718D"/>
    <w:rsid w:val="00D22299"/>
    <w:rsid w:val="00D229E5"/>
    <w:rsid w:val="00D30410"/>
    <w:rsid w:val="00D3123C"/>
    <w:rsid w:val="00D355F7"/>
    <w:rsid w:val="00D36439"/>
    <w:rsid w:val="00D42E34"/>
    <w:rsid w:val="00D43D81"/>
    <w:rsid w:val="00D46287"/>
    <w:rsid w:val="00D5271E"/>
    <w:rsid w:val="00D54CB7"/>
    <w:rsid w:val="00D57553"/>
    <w:rsid w:val="00D6339E"/>
    <w:rsid w:val="00D67CBB"/>
    <w:rsid w:val="00D72472"/>
    <w:rsid w:val="00D7461E"/>
    <w:rsid w:val="00D7579D"/>
    <w:rsid w:val="00D775B6"/>
    <w:rsid w:val="00D844BF"/>
    <w:rsid w:val="00D86F67"/>
    <w:rsid w:val="00D91B7B"/>
    <w:rsid w:val="00D9455C"/>
    <w:rsid w:val="00DA0622"/>
    <w:rsid w:val="00DA14C5"/>
    <w:rsid w:val="00DA2400"/>
    <w:rsid w:val="00DB422D"/>
    <w:rsid w:val="00DB440C"/>
    <w:rsid w:val="00DB5855"/>
    <w:rsid w:val="00DC0608"/>
    <w:rsid w:val="00DC1339"/>
    <w:rsid w:val="00DD008D"/>
    <w:rsid w:val="00DD030D"/>
    <w:rsid w:val="00DD05A5"/>
    <w:rsid w:val="00DD11BF"/>
    <w:rsid w:val="00DD3016"/>
    <w:rsid w:val="00DE0EE1"/>
    <w:rsid w:val="00DE1432"/>
    <w:rsid w:val="00DE25DB"/>
    <w:rsid w:val="00DE4235"/>
    <w:rsid w:val="00DF3BEC"/>
    <w:rsid w:val="00DF41CF"/>
    <w:rsid w:val="00E03142"/>
    <w:rsid w:val="00E03F03"/>
    <w:rsid w:val="00E05D91"/>
    <w:rsid w:val="00E07951"/>
    <w:rsid w:val="00E21171"/>
    <w:rsid w:val="00E23B09"/>
    <w:rsid w:val="00E24BAF"/>
    <w:rsid w:val="00E26E9A"/>
    <w:rsid w:val="00E32E80"/>
    <w:rsid w:val="00E42FB2"/>
    <w:rsid w:val="00E450D9"/>
    <w:rsid w:val="00E52909"/>
    <w:rsid w:val="00E571AA"/>
    <w:rsid w:val="00E606FA"/>
    <w:rsid w:val="00E60A2D"/>
    <w:rsid w:val="00E65546"/>
    <w:rsid w:val="00E66DD9"/>
    <w:rsid w:val="00E70639"/>
    <w:rsid w:val="00E71E66"/>
    <w:rsid w:val="00E7286B"/>
    <w:rsid w:val="00E7740A"/>
    <w:rsid w:val="00E920AC"/>
    <w:rsid w:val="00E944AE"/>
    <w:rsid w:val="00E95193"/>
    <w:rsid w:val="00E96551"/>
    <w:rsid w:val="00EA04FF"/>
    <w:rsid w:val="00EA0AB1"/>
    <w:rsid w:val="00EA5CEF"/>
    <w:rsid w:val="00EB3A83"/>
    <w:rsid w:val="00EB5D6B"/>
    <w:rsid w:val="00EB7785"/>
    <w:rsid w:val="00EC7F06"/>
    <w:rsid w:val="00ED03AF"/>
    <w:rsid w:val="00ED052C"/>
    <w:rsid w:val="00EE278E"/>
    <w:rsid w:val="00F02F51"/>
    <w:rsid w:val="00F072E0"/>
    <w:rsid w:val="00F118A1"/>
    <w:rsid w:val="00F20CF0"/>
    <w:rsid w:val="00F24A7A"/>
    <w:rsid w:val="00F2688C"/>
    <w:rsid w:val="00F269BA"/>
    <w:rsid w:val="00F33B30"/>
    <w:rsid w:val="00F356E7"/>
    <w:rsid w:val="00F439BF"/>
    <w:rsid w:val="00F46BAF"/>
    <w:rsid w:val="00F51AEC"/>
    <w:rsid w:val="00F52852"/>
    <w:rsid w:val="00F52AE4"/>
    <w:rsid w:val="00F61B88"/>
    <w:rsid w:val="00F644DE"/>
    <w:rsid w:val="00F72994"/>
    <w:rsid w:val="00F7439B"/>
    <w:rsid w:val="00F74561"/>
    <w:rsid w:val="00F755D4"/>
    <w:rsid w:val="00F84F34"/>
    <w:rsid w:val="00F85670"/>
    <w:rsid w:val="00F874D0"/>
    <w:rsid w:val="00F878DB"/>
    <w:rsid w:val="00F9278E"/>
    <w:rsid w:val="00FA2562"/>
    <w:rsid w:val="00FA3E19"/>
    <w:rsid w:val="00FA6EFA"/>
    <w:rsid w:val="00FB12EC"/>
    <w:rsid w:val="00FC0FCD"/>
    <w:rsid w:val="00FC1E3B"/>
    <w:rsid w:val="00FC3347"/>
    <w:rsid w:val="00FC6318"/>
    <w:rsid w:val="00FC69B5"/>
    <w:rsid w:val="00FD4D7B"/>
    <w:rsid w:val="00FD5EBD"/>
    <w:rsid w:val="00FD7EE9"/>
    <w:rsid w:val="00FE55FD"/>
    <w:rsid w:val="00FE790E"/>
    <w:rsid w:val="00FF0626"/>
    <w:rsid w:val="00FF0E35"/>
    <w:rsid w:val="00FF0E81"/>
    <w:rsid w:val="00FF1A60"/>
    <w:rsid w:val="00FF3AA3"/>
    <w:rsid w:val="00FF7287"/>
    <w:rsid w:val="01714809"/>
    <w:rsid w:val="038E25CB"/>
    <w:rsid w:val="04D94B9F"/>
    <w:rsid w:val="05072A34"/>
    <w:rsid w:val="052F2A11"/>
    <w:rsid w:val="06E076D6"/>
    <w:rsid w:val="07767BC9"/>
    <w:rsid w:val="079A5691"/>
    <w:rsid w:val="079A7870"/>
    <w:rsid w:val="09FC1C09"/>
    <w:rsid w:val="0B064214"/>
    <w:rsid w:val="0BFB5DB4"/>
    <w:rsid w:val="0C9934C1"/>
    <w:rsid w:val="0CFF6A96"/>
    <w:rsid w:val="0D2E35AF"/>
    <w:rsid w:val="0E574324"/>
    <w:rsid w:val="0ECF38A7"/>
    <w:rsid w:val="0ED61D65"/>
    <w:rsid w:val="0EFF5127"/>
    <w:rsid w:val="10AD6EE0"/>
    <w:rsid w:val="10CF6E57"/>
    <w:rsid w:val="13914259"/>
    <w:rsid w:val="159924C4"/>
    <w:rsid w:val="16B0772A"/>
    <w:rsid w:val="16F83FBE"/>
    <w:rsid w:val="171844F3"/>
    <w:rsid w:val="1822044E"/>
    <w:rsid w:val="19053D5D"/>
    <w:rsid w:val="1AA11343"/>
    <w:rsid w:val="1B3B7572"/>
    <w:rsid w:val="1B854AEF"/>
    <w:rsid w:val="1C327001"/>
    <w:rsid w:val="1D37200B"/>
    <w:rsid w:val="1D3B40C5"/>
    <w:rsid w:val="1D4726B8"/>
    <w:rsid w:val="1D9A5A1E"/>
    <w:rsid w:val="1F336789"/>
    <w:rsid w:val="21D6028F"/>
    <w:rsid w:val="22605491"/>
    <w:rsid w:val="231A73D1"/>
    <w:rsid w:val="25CE1DB0"/>
    <w:rsid w:val="27161574"/>
    <w:rsid w:val="29D23193"/>
    <w:rsid w:val="2A046A5B"/>
    <w:rsid w:val="2AFB241B"/>
    <w:rsid w:val="2BC86EE0"/>
    <w:rsid w:val="2C7E448F"/>
    <w:rsid w:val="2D144117"/>
    <w:rsid w:val="2D4A1B5A"/>
    <w:rsid w:val="2D6F1897"/>
    <w:rsid w:val="2D8D21DF"/>
    <w:rsid w:val="2F012EAA"/>
    <w:rsid w:val="2F672E42"/>
    <w:rsid w:val="307D1FD3"/>
    <w:rsid w:val="339C103A"/>
    <w:rsid w:val="35244754"/>
    <w:rsid w:val="35EC2640"/>
    <w:rsid w:val="36082435"/>
    <w:rsid w:val="36E94EEA"/>
    <w:rsid w:val="38376F0C"/>
    <w:rsid w:val="3C0A5BCA"/>
    <w:rsid w:val="3D196626"/>
    <w:rsid w:val="3D3E1186"/>
    <w:rsid w:val="3E931265"/>
    <w:rsid w:val="3ED82A43"/>
    <w:rsid w:val="3EDB27A7"/>
    <w:rsid w:val="3EE93AF5"/>
    <w:rsid w:val="40FA4A5F"/>
    <w:rsid w:val="41401B58"/>
    <w:rsid w:val="434278F6"/>
    <w:rsid w:val="4551378A"/>
    <w:rsid w:val="46BA63E5"/>
    <w:rsid w:val="476650C3"/>
    <w:rsid w:val="47FD12BD"/>
    <w:rsid w:val="494E3A04"/>
    <w:rsid w:val="4B994494"/>
    <w:rsid w:val="4BE40FE4"/>
    <w:rsid w:val="4C8F5111"/>
    <w:rsid w:val="4EDD2163"/>
    <w:rsid w:val="501D03C2"/>
    <w:rsid w:val="50B219FD"/>
    <w:rsid w:val="50C129C9"/>
    <w:rsid w:val="50CF621C"/>
    <w:rsid w:val="51260DBD"/>
    <w:rsid w:val="513B5867"/>
    <w:rsid w:val="5151508A"/>
    <w:rsid w:val="52041C90"/>
    <w:rsid w:val="535020F0"/>
    <w:rsid w:val="542A07E4"/>
    <w:rsid w:val="5450621F"/>
    <w:rsid w:val="5552317F"/>
    <w:rsid w:val="58F669E4"/>
    <w:rsid w:val="594D6B1A"/>
    <w:rsid w:val="599E6F4F"/>
    <w:rsid w:val="59CF0866"/>
    <w:rsid w:val="5A9C1A66"/>
    <w:rsid w:val="5AC9216E"/>
    <w:rsid w:val="5ADD03C5"/>
    <w:rsid w:val="5D0F24E2"/>
    <w:rsid w:val="5D962989"/>
    <w:rsid w:val="5DD21BB5"/>
    <w:rsid w:val="5E9B16F3"/>
    <w:rsid w:val="5EC9096E"/>
    <w:rsid w:val="5F6637EC"/>
    <w:rsid w:val="5F692719"/>
    <w:rsid w:val="60FC3B5F"/>
    <w:rsid w:val="61ED6638"/>
    <w:rsid w:val="632E30B5"/>
    <w:rsid w:val="63462575"/>
    <w:rsid w:val="645138A2"/>
    <w:rsid w:val="655B398A"/>
    <w:rsid w:val="688F2A33"/>
    <w:rsid w:val="698C4A5A"/>
    <w:rsid w:val="6B3D7C7E"/>
    <w:rsid w:val="6B7F31B3"/>
    <w:rsid w:val="6BE04F09"/>
    <w:rsid w:val="6C000876"/>
    <w:rsid w:val="6C540A6C"/>
    <w:rsid w:val="6F775329"/>
    <w:rsid w:val="712861BE"/>
    <w:rsid w:val="747E44E0"/>
    <w:rsid w:val="758752C5"/>
    <w:rsid w:val="7A3837CF"/>
    <w:rsid w:val="7A9D7138"/>
    <w:rsid w:val="7B76704A"/>
    <w:rsid w:val="7D23702C"/>
    <w:rsid w:val="7D5E1E12"/>
    <w:rsid w:val="7DF45D63"/>
    <w:rsid w:val="7F214DB0"/>
    <w:rsid w:val="7FBB2745"/>
    <w:rsid w:val="7FD7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7">
    <w:name w:val="annotation subject"/>
    <w:basedOn w:val="2"/>
    <w:next w:val="2"/>
    <w:link w:val="20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styleId="12">
    <w:name w:val="footnote reference"/>
    <w:basedOn w:val="10"/>
    <w:semiHidden/>
    <w:unhideWhenUsed/>
    <w:qFormat/>
    <w:uiPriority w:val="99"/>
    <w:rPr>
      <w:vertAlign w:val="superscript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脚注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5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4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3"/>
    <w:semiHidden/>
    <w:qFormat/>
    <w:uiPriority w:val="99"/>
    <w:rPr>
      <w:sz w:val="18"/>
      <w:szCs w:val="18"/>
    </w:rPr>
  </w:style>
  <w:style w:type="paragraph" w:customStyle="1" w:styleId="1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9">
    <w:name w:val="批注文字 字符"/>
    <w:basedOn w:val="10"/>
    <w:link w:val="2"/>
    <w:qFormat/>
    <w:uiPriority w:val="99"/>
  </w:style>
  <w:style w:type="character" w:customStyle="1" w:styleId="20">
    <w:name w:val="批注主题 字符"/>
    <w:basedOn w:val="19"/>
    <w:link w:val="7"/>
    <w:semiHidden/>
    <w:qFormat/>
    <w:uiPriority w:val="99"/>
    <w:rPr>
      <w:b/>
      <w:bCs/>
    </w:rPr>
  </w:style>
  <w:style w:type="paragraph" w:customStyle="1" w:styleId="21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35171D-D2B9-4D2A-8CCA-C596662D95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2296</Words>
  <Characters>2366</Characters>
  <Lines>15</Lines>
  <Paragraphs>4</Paragraphs>
  <TotalTime>18</TotalTime>
  <ScaleCrop>false</ScaleCrop>
  <LinksUpToDate>false</LinksUpToDate>
  <CharactersWithSpaces>2366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2025-02-19T07:09:00Z</dcterms:created>
  <dc:creator>HP</dc:creator>
  <cp:lastModifiedBy>月生</cp:lastModifiedBy>
  <dcterms:modified xsi:type="dcterms:W3CDTF">2025-02-28T02:50:17Z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eyJoZGlkIjoiOTFiNzIwYzlhNjU3NWMzYmIwMTUwM2JiMDg2NzE0ZmEiLCJ1c2VySWQiOiI4NDQ2NDA1NjcifQ==</vt:lpwstr>
  </property>
  <property fmtid="{D5CDD505-2E9C-101B-9397-08002B2CF9AE}" pid="3" name="KSOProductBuildVer">
    <vt:lpwstr>2052-12.1.0.19770</vt:lpwstr>
  </property>
  <property fmtid="{D5CDD505-2E9C-101B-9397-08002B2CF9AE}" pid="4" name="ICV">
    <vt:lpwstr>96A5A1747F254F47A611EEEEC06E5454_13</vt:lpwstr>
  </property>
</Properties>
</file>