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299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中国移动“产投协同”资本布局的</w:t>
      </w:r>
    </w:p>
    <w:p>
      <w:pPr>
        <w:ind w:left="3479"/>
        <w:spacing w:before="95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启示与建议</w:t>
      </w:r>
    </w:p>
    <w:p>
      <w:pPr>
        <w:ind w:left="2286"/>
        <w:spacing w:before="328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23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李一明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张媛玥  杜晓明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裴迎栋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39" w:right="408" w:firstLine="635"/>
        <w:spacing w:before="98" w:line="259" w:lineRule="auto"/>
        <w:jc w:val="both"/>
        <w:rPr/>
      </w:pPr>
      <w:r>
        <w:rPr>
          <w:spacing w:val="-4"/>
        </w:rPr>
        <w:t>国资委《关于做好</w:t>
      </w:r>
      <w:r>
        <w:rPr>
          <w:spacing w:val="-32"/>
        </w:rPr>
        <w:t xml:space="preserve"> </w:t>
      </w:r>
      <w:r>
        <w:rPr>
          <w:spacing w:val="-4"/>
        </w:rPr>
        <w:t>2023</w:t>
      </w:r>
      <w:r>
        <w:rPr>
          <w:spacing w:val="-4"/>
        </w:rPr>
        <w:t xml:space="preserve"> </w:t>
      </w:r>
      <w:r>
        <w:rPr>
          <w:spacing w:val="-4"/>
        </w:rPr>
        <w:t>年中央企业投资管理进一</w:t>
      </w:r>
      <w:r>
        <w:rPr>
          <w:spacing w:val="-5"/>
        </w:rPr>
        <w:t>步扩大有</w:t>
      </w:r>
      <w:r>
        <w:rPr>
          <w:spacing w:val="-4"/>
        </w:rPr>
        <w:t>效投资有关事项的通知》提出，要求央企促进数字经济和实</w:t>
      </w:r>
      <w:r>
        <w:rPr>
          <w:spacing w:val="-5"/>
        </w:rPr>
        <w:t>体经</w:t>
      </w:r>
      <w:r>
        <w:rPr>
          <w:spacing w:val="-4"/>
        </w:rPr>
        <w:t>济深度融合，深化创新链产业链资金链人才链融合，以</w:t>
      </w:r>
      <w:r>
        <w:rPr>
          <w:spacing w:val="-5"/>
        </w:rPr>
        <w:t>资本为纽</w:t>
      </w:r>
      <w:r>
        <w:rPr>
          <w:spacing w:val="-4"/>
        </w:rPr>
        <w:t>带投资布局一批专精特新企业，构建自主可控产业生态</w:t>
      </w:r>
      <w:r>
        <w:rPr>
          <w:spacing w:val="-5"/>
        </w:rPr>
        <w:t>，推动形</w:t>
      </w:r>
      <w:r>
        <w:rPr>
          <w:spacing w:val="-4"/>
        </w:rPr>
        <w:t>成“资本—产业—科技”良性循环。中移动</w:t>
      </w:r>
      <w:r>
        <w:rPr>
          <w:spacing w:val="-31"/>
        </w:rPr>
        <w:t xml:space="preserve"> </w:t>
      </w:r>
      <w:r>
        <w:rPr>
          <w:spacing w:val="-4"/>
        </w:rPr>
        <w:t>2023</w:t>
      </w:r>
      <w:r>
        <w:rPr>
          <w:spacing w:val="-36"/>
        </w:rPr>
        <w:t xml:space="preserve"> </w:t>
      </w:r>
      <w:r>
        <w:rPr>
          <w:spacing w:val="-4"/>
        </w:rPr>
        <w:t>年初继</w:t>
      </w:r>
      <w:r>
        <w:rPr>
          <w:spacing w:val="-40"/>
        </w:rPr>
        <w:t xml:space="preserve"> </w:t>
      </w:r>
      <w:r>
        <w:rPr>
          <w:spacing w:val="-4"/>
        </w:rPr>
        <w:t>7</w:t>
      </w:r>
      <w:r>
        <w:rPr>
          <w:spacing w:val="-39"/>
        </w:rPr>
        <w:t xml:space="preserve"> </w:t>
      </w:r>
      <w:r>
        <w:rPr>
          <w:spacing w:val="-4"/>
        </w:rPr>
        <w:t>亿入</w:t>
      </w:r>
      <w:r>
        <w:rPr>
          <w:spacing w:val="-4"/>
        </w:rPr>
        <w:t>股东方航空后，又</w:t>
      </w:r>
      <w:r>
        <w:rPr>
          <w:spacing w:val="-4"/>
        </w:rPr>
        <w:t xml:space="preserve"> </w:t>
      </w:r>
      <w:r>
        <w:rPr>
          <w:spacing w:val="-4"/>
        </w:rPr>
        <w:t>20</w:t>
      </w:r>
      <w:r>
        <w:rPr>
          <w:spacing w:val="-4"/>
        </w:rPr>
        <w:t xml:space="preserve"> </w:t>
      </w:r>
      <w:r>
        <w:rPr>
          <w:spacing w:val="-4"/>
        </w:rPr>
        <w:t>亿受让凤凰传媒</w:t>
      </w:r>
      <w:r>
        <w:rPr>
          <w:spacing w:val="-4"/>
        </w:rPr>
        <w:t xml:space="preserve"> </w:t>
      </w:r>
      <w:r>
        <w:rPr>
          <w:spacing w:val="-4"/>
        </w:rPr>
        <w:t>10%股权，资本市场动作</w:t>
      </w:r>
      <w:r>
        <w:rPr>
          <w:spacing w:val="-4"/>
        </w:rPr>
        <w:t>频繁，通过对中移动“并购+参股+创投”的投资布局分析，提出</w:t>
      </w:r>
      <w:r>
        <w:rPr>
          <w:spacing w:val="-3"/>
        </w:rPr>
        <w:t>利用资本市场资源，协同主业发展的建议。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1081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一、中移动“形散神不散”的投资版图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433" w:right="276" w:firstLine="626"/>
        <w:spacing w:before="98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中移动初期由集团、股份公司参与上市公司战略投资。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2016</w:t>
      </w:r>
      <w:r>
        <w:rPr>
          <w:rFonts w:ascii="SimSun" w:hAnsi="SimSun" w:eastAsia="SimSun" w:cs="SimSun"/>
          <w:sz w:val="30"/>
          <w:szCs w:val="30"/>
          <w:spacing w:val="-10"/>
        </w:rPr>
        <w:t>年先后成立了“中移资本控股有限责任公司”（即“中移资本”）</w:t>
      </w:r>
      <w:r>
        <w:rPr>
          <w:rFonts w:ascii="SimSun" w:hAnsi="SimSun" w:eastAsia="SimSun" w:cs="SimSun"/>
          <w:sz w:val="30"/>
          <w:szCs w:val="30"/>
          <w:spacing w:val="-14"/>
        </w:rPr>
        <w:t>和“中移投资控股有限责任公司”（即“中移投资”）两家投资平</w:t>
      </w:r>
      <w:r>
        <w:rPr>
          <w:rFonts w:ascii="SimSun" w:hAnsi="SimSun" w:eastAsia="SimSun" w:cs="SimSun"/>
          <w:sz w:val="30"/>
          <w:szCs w:val="30"/>
          <w:spacing w:val="-4"/>
        </w:rPr>
        <w:t>台，近十年通过集团及两大平台对上市公司、产业基金以及初创</w:t>
      </w:r>
      <w:r>
        <w:rPr>
          <w:rFonts w:ascii="SimSun" w:hAnsi="SimSun" w:eastAsia="SimSun" w:cs="SimSun"/>
          <w:sz w:val="30"/>
          <w:szCs w:val="30"/>
          <w:spacing w:val="-3"/>
        </w:rPr>
        <w:t>公司投资了近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800 </w:t>
      </w:r>
      <w:r>
        <w:rPr>
          <w:rFonts w:ascii="SimSun" w:hAnsi="SimSun" w:eastAsia="SimSun" w:cs="SimSun"/>
          <w:sz w:val="30"/>
          <w:szCs w:val="30"/>
          <w:spacing w:val="-3"/>
        </w:rPr>
        <w:t>亿元，其中绝大多数项目为战略性投资。</w:t>
      </w:r>
    </w:p>
    <w:p>
      <w:pPr>
        <w:spacing w:before="67" w:line="3319" w:lineRule="exact"/>
        <w:rPr/>
      </w:pPr>
      <w:r>
        <w:rPr>
          <w:position w:val="-66"/>
        </w:rPr>
        <w:drawing>
          <wp:inline distT="0" distB="0" distL="0" distR="0">
            <wp:extent cx="5801867" cy="210769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1867" cy="210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582"/>
        <w:spacing w:before="96" w:line="217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数据来源：企查查等</w:t>
      </w:r>
    </w:p>
    <w:p>
      <w:pPr>
        <w:ind w:left="2856"/>
        <w:spacing w:before="178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1"/>
        </w:rPr>
        <w:t>图</w:t>
      </w:r>
      <w:r>
        <w:rPr>
          <w:rFonts w:ascii="KaiTi" w:hAnsi="KaiTi" w:eastAsia="KaiTi" w:cs="KaiTi"/>
          <w:sz w:val="30"/>
          <w:szCs w:val="30"/>
          <w:spacing w:val="-4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1"/>
        </w:rPr>
        <w:t>1</w:t>
      </w:r>
      <w:r>
        <w:rPr>
          <w:rFonts w:ascii="KaiTi" w:hAnsi="KaiTi" w:eastAsia="KaiTi" w:cs="KaiTi"/>
          <w:sz w:val="30"/>
          <w:szCs w:val="30"/>
          <w:spacing w:val="2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1"/>
        </w:rPr>
        <w:t>中移动对外投资概况</w:t>
      </w:r>
    </w:p>
    <w:p>
      <w:pPr>
        <w:spacing w:line="217" w:lineRule="auto"/>
        <w:sectPr>
          <w:pgSz w:w="11907" w:h="16839"/>
          <w:pgMar w:top="1431" w:right="1389" w:bottom="0" w:left="1380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5" w:right="148" w:firstLine="599"/>
        <w:spacing w:before="84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据不完全统计，中移资本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2018~2023</w:t>
      </w:r>
      <w:r>
        <w:rPr>
          <w:rFonts w:ascii="Times New Roman" w:hAnsi="Times New Roman" w:eastAsia="Times New Roman" w:cs="Times New Roman"/>
          <w:sz w:val="30"/>
          <w:szCs w:val="30"/>
          <w:spacing w:val="5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年间参与投资</w:t>
      </w:r>
      <w:r>
        <w:rPr>
          <w:rFonts w:ascii="SimSun" w:hAnsi="SimSun" w:eastAsia="SimSun" w:cs="SimSun"/>
          <w:sz w:val="30"/>
          <w:szCs w:val="30"/>
          <w:spacing w:val="-3"/>
        </w:rPr>
        <w:t>事件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31</w:t>
      </w:r>
      <w:r>
        <w:rPr>
          <w:rFonts w:ascii="SimSun" w:hAnsi="SimSun" w:eastAsia="SimSun" w:cs="SimSun"/>
          <w:sz w:val="30"/>
          <w:szCs w:val="30"/>
          <w:spacing w:val="-16"/>
        </w:rPr>
        <w:t>起（见附件</w:t>
      </w:r>
      <w:r>
        <w:rPr>
          <w:rFonts w:ascii="SimSun" w:hAnsi="SimSun" w:eastAsia="SimSun" w:cs="SimSun"/>
          <w:sz w:val="30"/>
          <w:szCs w:val="30"/>
          <w:spacing w:val="-29"/>
        </w:rPr>
        <w:t>），</w:t>
      </w:r>
      <w:r>
        <w:rPr>
          <w:rFonts w:ascii="SimSun" w:hAnsi="SimSun" w:eastAsia="SimSun" w:cs="SimSun"/>
          <w:sz w:val="30"/>
          <w:szCs w:val="30"/>
          <w:spacing w:val="-16"/>
        </w:rPr>
        <w:t>年投资项目数量、金额相对稳定，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年均投资事件数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起左右，金额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50~60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亿元。截止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年底注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3"/>
        </w:rPr>
        <w:t>，中移动在管股</w:t>
      </w:r>
      <w:r>
        <w:rPr>
          <w:rFonts w:ascii="SimSun" w:hAnsi="SimSun" w:eastAsia="SimSun" w:cs="SimSun"/>
          <w:sz w:val="30"/>
          <w:szCs w:val="30"/>
          <w:spacing w:val="-8"/>
        </w:rPr>
        <w:t>权资产约</w:t>
      </w:r>
      <w:r>
        <w:rPr>
          <w:rFonts w:ascii="SimSun" w:hAnsi="SimSun" w:eastAsia="SimSun" w:cs="SimSun"/>
          <w:sz w:val="30"/>
          <w:szCs w:val="30"/>
          <w:spacing w:val="-7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2200 </w:t>
      </w:r>
      <w:r>
        <w:rPr>
          <w:rFonts w:ascii="SimSun" w:hAnsi="SimSun" w:eastAsia="SimSun" w:cs="SimSun"/>
          <w:sz w:val="30"/>
          <w:szCs w:val="30"/>
          <w:spacing w:val="-8"/>
        </w:rPr>
        <w:t>亿元，股权投资收益对净利润贡献占比达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10.1%</w:t>
      </w:r>
      <w:r>
        <w:rPr>
          <w:rFonts w:ascii="SimSun" w:hAnsi="SimSun" w:eastAsia="SimSun" w:cs="SimSun"/>
          <w:sz w:val="30"/>
          <w:szCs w:val="30"/>
          <w:spacing w:val="-8"/>
        </w:rPr>
        <w:t>。</w:t>
      </w:r>
    </w:p>
    <w:p>
      <w:pPr>
        <w:ind w:left="26" w:right="159" w:firstLine="610"/>
        <w:spacing w:before="266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．产投目标：战略布局行业头部企业，构建生态合作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“亲</w:t>
      </w:r>
      <w:r>
        <w:rPr>
          <w:rFonts w:ascii="SimSun" w:hAnsi="SimSun" w:eastAsia="SimSun" w:cs="SimSun"/>
          <w:sz w:val="30"/>
          <w:szCs w:val="30"/>
          <w:b/>
          <w:bCs/>
          <w:spacing w:val="43"/>
        </w:rPr>
        <w:t>戚圈”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6" w:right="148" w:firstLine="616"/>
        <w:spacing w:before="9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随着产数业务发展，中移动依靠资本布局政企业务和市场发</w:t>
      </w:r>
      <w:r>
        <w:rPr>
          <w:rFonts w:ascii="SimSun" w:hAnsi="SimSun" w:eastAsia="SimSun" w:cs="SimSun"/>
          <w:sz w:val="30"/>
          <w:szCs w:val="30"/>
          <w:spacing w:val="-9"/>
        </w:rPr>
        <w:t>展的关键企业，助力行业能力补强、市场拓展。 一是与头部企业</w:t>
      </w:r>
      <w:r>
        <w:rPr>
          <w:rFonts w:ascii="SimSun" w:hAnsi="SimSun" w:eastAsia="SimSun" w:cs="SimSun"/>
          <w:sz w:val="30"/>
          <w:szCs w:val="30"/>
          <w:spacing w:val="-11"/>
        </w:rPr>
        <w:t>开展基于资本的战略合作，在垂直行业市场谋求协同效应。如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398</w:t>
      </w:r>
      <w:r>
        <w:rPr>
          <w:rFonts w:ascii="SimSun" w:hAnsi="SimSun" w:eastAsia="SimSun" w:cs="SimSun"/>
          <w:sz w:val="30"/>
          <w:szCs w:val="30"/>
          <w:spacing w:val="-4"/>
        </w:rPr>
        <w:t>亿参股浦发银行，初期为解决移动支付入口问题，近期双方签订</w:t>
      </w:r>
      <w:r>
        <w:rPr>
          <w:rFonts w:ascii="SimSun" w:hAnsi="SimSun" w:eastAsia="SimSun" w:cs="SimSun"/>
          <w:sz w:val="30"/>
          <w:szCs w:val="30"/>
          <w:spacing w:val="-4"/>
        </w:rPr>
        <w:t>新的战略协议，在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 </w:t>
      </w:r>
      <w:r>
        <w:rPr>
          <w:rFonts w:ascii="SimSun" w:hAnsi="SimSun" w:eastAsia="SimSun" w:cs="SimSun"/>
          <w:sz w:val="30"/>
          <w:szCs w:val="30"/>
          <w:spacing w:val="-4"/>
        </w:rPr>
        <w:t>金融云、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 </w:t>
      </w:r>
      <w:r>
        <w:rPr>
          <w:rFonts w:ascii="SimSun" w:hAnsi="SimSun" w:eastAsia="SimSun" w:cs="SimSun"/>
          <w:sz w:val="30"/>
          <w:szCs w:val="30"/>
          <w:spacing w:val="-4"/>
        </w:rPr>
        <w:t>大数据应用赋能等</w:t>
      </w:r>
      <w:r>
        <w:rPr>
          <w:rFonts w:ascii="SimSun" w:hAnsi="SimSun" w:eastAsia="SimSun" w:cs="SimSun"/>
          <w:sz w:val="30"/>
          <w:szCs w:val="30"/>
          <w:spacing w:val="-5"/>
        </w:rPr>
        <w:t>方面全面合</w:t>
      </w:r>
      <w:r>
        <w:rPr>
          <w:rFonts w:ascii="SimSun" w:hAnsi="SimSun" w:eastAsia="SimSun" w:cs="SimSun"/>
          <w:sz w:val="30"/>
          <w:szCs w:val="30"/>
          <w:spacing w:val="-2"/>
        </w:rPr>
        <w:t>作，推进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5G+</w:t>
      </w:r>
      <w:r>
        <w:rPr>
          <w:rFonts w:ascii="SimSun" w:hAnsi="SimSun" w:eastAsia="SimSun" w:cs="SimSun"/>
          <w:sz w:val="30"/>
          <w:szCs w:val="30"/>
          <w:spacing w:val="-2"/>
        </w:rPr>
        <w:t>金融行业方案落地。近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亿参股凤凰传媒，意图</w:t>
      </w:r>
      <w:r>
        <w:rPr>
          <w:rFonts w:ascii="SimSun" w:hAnsi="SimSun" w:eastAsia="SimSun" w:cs="SimSun"/>
          <w:sz w:val="30"/>
          <w:szCs w:val="30"/>
          <w:spacing w:val="-1"/>
        </w:rPr>
        <w:t>推动文化数字出版、智慧教育与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1"/>
        </w:rPr>
        <w:t>、大数据、云</w:t>
      </w:r>
      <w:r>
        <w:rPr>
          <w:rFonts w:ascii="SimSun" w:hAnsi="SimSun" w:eastAsia="SimSun" w:cs="SimSun"/>
          <w:sz w:val="30"/>
          <w:szCs w:val="30"/>
          <w:spacing w:val="-2"/>
        </w:rPr>
        <w:t>计算等数字技</w:t>
      </w:r>
      <w:r>
        <w:rPr>
          <w:rFonts w:ascii="SimSun" w:hAnsi="SimSun" w:eastAsia="SimSun" w:cs="SimSun"/>
          <w:sz w:val="30"/>
          <w:szCs w:val="30"/>
          <w:spacing w:val="-3"/>
        </w:rPr>
        <w:t>术的融合，建设传统媒体向数字化升级的行业范例。</w:t>
      </w:r>
    </w:p>
    <w:p>
      <w:pPr>
        <w:ind w:left="25" w:right="151" w:firstLine="605"/>
        <w:spacing w:before="28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二是推动强链、补链， 补齐产品、技术和能力短板。如投资</w:t>
      </w:r>
      <w:r>
        <w:rPr>
          <w:rFonts w:ascii="SimSun" w:hAnsi="SimSun" w:eastAsia="SimSun" w:cs="SimSun"/>
          <w:sz w:val="30"/>
          <w:szCs w:val="30"/>
          <w:spacing w:val="-4"/>
        </w:rPr>
        <w:t>芒果超媒，咪咕视频借助湖南卫视打造可掌控的内容版图，二者</w:t>
      </w:r>
      <w:r>
        <w:rPr>
          <w:rFonts w:ascii="SimSun" w:hAnsi="SimSun" w:eastAsia="SimSun" w:cs="SimSun"/>
          <w:sz w:val="30"/>
          <w:szCs w:val="30"/>
          <w:spacing w:val="-4"/>
        </w:rPr>
        <w:t>合作开发综艺及影视作品进行独家内容运营，当前咪咕视频在长</w:t>
      </w:r>
      <w:r>
        <w:rPr>
          <w:rFonts w:ascii="SimSun" w:hAnsi="SimSun" w:eastAsia="SimSun" w:cs="SimSun"/>
          <w:sz w:val="30"/>
          <w:szCs w:val="30"/>
          <w:spacing w:val="-14"/>
        </w:rPr>
        <w:t>视频赛道已从“不入流”跻身“第二梯队”；投资大华股份，目标</w:t>
      </w:r>
      <w:r>
        <w:rPr>
          <w:rFonts w:ascii="SimSun" w:hAnsi="SimSun" w:eastAsia="SimSun" w:cs="SimSun"/>
          <w:sz w:val="30"/>
          <w:szCs w:val="30"/>
          <w:spacing w:val="-4"/>
        </w:rPr>
        <w:t>强化视频物联能力；投资优刻得，为了云战略多元化落地等，借</w:t>
      </w:r>
      <w:r>
        <w:rPr>
          <w:rFonts w:ascii="SimSun" w:hAnsi="SimSun" w:eastAsia="SimSun" w:cs="SimSun"/>
          <w:sz w:val="30"/>
          <w:szCs w:val="30"/>
          <w:spacing w:val="-1"/>
        </w:rPr>
        <w:t>助资本垒高技术积累，实现关键领域的“补短锻长”。</w:t>
      </w:r>
    </w:p>
    <w:p>
      <w:pPr>
        <w:ind w:left="54" w:right="159" w:firstLine="569"/>
        <w:spacing w:before="271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．产投模式：直投行业龙头成为战略股东，主控基金挖潜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中小科技企业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7" w:firstLine="603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一是直属公司战略直投行业龙头，以资本加固合作基础，拓</w:t>
      </w:r>
      <w:r>
        <w:rPr>
          <w:rFonts w:ascii="SimSun" w:hAnsi="SimSun" w:eastAsia="SimSun" w:cs="SimSun"/>
          <w:sz w:val="30"/>
          <w:szCs w:val="30"/>
          <w:spacing w:val="-4"/>
        </w:rPr>
        <w:t>展产业布局。中移动瞄准行业头部企业，采</w:t>
      </w:r>
      <w:r>
        <w:rPr>
          <w:rFonts w:ascii="SimSun" w:hAnsi="SimSun" w:eastAsia="SimSun" w:cs="SimSun"/>
          <w:sz w:val="30"/>
          <w:szCs w:val="30"/>
          <w:spacing w:val="-5"/>
        </w:rPr>
        <w:t>用“战略合作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</w:t>
      </w:r>
      <w:r>
        <w:rPr>
          <w:rFonts w:ascii="SimSun" w:hAnsi="SimSun" w:eastAsia="SimSun" w:cs="SimSun"/>
          <w:sz w:val="30"/>
          <w:szCs w:val="30"/>
          <w:spacing w:val="-5"/>
        </w:rPr>
        <w:t>入股”</w:t>
      </w:r>
      <w:r>
        <w:rPr>
          <w:rFonts w:ascii="SimSun" w:hAnsi="SimSun" w:eastAsia="SimSun" w:cs="SimSun"/>
          <w:sz w:val="30"/>
          <w:szCs w:val="30"/>
          <w:spacing w:val="-4"/>
        </w:rPr>
        <w:t>方式，通过中移资本和中移投资两个资本运营平台，以股权受让</w:t>
      </w:r>
      <w:r>
        <w:rPr>
          <w:rFonts w:ascii="SimSun" w:hAnsi="SimSun" w:eastAsia="SimSun" w:cs="SimSun"/>
          <w:sz w:val="30"/>
          <w:szCs w:val="30"/>
          <w:spacing w:val="-4"/>
        </w:rPr>
        <w:t>或增发方式成为企业第二大股东，如在浦发银行、大华股份、芒</w:t>
      </w:r>
      <w:r>
        <w:rPr>
          <w:rFonts w:ascii="SimSun" w:hAnsi="SimSun" w:eastAsia="SimSun" w:cs="SimSun"/>
          <w:sz w:val="30"/>
          <w:szCs w:val="30"/>
          <w:spacing w:val="-8"/>
        </w:rPr>
        <w:t>果超媒、华宇软件等多家上市企业均以第二大股东身份入驻，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一</w:t>
      </w:r>
      <w:r>
        <w:rPr>
          <w:rFonts w:ascii="SimSun" w:hAnsi="SimSun" w:eastAsia="SimSun" w:cs="SimSun"/>
          <w:sz w:val="30"/>
          <w:szCs w:val="30"/>
          <w:spacing w:val="-4"/>
        </w:rPr>
        <w:t>方面加强合作紧密性，另一方面一旦出现类似科大讯飞公司企业</w:t>
      </w:r>
    </w:p>
    <w:p>
      <w:pPr>
        <w:spacing w:line="333" w:lineRule="auto"/>
        <w:rPr>
          <w:rFonts w:ascii="Arial"/>
          <w:sz w:val="21"/>
        </w:rPr>
      </w:pPr>
      <w:r>
        <w:pict>
          <v:shape id="_x0000_s2" style="position:absolute;margin-left:0.72599pt;margin-top:11.2489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91" w:line="21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1   </w:t>
      </w:r>
      <w:r>
        <w:rPr>
          <w:rFonts w:ascii="Microsoft YaHei" w:hAnsi="Microsoft YaHei" w:eastAsia="Microsoft YaHei" w:cs="Microsoft YaHei"/>
          <w:sz w:val="21"/>
          <w:szCs w:val="21"/>
        </w:rPr>
        <w:t>来源：中国网报道。</w:t>
      </w:r>
    </w:p>
    <w:p>
      <w:pPr>
        <w:spacing w:line="214" w:lineRule="auto"/>
        <w:sectPr>
          <w:pgSz w:w="11907" w:h="16839"/>
          <w:pgMar w:top="1431" w:right="1648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ind w:left="27" w:right="232" w:firstLine="9"/>
        <w:spacing w:before="84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改制的情况，便成为公司第一大股东，更好地</w:t>
      </w:r>
      <w:r>
        <w:rPr>
          <w:rFonts w:ascii="SimSun" w:hAnsi="SimSun" w:eastAsia="SimSun" w:cs="SimSun"/>
          <w:sz w:val="30"/>
          <w:szCs w:val="30"/>
          <w:spacing w:val="-5"/>
        </w:rPr>
        <w:t>掌控入股公司的发</w:t>
      </w:r>
      <w:r>
        <w:rPr>
          <w:rFonts w:ascii="SimSun" w:hAnsi="SimSun" w:eastAsia="SimSun" w:cs="SimSun"/>
          <w:sz w:val="30"/>
          <w:szCs w:val="30"/>
          <w:spacing w:val="-6"/>
        </w:rPr>
        <w:t>展目标与自身业务高质量协同。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2022 </w:t>
      </w:r>
      <w:r>
        <w:rPr>
          <w:rFonts w:ascii="SimSun" w:hAnsi="SimSun" w:eastAsia="SimSun" w:cs="SimSun"/>
          <w:sz w:val="30"/>
          <w:szCs w:val="30"/>
          <w:spacing w:val="-6"/>
        </w:rPr>
        <w:t>年在此基础上，更是拟直接</w:t>
      </w:r>
      <w:r>
        <w:rPr>
          <w:rFonts w:ascii="SimSun" w:hAnsi="SimSun" w:eastAsia="SimSun" w:cs="SimSun"/>
          <w:sz w:val="30"/>
          <w:szCs w:val="30"/>
          <w:spacing w:val="-4"/>
        </w:rPr>
        <w:t>收购启明星辰，利用其信创安全领域头部地位，来填补网络安全</w:t>
      </w:r>
      <w:r>
        <w:rPr>
          <w:rFonts w:ascii="SimSun" w:hAnsi="SimSun" w:eastAsia="SimSun" w:cs="SimSun"/>
          <w:sz w:val="30"/>
          <w:szCs w:val="30"/>
          <w:spacing w:val="-6"/>
        </w:rPr>
        <w:t>赛道能力缺位问题。</w:t>
      </w:r>
    </w:p>
    <w:p>
      <w:pPr>
        <w:ind w:left="25" w:right="233" w:firstLine="605"/>
        <w:spacing w:before="29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二是主控</w:t>
      </w:r>
      <w:hyperlink w:history="true" r:id="rId2">
        <w:r>
          <w:rPr>
            <w:rFonts w:ascii="SimSun" w:hAnsi="SimSun" w:eastAsia="SimSun" w:cs="SimSun"/>
            <w:sz w:val="30"/>
            <w:szCs w:val="30"/>
            <w:spacing w:val="-5"/>
          </w:rPr>
          <w:t>基金</w:t>
        </w:r>
      </w:hyperlink>
      <w:r>
        <w:rPr>
          <w:rFonts w:ascii="SimSun" w:hAnsi="SimSun" w:eastAsia="SimSun" w:cs="SimSun"/>
          <w:sz w:val="30"/>
          <w:szCs w:val="30"/>
          <w:spacing w:val="-5"/>
        </w:rPr>
        <w:t>布局、挖潜产业协同价值。投资“主力军”中</w:t>
      </w:r>
      <w:r>
        <w:rPr>
          <w:rFonts w:ascii="SimSun" w:hAnsi="SimSun" w:eastAsia="SimSun" w:cs="SimSun"/>
          <w:sz w:val="30"/>
          <w:szCs w:val="30"/>
          <w:spacing w:val="-4"/>
        </w:rPr>
        <w:t>移资本牵头成立中移创新产业基金、中移股权基金等多个产业基</w:t>
      </w:r>
      <w:r>
        <w:rPr>
          <w:rFonts w:ascii="SimSun" w:hAnsi="SimSun" w:eastAsia="SimSun" w:cs="SimSun"/>
          <w:sz w:val="30"/>
          <w:szCs w:val="30"/>
          <w:spacing w:val="-4"/>
        </w:rPr>
        <w:t>金，重点投入新型移动互联网应用、智能硬件（如无人机、可穿</w:t>
      </w:r>
      <w:r>
        <w:rPr>
          <w:rFonts w:ascii="SimSun" w:hAnsi="SimSun" w:eastAsia="SimSun" w:cs="SimSun"/>
          <w:sz w:val="30"/>
          <w:szCs w:val="30"/>
          <w:spacing w:val="-4"/>
        </w:rPr>
        <w:t>戴设备等）、工业互联网、芯片模组研发和制造等领域，投资了</w:t>
      </w:r>
      <w:r>
        <w:rPr>
          <w:rFonts w:ascii="SimSun" w:hAnsi="SimSun" w:eastAsia="SimSun" w:cs="SimSun"/>
          <w:sz w:val="30"/>
          <w:szCs w:val="30"/>
          <w:spacing w:val="-4"/>
        </w:rPr>
        <w:t>树根互联、超聚变、知学云等企业。通过“财力”优势，资本对</w:t>
      </w:r>
      <w:r>
        <w:rPr>
          <w:rFonts w:ascii="SimSun" w:hAnsi="SimSun" w:eastAsia="SimSun" w:cs="SimSun"/>
          <w:sz w:val="30"/>
          <w:szCs w:val="30"/>
          <w:spacing w:val="-4"/>
        </w:rPr>
        <w:t>接中小企业同时，对产业链上“专精特新”领先企业的技术提前</w:t>
      </w:r>
      <w:r>
        <w:rPr>
          <w:rFonts w:ascii="SimSun" w:hAnsi="SimSun" w:eastAsia="SimSun" w:cs="SimSun"/>
          <w:sz w:val="30"/>
          <w:szCs w:val="30"/>
          <w:spacing w:val="-6"/>
        </w:rPr>
        <w:t>做好挖潜与布局。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二、启示：聚焦主业，构建产投协同模式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．围绕关键技术，提升自主研发与协同研发能力</w:t>
      </w:r>
    </w:p>
    <w:p>
      <w:pPr>
        <w:ind w:left="25" w:firstLine="605"/>
        <w:spacing w:before="320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一是直投控股解决自研能力不足问题。以网络安全领域为例，</w:t>
      </w:r>
      <w:r>
        <w:rPr>
          <w:rFonts w:ascii="SimSun" w:hAnsi="SimSun" w:eastAsia="SimSun" w:cs="SimSun"/>
          <w:sz w:val="30"/>
          <w:szCs w:val="30"/>
          <w:spacing w:val="1"/>
        </w:rPr>
        <w:t>涉及范围广、细分壁垒比较高，在没有足够技术积累的前提下，</w:t>
      </w:r>
      <w:r>
        <w:rPr>
          <w:rFonts w:ascii="SimSun" w:hAnsi="SimSun" w:eastAsia="SimSun" w:cs="SimSun"/>
          <w:sz w:val="30"/>
          <w:szCs w:val="30"/>
          <w:spacing w:val="-4"/>
        </w:rPr>
        <w:t>自建团队不仅时间、经费成本投入高且不一定能收获成效。收购</w:t>
      </w:r>
      <w:r>
        <w:rPr>
          <w:rFonts w:ascii="SimSun" w:hAnsi="SimSun" w:eastAsia="SimSun" w:cs="SimSun"/>
          <w:sz w:val="30"/>
          <w:szCs w:val="30"/>
          <w:spacing w:val="-4"/>
        </w:rPr>
        <w:t>头部企业启明星辰为安全子公司，一方面团队齐整，市场化运营</w:t>
      </w:r>
      <w:r>
        <w:rPr>
          <w:rFonts w:ascii="SimSun" w:hAnsi="SimSun" w:eastAsia="SimSun" w:cs="SimSun"/>
          <w:sz w:val="30"/>
          <w:szCs w:val="30"/>
          <w:spacing w:val="1"/>
        </w:rPr>
        <w:t>条件和机制成熟，同步解决了安全类人才薪资市场化接轨问题；</w:t>
      </w:r>
      <w:r>
        <w:rPr>
          <w:rFonts w:ascii="SimSun" w:hAnsi="SimSun" w:eastAsia="SimSun" w:cs="SimSun"/>
          <w:sz w:val="30"/>
          <w:szCs w:val="30"/>
          <w:spacing w:val="-4"/>
        </w:rPr>
        <w:t>另一方面快速形成体系齐全的产品和研发能力，通过与各省、专</w:t>
      </w:r>
      <w:r>
        <w:rPr>
          <w:rFonts w:ascii="SimSun" w:hAnsi="SimSun" w:eastAsia="SimSun" w:cs="SimSun"/>
          <w:sz w:val="30"/>
          <w:szCs w:val="30"/>
          <w:spacing w:val="-3"/>
        </w:rPr>
        <w:t>业公司资源匹配与对接，效果将更为显性化。</w:t>
      </w:r>
    </w:p>
    <w:p>
      <w:pPr>
        <w:ind w:left="5" w:right="151" w:firstLine="625"/>
        <w:spacing w:before="276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二是聚焦云、安全、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以及行业应用等主赛道，面向产业链</w:t>
      </w:r>
      <w:r>
        <w:rPr>
          <w:rFonts w:ascii="SimSun" w:hAnsi="SimSun" w:eastAsia="SimSun" w:cs="SimSun"/>
          <w:sz w:val="30"/>
          <w:szCs w:val="30"/>
          <w:spacing w:val="-11"/>
        </w:rPr>
        <w:t>开展全栈技术布局。中移动围绕数字产业赛道，以移动云为核心，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“收购、参股、基金创投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”</w:t>
      </w:r>
      <w:r>
        <w:rPr>
          <w:rFonts w:ascii="SimSun" w:hAnsi="SimSun" w:eastAsia="SimSun" w:cs="SimSun"/>
          <w:sz w:val="30"/>
          <w:szCs w:val="30"/>
          <w:spacing w:val="3"/>
        </w:rPr>
        <w:t>等方式参与信创领域</w:t>
      </w:r>
      <w:r>
        <w:rPr>
          <w:rFonts w:ascii="SimSun" w:hAnsi="SimSun" w:eastAsia="SimSun" w:cs="SimSun"/>
          <w:sz w:val="30"/>
          <w:szCs w:val="30"/>
          <w:spacing w:val="2"/>
        </w:rPr>
        <w:t>各产业链生态体</w:t>
      </w:r>
      <w:r>
        <w:rPr>
          <w:rFonts w:ascii="SimSun" w:hAnsi="SimSun" w:eastAsia="SimSun" w:cs="SimSun"/>
          <w:sz w:val="30"/>
          <w:szCs w:val="30"/>
          <w:spacing w:val="-6"/>
        </w:rPr>
        <w:t>系，如云基础厂商（优客得、云轴科技等）、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SaaS </w:t>
      </w:r>
      <w:r>
        <w:rPr>
          <w:rFonts w:ascii="SimSun" w:hAnsi="SimSun" w:eastAsia="SimSun" w:cs="SimSun"/>
          <w:sz w:val="30"/>
          <w:szCs w:val="30"/>
          <w:spacing w:val="-6"/>
        </w:rPr>
        <w:t>服务商（青牛</w:t>
      </w:r>
      <w:r>
        <w:rPr>
          <w:rFonts w:ascii="SimSun" w:hAnsi="SimSun" w:eastAsia="SimSun" w:cs="SimSun"/>
          <w:sz w:val="30"/>
          <w:szCs w:val="30"/>
          <w:spacing w:val="-18"/>
        </w:rPr>
        <w:t>软件、随锐科技、知学网等）、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技术（云从科技、云知声等）、</w:t>
      </w:r>
      <w:r>
        <w:rPr>
          <w:rFonts w:ascii="SimSun" w:hAnsi="SimSun" w:eastAsia="SimSun" w:cs="SimSun"/>
          <w:sz w:val="30"/>
          <w:szCs w:val="30"/>
          <w:spacing w:val="-13"/>
        </w:rPr>
        <w:t>大数据技术（海天瑞声等）、安全厂商（梆梆</w:t>
      </w:r>
      <w:r>
        <w:rPr>
          <w:rFonts w:ascii="SimSun" w:hAnsi="SimSun" w:eastAsia="SimSun" w:cs="SimSun"/>
          <w:sz w:val="30"/>
          <w:szCs w:val="30"/>
          <w:spacing w:val="-14"/>
        </w:rPr>
        <w:t>安全、恒安嘉新、启</w:t>
      </w:r>
      <w:r>
        <w:rPr>
          <w:rFonts w:ascii="SimSun" w:hAnsi="SimSun" w:eastAsia="SimSun" w:cs="SimSun"/>
          <w:sz w:val="30"/>
          <w:szCs w:val="30"/>
          <w:spacing w:val="-6"/>
        </w:rPr>
        <w:t>明星辰等</w:t>
      </w:r>
      <w:r>
        <w:rPr>
          <w:rFonts w:ascii="SimSun" w:hAnsi="SimSun" w:eastAsia="SimSun" w:cs="SimSun"/>
          <w:sz w:val="30"/>
          <w:szCs w:val="30"/>
          <w:spacing w:val="-16"/>
        </w:rPr>
        <w:t>），</w:t>
      </w:r>
      <w:r>
        <w:rPr>
          <w:rFonts w:ascii="SimSun" w:hAnsi="SimSun" w:eastAsia="SimSun" w:cs="SimSun"/>
          <w:sz w:val="30"/>
          <w:szCs w:val="30"/>
          <w:spacing w:val="-6"/>
        </w:rPr>
        <w:t>逐步实现技术资源共享、联合研发、共享市</w:t>
      </w:r>
      <w:r>
        <w:rPr>
          <w:rFonts w:ascii="SimSun" w:hAnsi="SimSun" w:eastAsia="SimSun" w:cs="SimSun"/>
          <w:sz w:val="30"/>
          <w:szCs w:val="30"/>
          <w:spacing w:val="-7"/>
        </w:rPr>
        <w:t>场。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．围绕市场竞争，构建协同联动生态圈</w:t>
      </w:r>
    </w:p>
    <w:p>
      <w:pPr>
        <w:spacing w:line="233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16" w:right="80" w:firstLine="614"/>
        <w:spacing w:before="82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一是核心技术协同，开展行业与区域的市场化深耕。作为科</w:t>
      </w:r>
      <w:r>
        <w:rPr>
          <w:rFonts w:ascii="SimSun" w:hAnsi="SimSun" w:eastAsia="SimSun" w:cs="SimSun"/>
          <w:sz w:val="30"/>
          <w:szCs w:val="30"/>
          <w:spacing w:val="-4"/>
        </w:rPr>
        <w:t>大讯飞第一大股东，中移动与其深度合作，借助其智能语音技术</w:t>
      </w:r>
      <w:r>
        <w:rPr>
          <w:rFonts w:ascii="SimSun" w:hAnsi="SimSun" w:eastAsia="SimSun" w:cs="SimSun"/>
          <w:sz w:val="30"/>
          <w:szCs w:val="30"/>
          <w:spacing w:val="-7"/>
        </w:rPr>
        <w:t>优势，共同联合发布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智能通信、电视端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SimSun" w:hAnsi="SimSun" w:eastAsia="SimSun" w:cs="SimSun"/>
          <w:sz w:val="30"/>
          <w:szCs w:val="30"/>
          <w:spacing w:val="-7"/>
        </w:rPr>
        <w:t>虚拟</w:t>
      </w:r>
      <w:r>
        <w:rPr>
          <w:rFonts w:ascii="SimSun" w:hAnsi="SimSun" w:eastAsia="SimSun" w:cs="SimSun"/>
          <w:sz w:val="30"/>
          <w:szCs w:val="30"/>
          <w:spacing w:val="-8"/>
        </w:rPr>
        <w:t>管家“中移甜</w:t>
      </w:r>
      <w:r>
        <w:rPr>
          <w:rFonts w:ascii="SimSun" w:hAnsi="SimSun" w:eastAsia="SimSun" w:cs="SimSun"/>
          <w:sz w:val="30"/>
          <w:szCs w:val="30"/>
          <w:spacing w:val="-15"/>
        </w:rPr>
        <w:t>佳”等多款产品；同时，借助科大讯飞在行业优</w:t>
      </w:r>
      <w:r>
        <w:rPr>
          <w:rFonts w:ascii="SimSun" w:hAnsi="SimSun" w:eastAsia="SimSun" w:cs="SimSun"/>
          <w:sz w:val="30"/>
          <w:szCs w:val="30"/>
          <w:spacing w:val="-16"/>
        </w:rPr>
        <w:t>势（教育、医疗、</w:t>
      </w:r>
      <w:r>
        <w:rPr>
          <w:rFonts w:ascii="SimSun" w:hAnsi="SimSun" w:eastAsia="SimSun" w:cs="SimSun"/>
          <w:sz w:val="30"/>
          <w:szCs w:val="30"/>
          <w:spacing w:val="-11"/>
        </w:rPr>
        <w:t>政务等）以及属地优势（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13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省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82 </w:t>
      </w:r>
      <w:r>
        <w:rPr>
          <w:rFonts w:ascii="SimSun" w:hAnsi="SimSun" w:eastAsia="SimSun" w:cs="SimSun"/>
          <w:sz w:val="30"/>
          <w:szCs w:val="30"/>
          <w:spacing w:val="-11"/>
        </w:rPr>
        <w:t>个地市均有本地子公司</w:t>
      </w:r>
      <w:r>
        <w:rPr>
          <w:rFonts w:ascii="SimSun" w:hAnsi="SimSun" w:eastAsia="SimSun" w:cs="SimSun"/>
          <w:sz w:val="30"/>
          <w:szCs w:val="30"/>
          <w:spacing w:val="-19"/>
        </w:rPr>
        <w:t>），</w:t>
      </w:r>
      <w:r>
        <w:rPr>
          <w:rFonts w:ascii="SimSun" w:hAnsi="SimSun" w:eastAsia="SimSun" w:cs="SimSun"/>
          <w:sz w:val="30"/>
          <w:szCs w:val="30"/>
          <w:spacing w:val="-11"/>
        </w:rPr>
        <w:t>协同</w:t>
      </w:r>
      <w:r>
        <w:rPr>
          <w:rFonts w:ascii="SimSun" w:hAnsi="SimSun" w:eastAsia="SimSun" w:cs="SimSun"/>
          <w:sz w:val="30"/>
          <w:szCs w:val="30"/>
          <w:spacing w:val="-1"/>
        </w:rPr>
        <w:t>推进产数业务高质量发展。行业方面，如讯飞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辅助诊断能力</w:t>
      </w:r>
      <w:r>
        <w:rPr>
          <w:rFonts w:ascii="SimSun" w:hAnsi="SimSun" w:eastAsia="SimSun" w:cs="SimSun"/>
          <w:sz w:val="30"/>
          <w:szCs w:val="30"/>
          <w:spacing w:val="-4"/>
        </w:rPr>
        <w:t>与中移动智慧家庭业务融合，帮助老人在家里用遥控器可以进行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的疾病自查、健康测评服务等；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属地方面，多省市移动公司与</w:t>
      </w:r>
      <w:r>
        <w:rPr>
          <w:rFonts w:ascii="SimSun" w:hAnsi="SimSun" w:eastAsia="SimSun" w:cs="SimSun"/>
          <w:sz w:val="30"/>
          <w:szCs w:val="30"/>
          <w:spacing w:val="-1"/>
        </w:rPr>
        <w:t>讯飞均实现战略合作，如重庆移动与讯飞联合推出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秘书，为</w:t>
      </w:r>
      <w:r>
        <w:rPr>
          <w:rFonts w:ascii="SimSun" w:hAnsi="SimSun" w:eastAsia="SimSun" w:cs="SimSun"/>
          <w:sz w:val="30"/>
          <w:szCs w:val="30"/>
          <w:spacing w:val="-1"/>
        </w:rPr>
        <w:t>用户提供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视频机器人代接电话服务的全新交互式体验通话产</w:t>
      </w:r>
      <w:r>
        <w:rPr>
          <w:rFonts w:ascii="SimSun" w:hAnsi="SimSun" w:eastAsia="SimSun" w:cs="SimSun"/>
          <w:sz w:val="30"/>
          <w:szCs w:val="30"/>
          <w:spacing w:val="-11"/>
        </w:rPr>
        <w:t>品等。</w:t>
      </w:r>
    </w:p>
    <w:p>
      <w:pPr>
        <w:ind w:left="23" w:right="79" w:firstLine="607"/>
        <w:spacing w:before="27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二是核心产业打通，打造互动关联的产业圈。如参股东方航</w:t>
      </w:r>
      <w:r>
        <w:rPr>
          <w:rFonts w:ascii="SimSun" w:hAnsi="SimSun" w:eastAsia="SimSun" w:cs="SimSun"/>
          <w:sz w:val="30"/>
          <w:szCs w:val="30"/>
          <w:spacing w:val="-4"/>
        </w:rPr>
        <w:t>空，叠加此前参股的中国民航信息网络，有望在民航运营及信息</w:t>
      </w:r>
      <w:r>
        <w:rPr>
          <w:rFonts w:ascii="SimSun" w:hAnsi="SimSun" w:eastAsia="SimSun" w:cs="SimSun"/>
          <w:sz w:val="30"/>
          <w:szCs w:val="30"/>
          <w:spacing w:val="-3"/>
        </w:rPr>
        <w:t>领域形成强大的端到端数据汇聚能力，结合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spacing w:val="-3"/>
        </w:rPr>
        <w:t>等新型信息</w:t>
      </w:r>
      <w:r>
        <w:rPr>
          <w:rFonts w:ascii="SimSun" w:hAnsi="SimSun" w:eastAsia="SimSun" w:cs="SimSun"/>
          <w:sz w:val="30"/>
          <w:szCs w:val="30"/>
          <w:spacing w:val="-4"/>
        </w:rPr>
        <w:t>基础设施，能够形成系列数智化解决方案并推进落地。同样情况</w:t>
      </w:r>
      <w:r>
        <w:rPr>
          <w:rFonts w:ascii="SimSun" w:hAnsi="SimSun" w:eastAsia="SimSun" w:cs="SimSun"/>
          <w:sz w:val="30"/>
          <w:szCs w:val="30"/>
          <w:spacing w:val="-14"/>
        </w:rPr>
        <w:t>在智能语音（科大讯飞、海天瑞声）、数字内容（芒果超媒、凤凰</w:t>
      </w:r>
      <w:r>
        <w:rPr>
          <w:rFonts w:ascii="SimSun" w:hAnsi="SimSun" w:eastAsia="SimSun" w:cs="SimSun"/>
          <w:sz w:val="30"/>
          <w:szCs w:val="30"/>
          <w:spacing w:val="-3"/>
        </w:rPr>
        <w:t>传媒、咪咕视频）等领域也完成了产业圈布局。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三、建议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5" w:firstLine="620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当下正处于疫情后经济复苏的新阶段，有利于战略投资的规</w:t>
      </w:r>
      <w:r>
        <w:rPr>
          <w:rFonts w:ascii="SimSun" w:hAnsi="SimSun" w:eastAsia="SimSun" w:cs="SimSun"/>
          <w:sz w:val="30"/>
          <w:szCs w:val="30"/>
          <w:spacing w:val="-11"/>
        </w:rPr>
        <w:t>划与布局，需要形成多部门联动机制，协同集团主航道</w:t>
      </w:r>
      <w:r>
        <w:rPr>
          <w:rFonts w:ascii="SimSun" w:hAnsi="SimSun" w:eastAsia="SimSun" w:cs="SimSun"/>
          <w:sz w:val="30"/>
          <w:szCs w:val="30"/>
          <w:spacing w:val="-12"/>
        </w:rPr>
        <w:t>业务发展，</w:t>
      </w:r>
      <w:r>
        <w:rPr>
          <w:rFonts w:ascii="SimSun" w:hAnsi="SimSun" w:eastAsia="SimSun" w:cs="SimSun"/>
          <w:sz w:val="30"/>
          <w:szCs w:val="30"/>
          <w:spacing w:val="-2"/>
        </w:rPr>
        <w:t>建立建全投资容错机制，更好把握产业变革带来的新机遇。</w:t>
      </w:r>
    </w:p>
    <w:p>
      <w:pPr>
        <w:ind w:left="636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．聚焦新主业推进资本补链、强链布局</w:t>
      </w:r>
    </w:p>
    <w:p>
      <w:pPr>
        <w:ind w:left="25" w:right="78" w:firstLine="605"/>
        <w:spacing w:before="322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一是与企业发展战略紧密结合，直投方式并购、参股关键企</w:t>
      </w:r>
      <w:r>
        <w:rPr>
          <w:rFonts w:ascii="SimSun" w:hAnsi="SimSun" w:eastAsia="SimSun" w:cs="SimSun"/>
          <w:sz w:val="30"/>
          <w:szCs w:val="30"/>
          <w:spacing w:val="-4"/>
        </w:rPr>
        <w:t>业，解决当前急需填补的关键性技术难点，提升自研能力。对应</w:t>
      </w:r>
      <w:r>
        <w:rPr>
          <w:rFonts w:ascii="SimSun" w:hAnsi="SimSun" w:eastAsia="SimSun" w:cs="SimSun"/>
          <w:sz w:val="30"/>
          <w:szCs w:val="30"/>
          <w:spacing w:val="-14"/>
        </w:rPr>
        <w:t>当前研发链“产业图谱”与“技术图谱”中存在的能力缺位问题，</w:t>
      </w:r>
      <w:r>
        <w:rPr>
          <w:rFonts w:ascii="SimSun" w:hAnsi="SimSun" w:eastAsia="SimSun" w:cs="SimSun"/>
          <w:sz w:val="30"/>
          <w:szCs w:val="30"/>
          <w:spacing w:val="1"/>
        </w:rPr>
        <w:t>选择行业头部企业，通过战略合作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股权直投或并购方式加强技</w:t>
      </w:r>
      <w:r>
        <w:rPr>
          <w:rFonts w:ascii="SimSun" w:hAnsi="SimSun" w:eastAsia="SimSun" w:cs="SimSun"/>
          <w:sz w:val="30"/>
          <w:szCs w:val="30"/>
          <w:spacing w:val="-1"/>
        </w:rPr>
        <w:t>术共享的参与度。如面对当前热点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预训练大模型技术，择机</w:t>
      </w:r>
      <w:r>
        <w:rPr>
          <w:rFonts w:ascii="SimSun" w:hAnsi="SimSun" w:eastAsia="SimSun" w:cs="SimSun"/>
          <w:sz w:val="30"/>
          <w:szCs w:val="30"/>
          <w:spacing w:val="-11"/>
        </w:rPr>
        <w:t>选择头部企业推进“战略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+</w:t>
      </w:r>
      <w:r>
        <w:rPr>
          <w:rFonts w:ascii="SimSun" w:hAnsi="SimSun" w:eastAsia="SimSun" w:cs="SimSun"/>
          <w:sz w:val="30"/>
          <w:szCs w:val="30"/>
          <w:spacing w:val="-11"/>
        </w:rPr>
        <w:t>入股”模式，提升专业公司自研能力。</w:t>
      </w:r>
    </w:p>
    <w:p>
      <w:pPr>
        <w:spacing w:line="261" w:lineRule="auto"/>
        <w:sectPr>
          <w:pgSz w:w="11907" w:h="16839"/>
          <w:pgMar w:top="1431" w:right="171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firstLine="604"/>
        <w:spacing w:before="8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二是关注行业头部企业发展需求，以资本为纽带，建立长期</w:t>
      </w:r>
      <w:r>
        <w:rPr>
          <w:rFonts w:ascii="SimSun" w:hAnsi="SimSun" w:eastAsia="SimSun" w:cs="SimSun"/>
          <w:sz w:val="30"/>
          <w:szCs w:val="30"/>
        </w:rPr>
        <w:t>性战略合作。围绕数字中国未来发展趋势，及早在如汽车制造、</w:t>
      </w:r>
      <w:r>
        <w:rPr>
          <w:rFonts w:ascii="SimSun" w:hAnsi="SimSun" w:eastAsia="SimSun" w:cs="SimSun"/>
          <w:sz w:val="30"/>
          <w:szCs w:val="30"/>
          <w:spacing w:val="-4"/>
        </w:rPr>
        <w:t>能源等重要行业与头部企业开展战略性布局，通过建立利益共同</w:t>
      </w:r>
      <w:r>
        <w:rPr>
          <w:rFonts w:ascii="SimSun" w:hAnsi="SimSun" w:eastAsia="SimSun" w:cs="SimSun"/>
          <w:sz w:val="30"/>
          <w:szCs w:val="30"/>
          <w:spacing w:val="-1"/>
        </w:rPr>
        <w:t>体，推进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1"/>
        </w:rPr>
        <w:t>、大数据等数字技术与实体企</w:t>
      </w:r>
      <w:r>
        <w:rPr>
          <w:rFonts w:ascii="SimSun" w:hAnsi="SimSun" w:eastAsia="SimSun" w:cs="SimSun"/>
          <w:sz w:val="30"/>
          <w:szCs w:val="30"/>
          <w:spacing w:val="-2"/>
        </w:rPr>
        <w:t>业的需求融合，形成</w:t>
      </w:r>
      <w:r>
        <w:rPr>
          <w:rFonts w:ascii="SimSun" w:hAnsi="SimSun" w:eastAsia="SimSun" w:cs="SimSun"/>
          <w:sz w:val="30"/>
          <w:szCs w:val="30"/>
          <w:spacing w:val="-5"/>
        </w:rPr>
        <w:t>系列解决方案和标杆落地。</w:t>
      </w:r>
    </w:p>
    <w:p>
      <w:pPr>
        <w:ind w:left="26" w:right="23" w:firstLine="599"/>
        <w:spacing w:before="26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三是加快利用产业基金布局“特优新”中小企业，提</w:t>
      </w:r>
      <w:r>
        <w:rPr>
          <w:rFonts w:ascii="SimSun" w:hAnsi="SimSun" w:eastAsia="SimSun" w:cs="SimSun"/>
          <w:sz w:val="30"/>
          <w:szCs w:val="30"/>
          <w:spacing w:val="-5"/>
        </w:rPr>
        <w:t>升产业</w:t>
      </w:r>
      <w:r>
        <w:rPr>
          <w:rFonts w:ascii="SimSun" w:hAnsi="SimSun" w:eastAsia="SimSun" w:cs="SimSun"/>
          <w:sz w:val="30"/>
          <w:szCs w:val="30"/>
          <w:spacing w:val="-1"/>
        </w:rPr>
        <w:t>生态自主可控力。加强以“天翼云”为核心的生态链投资力度，</w:t>
      </w:r>
      <w:r>
        <w:rPr>
          <w:rFonts w:ascii="SimSun" w:hAnsi="SimSun" w:eastAsia="SimSun" w:cs="SimSun"/>
          <w:sz w:val="30"/>
          <w:szCs w:val="30"/>
          <w:spacing w:val="-4"/>
        </w:rPr>
        <w:t>从芯片、算法、量子、云网能力等关键技术以及重点行业应用出</w:t>
      </w:r>
      <w:r>
        <w:rPr>
          <w:rFonts w:ascii="SimSun" w:hAnsi="SimSun" w:eastAsia="SimSun" w:cs="SimSun"/>
          <w:sz w:val="30"/>
          <w:szCs w:val="30"/>
          <w:spacing w:val="-4"/>
        </w:rPr>
        <w:t>发，与投资企业资源共享，打造如车联网、工业产业园区等协同</w:t>
      </w:r>
      <w:r>
        <w:rPr>
          <w:rFonts w:ascii="SimSun" w:hAnsi="SimSun" w:eastAsia="SimSun" w:cs="SimSun"/>
          <w:sz w:val="30"/>
          <w:szCs w:val="30"/>
          <w:spacing w:val="-4"/>
        </w:rPr>
        <w:t>产业圈，实现强链、补链目标。</w:t>
      </w:r>
    </w:p>
    <w:p>
      <w:pPr>
        <w:ind w:left="624"/>
        <w:spacing w:before="27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．发挥上市公司融资优势，利用资本推动产业发展</w:t>
      </w:r>
    </w:p>
    <w:p>
      <w:pPr>
        <w:ind w:left="29" w:right="107" w:firstLine="615"/>
        <w:spacing w:before="31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当前中国电信拥有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 </w:t>
      </w:r>
      <w:r>
        <w:rPr>
          <w:rFonts w:ascii="SimSun" w:hAnsi="SimSun" w:eastAsia="SimSun" w:cs="SimSun"/>
          <w:sz w:val="30"/>
          <w:szCs w:val="30"/>
          <w:spacing w:val="-5"/>
        </w:rPr>
        <w:t>家上市公司，相对中移动在资本市场具</w:t>
      </w:r>
      <w:r>
        <w:rPr>
          <w:rFonts w:ascii="SimSun" w:hAnsi="SimSun" w:eastAsia="SimSun" w:cs="SimSun"/>
          <w:sz w:val="30"/>
          <w:szCs w:val="30"/>
          <w:spacing w:val="-9"/>
        </w:rPr>
        <w:t>备领先的融资优势，其中国脉文化、辰安科技市值较小， 可以作</w:t>
      </w:r>
      <w:r>
        <w:rPr>
          <w:rFonts w:ascii="SimSun" w:hAnsi="SimSun" w:eastAsia="SimSun" w:cs="SimSun"/>
          <w:sz w:val="30"/>
          <w:szCs w:val="30"/>
          <w:spacing w:val="-4"/>
        </w:rPr>
        <w:t>为优质资产注入上市的优选平台。</w:t>
      </w:r>
    </w:p>
    <w:p>
      <w:pPr>
        <w:ind w:left="27" w:right="24" w:firstLine="603"/>
        <w:spacing w:before="28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一是发挥上市公司融资平台优势，打造专业化、品牌化子公</w:t>
      </w:r>
      <w:r>
        <w:rPr>
          <w:rFonts w:ascii="SimSun" w:hAnsi="SimSun" w:eastAsia="SimSun" w:cs="SimSun"/>
          <w:sz w:val="30"/>
          <w:szCs w:val="30"/>
          <w:spacing w:val="-8"/>
        </w:rPr>
        <w:t>司。如将天翼安全公司注入辰安科技，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进一步打造以中国电信全</w:t>
      </w:r>
      <w:r>
        <w:rPr>
          <w:rFonts w:ascii="SimSun" w:hAnsi="SimSun" w:eastAsia="SimSun" w:cs="SimSun"/>
          <w:sz w:val="30"/>
          <w:szCs w:val="30"/>
          <w:spacing w:val="-4"/>
        </w:rPr>
        <w:t>域安全为特点的子公司品牌，一方面改变辰安科技安全产品单一</w:t>
      </w:r>
      <w:r>
        <w:rPr>
          <w:rFonts w:ascii="SimSun" w:hAnsi="SimSun" w:eastAsia="SimSun" w:cs="SimSun"/>
          <w:sz w:val="30"/>
          <w:szCs w:val="30"/>
          <w:spacing w:val="-1"/>
        </w:rPr>
        <w:t>化的企业形象，丰富安全类产品体系；另一方面通过资产注入，</w:t>
      </w:r>
      <w:r>
        <w:rPr>
          <w:rFonts w:ascii="SimSun" w:hAnsi="SimSun" w:eastAsia="SimSun" w:cs="SimSun"/>
          <w:sz w:val="30"/>
          <w:szCs w:val="30"/>
          <w:spacing w:val="-4"/>
        </w:rPr>
        <w:t>获得融资有利于资本的再利用，推动上市企业更好进行企业间的</w:t>
      </w:r>
      <w:r>
        <w:rPr>
          <w:rFonts w:ascii="SimSun" w:hAnsi="SimSun" w:eastAsia="SimSun" w:cs="SimSun"/>
          <w:sz w:val="30"/>
          <w:szCs w:val="30"/>
          <w:spacing w:val="-4"/>
        </w:rPr>
        <w:t>并购，提升资产质量与自研技术能力。</w:t>
      </w:r>
    </w:p>
    <w:p>
      <w:pPr>
        <w:ind w:left="25" w:right="2" w:firstLine="605"/>
        <w:spacing w:before="27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二是推进子公司混改，与主业资源有效匹配，推动产业发展。</w:t>
      </w:r>
      <w:r>
        <w:rPr>
          <w:rFonts w:ascii="SimSun" w:hAnsi="SimSun" w:eastAsia="SimSun" w:cs="SimSun"/>
          <w:sz w:val="30"/>
          <w:szCs w:val="30"/>
          <w:spacing w:val="-9"/>
        </w:rPr>
        <w:t>如国脉文化当前依靠元宇宙技术发力视频、游戏娱乐市场， 尚需</w:t>
      </w:r>
      <w:r>
        <w:rPr>
          <w:rFonts w:ascii="SimSun" w:hAnsi="SimSun" w:eastAsia="SimSun" w:cs="SimSun"/>
          <w:sz w:val="30"/>
          <w:szCs w:val="30"/>
          <w:spacing w:val="-9"/>
        </w:rPr>
        <w:t>在内容、技术等多方面与产业链合作、协同， 利用上市平台引入</w:t>
      </w:r>
      <w:r>
        <w:rPr>
          <w:rFonts w:ascii="SimSun" w:hAnsi="SimSun" w:eastAsia="SimSun" w:cs="SimSun"/>
          <w:sz w:val="30"/>
          <w:szCs w:val="30"/>
          <w:spacing w:val="-9"/>
        </w:rPr>
        <w:t>战略投资伙伴，加强资源、能力协同， 在丰富资金同时将更有效</w:t>
      </w:r>
      <w:r>
        <w:rPr>
          <w:rFonts w:ascii="SimSun" w:hAnsi="SimSun" w:eastAsia="SimSun" w:cs="SimSun"/>
          <w:sz w:val="30"/>
          <w:szCs w:val="30"/>
          <w:spacing w:val="-5"/>
        </w:rPr>
        <w:t>提升上市企业高质量发展。</w:t>
      </w:r>
    </w:p>
    <w:p>
      <w:pPr>
        <w:spacing w:line="259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ind w:left="49"/>
        <w:spacing w:before="84" w:line="212" w:lineRule="auto"/>
        <w:rPr>
          <w:sz w:val="24"/>
          <w:szCs w:val="24"/>
        </w:rPr>
      </w:pPr>
      <w:r>
        <w:rPr>
          <w:rFonts w:ascii="SimSun" w:hAnsi="SimSun" w:eastAsia="SimSun" w:cs="SimSun"/>
          <w:b/>
          <w:bCs/>
          <w:spacing w:val="-5"/>
        </w:rPr>
        <w:t>附件：中移资本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2018~2023 </w:t>
      </w:r>
      <w:r>
        <w:rPr>
          <w:rFonts w:ascii="SimSun" w:hAnsi="SimSun" w:eastAsia="SimSun" w:cs="SimSun"/>
          <w:b/>
          <w:bCs/>
          <w:spacing w:val="-5"/>
        </w:rPr>
        <w:t>投资事件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（不完全统计</w:t>
      </w:r>
      <w:r>
        <w:rPr>
          <w:rFonts w:ascii="SimSun" w:hAnsi="SimSun" w:eastAsia="SimSun" w:cs="SimSun"/>
          <w:sz w:val="24"/>
          <w:szCs w:val="24"/>
          <w:b/>
          <w:bCs/>
          <w:spacing w:val="-12"/>
        </w:rPr>
        <w:t>）</w:t>
      </w:r>
      <w:r>
        <w:rPr>
          <w:sz w:val="24"/>
          <w:szCs w:val="24"/>
          <w:spacing w:val="-12"/>
        </w:rPr>
        <w:t>（</w:t>
      </w:r>
      <w:r>
        <w:rPr>
          <w:sz w:val="24"/>
          <w:szCs w:val="24"/>
          <w:spacing w:val="-6"/>
        </w:rPr>
        <w:t>来源：企查查）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4"/>
        <w:gridCol w:w="753"/>
        <w:gridCol w:w="3918"/>
        <w:gridCol w:w="1639"/>
        <w:gridCol w:w="1278"/>
      </w:tblGrid>
      <w:tr>
        <w:trPr>
          <w:trHeight w:val="575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24"/>
              <w:spacing w:before="128" w:line="227" w:lineRule="auto"/>
              <w:rPr/>
            </w:pPr>
            <w:r>
              <w:rPr>
                <w:spacing w:val="1"/>
              </w:rPr>
              <w:t>年份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83"/>
              <w:spacing w:before="128" w:line="228" w:lineRule="auto"/>
              <w:rPr/>
            </w:pPr>
            <w:r>
              <w:rPr>
                <w:spacing w:val="4"/>
              </w:rPr>
              <w:t>数量</w:t>
            </w:r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7"/>
              <w:spacing w:before="128" w:line="228" w:lineRule="auto"/>
              <w:rPr/>
            </w:pPr>
            <w:r>
              <w:rPr>
                <w:spacing w:val="7"/>
              </w:rPr>
              <w:t>被投资企业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0"/>
              <w:spacing w:before="128" w:line="228" w:lineRule="auto"/>
              <w:rPr/>
            </w:pPr>
            <w:r>
              <w:rPr>
                <w:spacing w:val="3"/>
              </w:rPr>
              <w:t>金额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128" w:line="227" w:lineRule="auto"/>
              <w:rPr/>
            </w:pPr>
            <w:r>
              <w:rPr>
                <w:spacing w:val="6"/>
              </w:rPr>
              <w:t>持股比例</w:t>
            </w:r>
          </w:p>
        </w:tc>
      </w:tr>
      <w:tr>
        <w:trPr>
          <w:trHeight w:val="288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27" w:line="253" w:lineRule="exact"/>
              <w:rPr/>
            </w:pPr>
            <w:r>
              <w:rPr>
                <w:spacing w:val="3"/>
                <w:position w:val="1"/>
              </w:rPr>
              <w:t>2018</w:t>
            </w:r>
          </w:p>
        </w:tc>
        <w:tc>
          <w:tcPr>
            <w:tcW w:w="7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9"/>
              <w:spacing w:before="127" w:line="254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43"/>
              <w:spacing w:before="7" w:line="226" w:lineRule="auto"/>
              <w:rPr/>
            </w:pPr>
            <w:r>
              <w:rPr>
                <w:spacing w:val="7"/>
              </w:rPr>
              <w:t>中国民航信息网络股份有限公司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8"/>
              <w:spacing w:before="7" w:line="227" w:lineRule="auto"/>
              <w:rPr/>
            </w:pPr>
            <w:r>
              <w:rPr/>
              <w:t>19.49</w:t>
            </w:r>
            <w:r>
              <w:rPr>
                <w:spacing w:val="-23"/>
              </w:rPr>
              <w:t xml:space="preserve"> </w:t>
            </w:r>
            <w:r>
              <w:rPr/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3"/>
              <w:spacing w:before="7" w:line="252" w:lineRule="exact"/>
              <w:rPr/>
            </w:pPr>
            <w:r>
              <w:rPr>
                <w:spacing w:val="3"/>
                <w:position w:val="1"/>
              </w:rPr>
              <w:t>9.98%</w:t>
            </w:r>
          </w:p>
        </w:tc>
      </w:tr>
      <w:tr>
        <w:trPr>
          <w:trHeight w:val="276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7"/>
              <w:spacing w:before="4" w:line="227" w:lineRule="auto"/>
              <w:rPr/>
            </w:pPr>
            <w:r>
              <w:rPr>
                <w:spacing w:val="8"/>
              </w:rPr>
              <w:t>优刻得科技股份有限公司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7"/>
              <w:spacing w:before="4" w:line="227" w:lineRule="auto"/>
              <w:rPr/>
            </w:pPr>
            <w:r>
              <w:rPr>
                <w:spacing w:val="-2"/>
              </w:rPr>
              <w:t>5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6"/>
              <w:spacing w:before="4" w:line="252" w:lineRule="exact"/>
              <w:rPr/>
            </w:pPr>
            <w:r>
              <w:rPr>
                <w:spacing w:val="2"/>
                <w:position w:val="1"/>
              </w:rPr>
              <w:t>5.2%</w:t>
            </w:r>
          </w:p>
        </w:tc>
      </w:tr>
      <w:tr>
        <w:trPr>
          <w:trHeight w:val="280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24" w:line="253" w:lineRule="exact"/>
              <w:rPr/>
            </w:pPr>
            <w:r>
              <w:rPr>
                <w:spacing w:val="3"/>
                <w:position w:val="1"/>
              </w:rPr>
              <w:t>2019</w:t>
            </w:r>
          </w:p>
        </w:tc>
        <w:tc>
          <w:tcPr>
            <w:tcW w:w="7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7"/>
              <w:spacing w:before="124" w:line="253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7"/>
              <w:spacing w:before="4" w:line="226" w:lineRule="auto"/>
              <w:rPr/>
            </w:pPr>
            <w:r>
              <w:rPr>
                <w:spacing w:val="8"/>
              </w:rPr>
              <w:t>随锐科技集团股份有限公司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7"/>
              <w:spacing w:before="4" w:line="227" w:lineRule="auto"/>
              <w:rPr/>
            </w:pPr>
            <w:r>
              <w:rPr>
                <w:spacing w:val="2"/>
              </w:rPr>
              <w:t>3.65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4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  <w:tr>
        <w:trPr>
          <w:trHeight w:val="268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3"/>
              <w:spacing w:before="4" w:line="226" w:lineRule="auto"/>
              <w:rPr/>
            </w:pPr>
            <w:r>
              <w:rPr>
                <w:spacing w:val="7"/>
              </w:rPr>
              <w:t>芒果超媒股份有限公司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8"/>
              <w:spacing w:before="4" w:line="227" w:lineRule="auto"/>
              <w:rPr/>
            </w:pPr>
            <w:r>
              <w:rPr>
                <w:spacing w:val="-3"/>
              </w:rPr>
              <w:t>16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1"/>
              <w:spacing w:before="4" w:line="253" w:lineRule="exact"/>
              <w:rPr/>
            </w:pPr>
            <w:r>
              <w:rPr>
                <w:spacing w:val="3"/>
                <w:position w:val="1"/>
              </w:rPr>
              <w:t>4.37%</w:t>
            </w:r>
          </w:p>
        </w:tc>
      </w:tr>
      <w:tr>
        <w:trPr>
          <w:trHeight w:val="446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1" w:right="209" w:firstLine="18"/>
              <w:spacing w:before="5" w:line="209" w:lineRule="auto"/>
              <w:rPr/>
            </w:pPr>
            <w:r>
              <w:rPr>
                <w:spacing w:val="7"/>
              </w:rPr>
              <w:t>国家集成电路产业投资基金二期股份有限</w:t>
            </w:r>
            <w:r>
              <w:rPr>
                <w:spacing w:val="1"/>
              </w:rPr>
              <w:t>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8"/>
              <w:spacing w:before="5" w:line="227" w:lineRule="auto"/>
              <w:rPr/>
            </w:pPr>
            <w:r>
              <w:rPr>
                <w:spacing w:val="-1"/>
              </w:rPr>
              <w:t>100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1"/>
              <w:spacing w:before="5" w:line="252" w:lineRule="exact"/>
              <w:rPr/>
            </w:pPr>
            <w:r>
              <w:rPr>
                <w:spacing w:val="3"/>
                <w:position w:val="1"/>
              </w:rPr>
              <w:t>4.90%</w:t>
            </w:r>
          </w:p>
        </w:tc>
      </w:tr>
      <w:tr>
        <w:trPr>
          <w:trHeight w:val="444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30" w:right="229" w:firstLine="13"/>
              <w:spacing w:before="5" w:line="208" w:lineRule="auto"/>
              <w:rPr/>
            </w:pPr>
            <w:r>
              <w:rPr>
                <w:spacing w:val="6"/>
              </w:rPr>
              <w:t>中移股权基金（河北雄安）合伙企业（有</w:t>
            </w:r>
            <w:r>
              <w:rPr>
                <w:spacing w:val="-2"/>
              </w:rPr>
              <w:t>限合伙）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7"/>
              <w:spacing w:before="5" w:line="227" w:lineRule="auto"/>
              <w:rPr/>
            </w:pPr>
            <w:r>
              <w:rPr/>
              <w:t>30</w:t>
            </w:r>
            <w:r>
              <w:rPr>
                <w:spacing w:val="-27"/>
              </w:rPr>
              <w:t xml:space="preserve"> </w:t>
            </w:r>
            <w:r>
              <w:rPr/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1"/>
              <w:spacing w:before="5" w:line="252" w:lineRule="exact"/>
              <w:rPr/>
            </w:pPr>
            <w:r>
              <w:rPr>
                <w:spacing w:val="4"/>
                <w:position w:val="1"/>
              </w:rPr>
              <w:t>43.63%</w:t>
            </w:r>
          </w:p>
        </w:tc>
      </w:tr>
      <w:tr>
        <w:trPr>
          <w:trHeight w:val="372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5"/>
              <w:spacing w:before="5" w:line="227" w:lineRule="auto"/>
              <w:rPr/>
            </w:pPr>
            <w:r>
              <w:rPr>
                <w:spacing w:val="9"/>
              </w:rPr>
              <w:t>联仁健康医疗大数据科技股份有限公司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4"/>
              <w:spacing w:before="5" w:line="227" w:lineRule="auto"/>
              <w:rPr/>
            </w:pPr>
            <w:r>
              <w:rPr>
                <w:spacing w:val="2"/>
              </w:rPr>
              <w:t>9.9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1"/>
              <w:spacing w:before="5" w:line="252" w:lineRule="exact"/>
              <w:rPr/>
            </w:pPr>
            <w:r>
              <w:rPr>
                <w:spacing w:val="3"/>
                <w:position w:val="1"/>
              </w:rPr>
              <w:t>49.5%</w:t>
            </w:r>
          </w:p>
        </w:tc>
      </w:tr>
      <w:tr>
        <w:trPr>
          <w:trHeight w:val="290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43"/>
              <w:spacing w:before="5" w:line="227" w:lineRule="auto"/>
              <w:rPr/>
            </w:pPr>
            <w:r>
              <w:rPr>
                <w:spacing w:val="6"/>
              </w:rPr>
              <w:t>中移股权基金管理有限公司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3"/>
              <w:spacing w:before="5" w:line="231" w:lineRule="auto"/>
              <w:rPr/>
            </w:pPr>
            <w:r>
              <w:rPr>
                <w:spacing w:val="3"/>
              </w:rPr>
              <w:t>4200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万元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6"/>
              <w:spacing w:before="5" w:line="253" w:lineRule="exact"/>
              <w:rPr/>
            </w:pPr>
            <w:r>
              <w:rPr>
                <w:spacing w:val="1"/>
                <w:position w:val="1"/>
              </w:rPr>
              <w:t>55%</w:t>
            </w:r>
          </w:p>
        </w:tc>
      </w:tr>
      <w:tr>
        <w:trPr>
          <w:trHeight w:val="283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43"/>
              <w:spacing w:before="6" w:line="226" w:lineRule="auto"/>
              <w:rPr/>
            </w:pPr>
            <w:r>
              <w:rPr>
                <w:spacing w:val="7"/>
              </w:rPr>
              <w:t>中资网络信息安全科技有限公司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6"/>
              <w:spacing w:before="5" w:line="231" w:lineRule="auto"/>
              <w:rPr/>
            </w:pPr>
            <w:r>
              <w:rPr>
                <w:spacing w:val="2"/>
              </w:rPr>
              <w:t>2100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万元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7"/>
              <w:spacing w:before="6" w:line="253" w:lineRule="exact"/>
              <w:rPr/>
            </w:pPr>
            <w:r>
              <w:rPr>
                <w:spacing w:val="-1"/>
                <w:position w:val="1"/>
              </w:rPr>
              <w:t>7%</w:t>
            </w:r>
          </w:p>
        </w:tc>
      </w:tr>
      <w:tr>
        <w:trPr>
          <w:trHeight w:val="271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3"/>
              <w:spacing w:before="5" w:line="225" w:lineRule="auto"/>
              <w:rPr/>
            </w:pPr>
            <w:r>
              <w:rPr>
                <w:spacing w:val="8"/>
              </w:rPr>
              <w:t>北京梆梆安全科技有限公司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3"/>
              <w:spacing w:before="5" w:line="231" w:lineRule="auto"/>
              <w:rPr/>
            </w:pPr>
            <w:r>
              <w:rPr>
                <w:spacing w:val="3"/>
              </w:rPr>
              <w:t>498.8764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万元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7"/>
              <w:spacing w:before="6" w:line="252" w:lineRule="exact"/>
              <w:rPr/>
            </w:pPr>
            <w:r>
              <w:rPr>
                <w:spacing w:val="1"/>
                <w:position w:val="1"/>
              </w:rPr>
              <w:t>12.90%</w:t>
            </w:r>
          </w:p>
        </w:tc>
      </w:tr>
      <w:tr>
        <w:trPr>
          <w:trHeight w:val="276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26" w:line="253" w:lineRule="exact"/>
              <w:rPr/>
            </w:pPr>
            <w:r>
              <w:rPr>
                <w:spacing w:val="3"/>
                <w:position w:val="1"/>
              </w:rPr>
              <w:t>2020</w:t>
            </w:r>
          </w:p>
        </w:tc>
        <w:tc>
          <w:tcPr>
            <w:tcW w:w="7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7"/>
              <w:spacing w:before="126" w:line="253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3"/>
              <w:spacing w:before="6" w:line="226" w:lineRule="auto"/>
              <w:rPr/>
            </w:pPr>
            <w:r>
              <w:rPr>
                <w:spacing w:val="7"/>
              </w:rPr>
              <w:t>华勤技术股份有限公司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1"/>
              <w:spacing w:before="6" w:line="227" w:lineRule="auto"/>
              <w:rPr/>
            </w:pPr>
            <w:r>
              <w:rPr>
                <w:spacing w:val="5"/>
              </w:rPr>
              <w:t>未披露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6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  <w:tr>
        <w:trPr>
          <w:trHeight w:val="280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9"/>
              <w:spacing w:before="5" w:line="226" w:lineRule="auto"/>
              <w:rPr/>
            </w:pPr>
            <w:r>
              <w:rPr>
                <w:spacing w:val="8"/>
              </w:rPr>
              <w:t>深圳市知学云科技有限公司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1"/>
              <w:spacing w:before="5" w:line="227" w:lineRule="auto"/>
              <w:rPr/>
            </w:pPr>
            <w:r>
              <w:rPr>
                <w:spacing w:val="5"/>
              </w:rPr>
              <w:t>未披露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5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  <w:tr>
        <w:trPr>
          <w:trHeight w:val="268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3"/>
              <w:spacing w:before="6" w:line="226" w:lineRule="auto"/>
              <w:rPr/>
            </w:pPr>
            <w:r>
              <w:rPr>
                <w:spacing w:val="8"/>
              </w:rPr>
              <w:t>北京华宇软件股份有限公司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4"/>
              <w:spacing w:before="6" w:line="227" w:lineRule="auto"/>
              <w:rPr/>
            </w:pPr>
            <w:r>
              <w:rPr>
                <w:spacing w:val="2"/>
              </w:rPr>
              <w:t>9.07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1"/>
              <w:spacing w:before="6" w:line="252" w:lineRule="exact"/>
              <w:rPr/>
            </w:pPr>
            <w:r>
              <w:rPr>
                <w:spacing w:val="3"/>
                <w:position w:val="1"/>
              </w:rPr>
              <w:t>4.97%</w:t>
            </w:r>
          </w:p>
        </w:tc>
      </w:tr>
      <w:tr>
        <w:trPr>
          <w:trHeight w:val="288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3"/>
              <w:spacing w:before="6" w:line="226" w:lineRule="auto"/>
              <w:rPr/>
            </w:pPr>
            <w:r>
              <w:rPr>
                <w:spacing w:val="7"/>
              </w:rPr>
              <w:t>芒果超媒股份有限公司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7"/>
              <w:spacing w:before="7" w:line="227" w:lineRule="auto"/>
              <w:rPr/>
            </w:pPr>
            <w:r>
              <w:rPr/>
              <w:t>30</w:t>
            </w:r>
            <w:r>
              <w:rPr>
                <w:spacing w:val="-27"/>
              </w:rPr>
              <w:t xml:space="preserve"> </w:t>
            </w:r>
            <w:r>
              <w:rPr/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7"/>
              <w:spacing w:before="7" w:line="252" w:lineRule="exact"/>
              <w:rPr/>
            </w:pPr>
            <w:r>
              <w:rPr>
                <w:spacing w:val="2"/>
                <w:position w:val="1"/>
              </w:rPr>
              <w:t>7.01%</w:t>
            </w:r>
          </w:p>
        </w:tc>
      </w:tr>
      <w:tr>
        <w:trPr>
          <w:trHeight w:val="444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7" w:right="209" w:firstLine="5"/>
              <w:spacing w:before="5" w:line="208" w:lineRule="auto"/>
              <w:rPr/>
            </w:pPr>
            <w:r>
              <w:rPr>
                <w:spacing w:val="8"/>
              </w:rPr>
              <w:t>北京中移和创股权投资合伙企业（有限合</w:t>
            </w:r>
            <w:r>
              <w:rPr>
                <w:spacing w:val="-3"/>
              </w:rPr>
              <w:t>伙）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4"/>
              <w:spacing w:before="6" w:line="227" w:lineRule="auto"/>
              <w:rPr/>
            </w:pPr>
            <w:r>
              <w:rPr>
                <w:spacing w:val="2"/>
              </w:rPr>
              <w:t>99.99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3"/>
              <w:spacing w:before="6" w:line="253" w:lineRule="exact"/>
              <w:rPr/>
            </w:pPr>
            <w:r>
              <w:rPr>
                <w:spacing w:val="3"/>
                <w:position w:val="1"/>
              </w:rPr>
              <w:t>99.99%</w:t>
            </w:r>
          </w:p>
        </w:tc>
      </w:tr>
      <w:tr>
        <w:trPr>
          <w:trHeight w:val="398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43"/>
              <w:spacing w:before="6" w:line="227" w:lineRule="auto"/>
              <w:rPr/>
            </w:pPr>
            <w:r>
              <w:rPr>
                <w:spacing w:val="6"/>
              </w:rPr>
              <w:t>中国文化产业投资基金二期（有限合伙）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7"/>
              <w:spacing w:before="6" w:line="227" w:lineRule="auto"/>
              <w:rPr/>
            </w:pPr>
            <w:r>
              <w:rPr/>
              <w:t>30</w:t>
            </w:r>
            <w:r>
              <w:rPr>
                <w:spacing w:val="-27"/>
              </w:rPr>
              <w:t xml:space="preserve"> </w:t>
            </w:r>
            <w:r>
              <w:rPr/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3"/>
              <w:spacing w:before="6" w:line="252" w:lineRule="exact"/>
              <w:rPr/>
            </w:pPr>
            <w:r>
              <w:rPr>
                <w:spacing w:val="3"/>
                <w:position w:val="1"/>
              </w:rPr>
              <w:t>9.46%</w:t>
            </w:r>
          </w:p>
        </w:tc>
      </w:tr>
      <w:tr>
        <w:trPr>
          <w:trHeight w:val="225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3"/>
              <w:spacing w:before="7" w:line="202" w:lineRule="auto"/>
              <w:rPr/>
            </w:pPr>
            <w:r>
              <w:rPr>
                <w:spacing w:val="8"/>
              </w:rPr>
              <w:t>河北产业投资引导基金管理有限公司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6"/>
              <w:spacing w:before="7" w:line="202" w:lineRule="auto"/>
              <w:rPr/>
            </w:pPr>
            <w:r>
              <w:rPr>
                <w:spacing w:val="2"/>
              </w:rPr>
              <w:t>2000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万元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7"/>
              <w:spacing w:before="7" w:line="202" w:lineRule="auto"/>
              <w:rPr/>
            </w:pPr>
            <w:r>
              <w:rPr>
                <w:spacing w:val="-2"/>
              </w:rPr>
              <w:t>10%</w:t>
            </w:r>
          </w:p>
        </w:tc>
      </w:tr>
      <w:tr>
        <w:trPr>
          <w:trHeight w:val="281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43"/>
              <w:spacing w:before="7" w:line="227" w:lineRule="auto"/>
              <w:rPr/>
            </w:pPr>
            <w:r>
              <w:rPr>
                <w:spacing w:val="7"/>
              </w:rPr>
              <w:t>中国文化产业投资母基金管理有限公司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4"/>
              <w:spacing w:before="7" w:line="231" w:lineRule="auto"/>
              <w:rPr/>
            </w:pPr>
            <w:r>
              <w:rPr>
                <w:spacing w:val="2"/>
              </w:rPr>
              <w:t>994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万元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3"/>
              <w:spacing w:before="7" w:line="252" w:lineRule="exact"/>
              <w:rPr/>
            </w:pPr>
            <w:r>
              <w:rPr>
                <w:spacing w:val="3"/>
                <w:position w:val="1"/>
              </w:rPr>
              <w:t>9.94%</w:t>
            </w:r>
          </w:p>
        </w:tc>
      </w:tr>
      <w:tr>
        <w:trPr>
          <w:trHeight w:val="283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27" w:line="253" w:lineRule="exact"/>
              <w:rPr/>
            </w:pPr>
            <w:r>
              <w:rPr>
                <w:spacing w:val="3"/>
                <w:position w:val="1"/>
              </w:rPr>
              <w:t>2021</w:t>
            </w:r>
          </w:p>
        </w:tc>
        <w:tc>
          <w:tcPr>
            <w:tcW w:w="7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8"/>
              <w:spacing w:before="127" w:line="253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8"/>
              <w:spacing w:before="7" w:line="226" w:lineRule="auto"/>
              <w:rPr/>
            </w:pPr>
            <w:r>
              <w:rPr>
                <w:spacing w:val="8"/>
              </w:rPr>
              <w:t>科来网络技术股份有限公司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1"/>
              <w:spacing w:before="7" w:line="227" w:lineRule="auto"/>
              <w:rPr/>
            </w:pPr>
            <w:r>
              <w:rPr>
                <w:spacing w:val="5"/>
              </w:rPr>
              <w:t>未披露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7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  <w:tr>
        <w:trPr>
          <w:trHeight w:val="273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8"/>
              <w:spacing w:before="7" w:line="227" w:lineRule="auto"/>
              <w:rPr/>
            </w:pPr>
            <w:r>
              <w:rPr>
                <w:spacing w:val="8"/>
              </w:rPr>
              <w:t>裕太微电子股份有限公司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1"/>
              <w:spacing w:before="7" w:line="227" w:lineRule="auto"/>
              <w:rPr/>
            </w:pPr>
            <w:r>
              <w:rPr>
                <w:spacing w:val="5"/>
              </w:rPr>
              <w:t>未披露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7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  <w:tr>
        <w:trPr>
          <w:trHeight w:val="278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3"/>
              <w:spacing w:before="10" w:line="227" w:lineRule="auto"/>
              <w:rPr/>
            </w:pPr>
            <w:r>
              <w:rPr>
                <w:spacing w:val="7"/>
              </w:rPr>
              <w:t>紫光云技术有限公司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5"/>
              <w:spacing w:before="9" w:line="231" w:lineRule="auto"/>
              <w:rPr/>
            </w:pPr>
            <w:r>
              <w:rPr>
                <w:spacing w:val="2"/>
              </w:rPr>
              <w:t>600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万元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6"/>
              <w:spacing w:before="10" w:line="252" w:lineRule="exact"/>
              <w:rPr/>
            </w:pPr>
            <w:r>
              <w:rPr>
                <w:spacing w:val="2"/>
                <w:position w:val="1"/>
              </w:rPr>
              <w:t>3.57%</w:t>
            </w:r>
          </w:p>
        </w:tc>
      </w:tr>
      <w:tr>
        <w:trPr>
          <w:trHeight w:val="283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8"/>
              <w:spacing w:before="8" w:line="226" w:lineRule="auto"/>
              <w:rPr/>
            </w:pPr>
            <w:r>
              <w:rPr>
                <w:spacing w:val="8"/>
              </w:rPr>
              <w:t>蜂巢能源科技股份有限公司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1"/>
              <w:spacing w:before="7" w:line="227" w:lineRule="auto"/>
              <w:rPr/>
            </w:pPr>
            <w:r>
              <w:rPr>
                <w:spacing w:val="5"/>
              </w:rPr>
              <w:t>未披露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7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  <w:tr>
        <w:trPr>
          <w:trHeight w:val="271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8"/>
              <w:spacing w:before="7" w:line="227" w:lineRule="auto"/>
              <w:rPr/>
            </w:pPr>
            <w:r>
              <w:rPr>
                <w:spacing w:val="8"/>
              </w:rPr>
              <w:t>超聚变数字技术有限公司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8"/>
              <w:spacing w:before="7" w:line="231" w:lineRule="auto"/>
              <w:rPr/>
            </w:pPr>
            <w:r>
              <w:rPr>
                <w:spacing w:val="3"/>
              </w:rPr>
              <w:t>7017.52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万元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3"/>
              <w:spacing w:before="7" w:line="253" w:lineRule="exact"/>
              <w:rPr/>
            </w:pPr>
            <w:r>
              <w:rPr>
                <w:spacing w:val="3"/>
                <w:position w:val="1"/>
              </w:rPr>
              <w:t>8.77%</w:t>
            </w:r>
          </w:p>
        </w:tc>
      </w:tr>
      <w:tr>
        <w:trPr>
          <w:trHeight w:val="288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9"/>
              <w:spacing w:before="8" w:line="226" w:lineRule="auto"/>
              <w:rPr/>
            </w:pPr>
            <w:r>
              <w:rPr>
                <w:spacing w:val="8"/>
              </w:rPr>
              <w:t>浙江大华技术股份有限公司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7"/>
              <w:spacing w:before="7" w:line="227" w:lineRule="auto"/>
              <w:rPr/>
            </w:pPr>
            <w:r>
              <w:rPr/>
              <w:t>56</w:t>
            </w:r>
            <w:r>
              <w:rPr>
                <w:spacing w:val="-27"/>
              </w:rPr>
              <w:t xml:space="preserve"> </w:t>
            </w:r>
            <w:r>
              <w:rPr/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3"/>
              <w:spacing w:before="7" w:line="253" w:lineRule="exact"/>
              <w:rPr/>
            </w:pPr>
            <w:r>
              <w:rPr>
                <w:spacing w:val="3"/>
                <w:position w:val="1"/>
              </w:rPr>
              <w:t>9.35%</w:t>
            </w:r>
          </w:p>
        </w:tc>
      </w:tr>
      <w:tr>
        <w:trPr>
          <w:trHeight w:val="266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30" w:line="253" w:lineRule="exact"/>
              <w:rPr/>
            </w:pPr>
            <w:r>
              <w:rPr>
                <w:spacing w:val="3"/>
                <w:position w:val="1"/>
              </w:rPr>
              <w:t>2022</w:t>
            </w:r>
          </w:p>
        </w:tc>
        <w:tc>
          <w:tcPr>
            <w:tcW w:w="7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8"/>
              <w:spacing w:before="130" w:line="253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7"/>
              <w:spacing w:before="10" w:line="226" w:lineRule="auto"/>
              <w:rPr/>
            </w:pPr>
            <w:r>
              <w:rPr>
                <w:spacing w:val="8"/>
              </w:rPr>
              <w:t>广州明珞装备股份有限公司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0"/>
              <w:spacing w:before="10" w:line="227" w:lineRule="auto"/>
              <w:rPr/>
            </w:pPr>
            <w:r>
              <w:rPr>
                <w:spacing w:val="1"/>
              </w:rPr>
              <w:t>少于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10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  <w:tr>
        <w:trPr>
          <w:trHeight w:val="283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7"/>
              <w:spacing w:before="7" w:line="227" w:lineRule="auto"/>
              <w:rPr/>
            </w:pPr>
            <w:r>
              <w:rPr>
                <w:spacing w:val="8"/>
              </w:rPr>
              <w:t>南京国博电子股份有限公司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1"/>
              <w:spacing w:before="7" w:line="227" w:lineRule="auto"/>
              <w:rPr/>
            </w:pPr>
            <w:r>
              <w:rPr>
                <w:spacing w:val="5"/>
              </w:rPr>
              <w:t>未披露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3"/>
              <w:spacing w:before="7" w:line="253" w:lineRule="exact"/>
              <w:rPr/>
            </w:pPr>
            <w:r>
              <w:rPr>
                <w:spacing w:val="3"/>
                <w:position w:val="1"/>
              </w:rPr>
              <w:t>0.69%</w:t>
            </w:r>
          </w:p>
        </w:tc>
      </w:tr>
      <w:tr>
        <w:trPr>
          <w:trHeight w:val="429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17"/>
              <w:spacing w:before="10" w:line="226" w:lineRule="auto"/>
              <w:rPr/>
            </w:pPr>
            <w:r>
              <w:rPr>
                <w:spacing w:val="9"/>
              </w:rPr>
              <w:t>摩尔线程智能科技（北京）有限责任公司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0"/>
              <w:spacing w:before="10" w:line="227" w:lineRule="auto"/>
              <w:rPr/>
            </w:pPr>
            <w:r>
              <w:rPr>
                <w:spacing w:val="-1"/>
              </w:rPr>
              <w:t>少于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15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10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  <w:tr>
        <w:trPr>
          <w:trHeight w:val="446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2" w:right="408"/>
              <w:spacing w:before="7" w:line="208" w:lineRule="auto"/>
              <w:rPr/>
            </w:pPr>
            <w:r>
              <w:rPr>
                <w:spacing w:val="8"/>
              </w:rPr>
              <w:t>北京中移数字新经济产业基金合伙企业</w:t>
            </w:r>
            <w:r>
              <w:rPr>
                <w:spacing w:val="4"/>
              </w:rPr>
              <w:t>（有限合伙）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7"/>
              <w:spacing w:before="8" w:line="227" w:lineRule="auto"/>
              <w:rPr/>
            </w:pPr>
            <w:r>
              <w:rPr/>
              <w:t>50</w:t>
            </w:r>
            <w:r>
              <w:rPr>
                <w:spacing w:val="-27"/>
              </w:rPr>
              <w:t xml:space="preserve"> </w:t>
            </w:r>
            <w:r>
              <w:rPr/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7"/>
              <w:spacing w:before="8" w:line="252" w:lineRule="exact"/>
              <w:rPr/>
            </w:pPr>
            <w:r>
              <w:rPr>
                <w:spacing w:val="3"/>
                <w:position w:val="1"/>
              </w:rPr>
              <w:t>70.32%</w:t>
            </w:r>
          </w:p>
        </w:tc>
      </w:tr>
      <w:tr>
        <w:trPr>
          <w:trHeight w:val="444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0" w:right="209" w:hanging="3"/>
              <w:spacing w:before="9" w:line="206" w:lineRule="auto"/>
              <w:rPr/>
            </w:pPr>
            <w:r>
              <w:rPr>
                <w:spacing w:val="5"/>
              </w:rPr>
              <w:t>和创数字私募股权基金管理（北京）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有限</w:t>
            </w:r>
            <w:r>
              <w:rPr>
                <w:spacing w:val="1"/>
              </w:rPr>
              <w:t>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6"/>
              <w:spacing w:before="8" w:line="231" w:lineRule="auto"/>
              <w:rPr/>
            </w:pPr>
            <w:r>
              <w:rPr>
                <w:spacing w:val="2"/>
              </w:rPr>
              <w:t>2300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万元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4"/>
              <w:spacing w:before="9" w:line="253" w:lineRule="exact"/>
              <w:rPr/>
            </w:pPr>
            <w:r>
              <w:rPr>
                <w:spacing w:val="2"/>
                <w:position w:val="1"/>
              </w:rPr>
              <w:t>23%</w:t>
            </w:r>
          </w:p>
        </w:tc>
      </w:tr>
      <w:tr>
        <w:trPr>
          <w:trHeight w:val="326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1"/>
              <w:spacing w:before="9" w:line="226" w:lineRule="auto"/>
              <w:rPr/>
            </w:pPr>
            <w:r>
              <w:rPr>
                <w:spacing w:val="8"/>
              </w:rPr>
              <w:t>启明信息技术集团股份有限公司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13"/>
              <w:spacing w:before="8" w:line="227" w:lineRule="auto"/>
              <w:rPr/>
            </w:pPr>
            <w:r>
              <w:rPr>
                <w:spacing w:val="3"/>
              </w:rPr>
              <w:t>41.43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4"/>
              <w:spacing w:before="8" w:line="253" w:lineRule="exact"/>
              <w:rPr/>
            </w:pPr>
            <w:r>
              <w:rPr>
                <w:spacing w:val="3"/>
                <w:position w:val="1"/>
              </w:rPr>
              <w:t>23.08%</w:t>
            </w:r>
          </w:p>
        </w:tc>
      </w:tr>
      <w:tr>
        <w:trPr>
          <w:trHeight w:val="470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17"/>
              <w:spacing w:before="129" w:line="253" w:lineRule="exact"/>
              <w:rPr/>
            </w:pPr>
            <w:r>
              <w:rPr>
                <w:spacing w:val="3"/>
                <w:position w:val="1"/>
              </w:rPr>
              <w:t>2023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341"/>
              <w:spacing w:before="129" w:line="254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3918" w:type="dxa"/>
            <w:vAlign w:val="top"/>
          </w:tcPr>
          <w:p>
            <w:pPr>
              <w:pStyle w:val="TableText"/>
              <w:ind w:left="123"/>
              <w:spacing w:before="9" w:line="227" w:lineRule="auto"/>
              <w:rPr/>
            </w:pPr>
            <w:r>
              <w:rPr>
                <w:spacing w:val="8"/>
              </w:rPr>
              <w:t>北京玻色量子科技有限公司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121"/>
              <w:spacing w:before="9" w:line="227" w:lineRule="auto"/>
              <w:rPr/>
            </w:pPr>
            <w:r>
              <w:rPr>
                <w:spacing w:val="5"/>
              </w:rPr>
              <w:t>约亿元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20"/>
              <w:spacing w:before="9" w:line="227" w:lineRule="auto"/>
              <w:rPr/>
            </w:pPr>
            <w:r>
              <w:rPr>
                <w:spacing w:val="5"/>
              </w:rPr>
              <w:t>未披露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16" w:right="194" w:firstLine="578"/>
        <w:spacing w:before="91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李一明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集团市场营销高级专家，在移动业务市场、商业模式</w:t>
      </w:r>
      <w:r>
        <w:rPr>
          <w:rFonts w:ascii="KaiTi" w:hAnsi="KaiTi" w:eastAsia="KaiTi" w:cs="KaiTi"/>
          <w:sz w:val="28"/>
          <w:szCs w:val="28"/>
        </w:rPr>
        <w:t>研究方面有超过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25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年的项目经历，近年专注于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5G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行业应用、工</w:t>
      </w:r>
      <w:r>
        <w:rPr>
          <w:rFonts w:ascii="KaiTi" w:hAnsi="KaiTi" w:eastAsia="KaiTi" w:cs="KaiTi"/>
          <w:sz w:val="28"/>
          <w:szCs w:val="28"/>
          <w:spacing w:val="-6"/>
        </w:rPr>
        <w:t>业互联网等方面的研究。【18918588667】</w:t>
      </w:r>
    </w:p>
    <w:p>
      <w:pPr>
        <w:spacing w:line="278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31" w:right="194" w:firstLine="573"/>
        <w:spacing w:before="102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张媛玥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北京师范大学心理学硕士，中级经济</w:t>
      </w:r>
      <w:r>
        <w:rPr>
          <w:rFonts w:ascii="KaiTi" w:hAnsi="KaiTi" w:eastAsia="KaiTi" w:cs="KaiTi"/>
          <w:sz w:val="28"/>
          <w:szCs w:val="28"/>
          <w:spacing w:val="-2"/>
        </w:rPr>
        <w:t>师，专注于人工</w:t>
      </w:r>
      <w:r>
        <w:rPr>
          <w:rFonts w:ascii="KaiTi" w:hAnsi="KaiTi" w:eastAsia="KaiTi" w:cs="KaiTi"/>
          <w:sz w:val="28"/>
          <w:szCs w:val="28"/>
          <w:spacing w:val="-1"/>
        </w:rPr>
        <w:t>智能、工业互联网等数字技术及产业研究工作。</w:t>
      </w:r>
    </w:p>
    <w:p>
      <w:pPr>
        <w:ind w:left="25" w:right="51" w:firstLine="552"/>
        <w:spacing w:before="276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杜晓明</w:t>
      </w:r>
      <w:r>
        <w:rPr>
          <w:rFonts w:ascii="KaiTi" w:hAnsi="KaiTi" w:eastAsia="KaiTi" w:cs="KaiTi"/>
          <w:sz w:val="28"/>
          <w:szCs w:val="28"/>
        </w:rPr>
        <w:t xml:space="preserve">  </w:t>
      </w:r>
      <w:r>
        <w:rPr>
          <w:rFonts w:ascii="KaiTi" w:hAnsi="KaiTi" w:eastAsia="KaiTi" w:cs="KaiTi"/>
          <w:sz w:val="28"/>
          <w:szCs w:val="28"/>
        </w:rPr>
        <w:t>西安交通大学硕士,超过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10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年产品规划</w:t>
      </w:r>
      <w:r>
        <w:rPr>
          <w:rFonts w:ascii="KaiTi" w:hAnsi="KaiTi" w:eastAsia="KaiTi" w:cs="KaiTi"/>
          <w:sz w:val="28"/>
          <w:szCs w:val="28"/>
          <w:spacing w:val="-1"/>
        </w:rPr>
        <w:t>与行业研究经</w:t>
      </w:r>
      <w:r>
        <w:rPr>
          <w:rFonts w:ascii="KaiTi" w:hAnsi="KaiTi" w:eastAsia="KaiTi" w:cs="KaiTi"/>
          <w:sz w:val="28"/>
          <w:szCs w:val="28"/>
          <w:spacing w:val="-1"/>
        </w:rPr>
        <w:t>验，近年来专注于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5G，工业互联网，数字产业研究工作。</w:t>
      </w:r>
    </w:p>
    <w:p>
      <w:pPr>
        <w:ind w:left="20" w:right="200" w:firstLine="571"/>
        <w:spacing w:before="278" w:line="282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裴迎栋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硕士，大数据分析师(高级)，主要从事产业数字化发</w:t>
      </w:r>
      <w:r>
        <w:rPr>
          <w:rFonts w:ascii="KaiTi" w:hAnsi="KaiTi" w:eastAsia="KaiTi" w:cs="KaiTi"/>
          <w:sz w:val="28"/>
          <w:szCs w:val="28"/>
        </w:rPr>
        <w:t>展、趋势跟踪研究，擅长通过构建数据模型来</w:t>
      </w:r>
      <w:r>
        <w:rPr>
          <w:rFonts w:ascii="KaiTi" w:hAnsi="KaiTi" w:eastAsia="KaiTi" w:cs="KaiTi"/>
          <w:sz w:val="28"/>
          <w:szCs w:val="28"/>
          <w:spacing w:val="-1"/>
        </w:rPr>
        <w:t>挖掘行业前沿发展动</w:t>
      </w:r>
      <w:r>
        <w:rPr>
          <w:rFonts w:ascii="KaiTi" w:hAnsi="KaiTi" w:eastAsia="KaiTi" w:cs="KaiTi"/>
          <w:sz w:val="28"/>
          <w:szCs w:val="28"/>
          <w:spacing w:val="-11"/>
        </w:rPr>
        <w:t>态。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://data.eastmoney.com/zlsj/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2023-04-06T11:20:59Z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2025-11-04T15:55:37</vt:filetime>
  </property>
</Properties>
</file>