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07"/>
        <w:spacing w:before="418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中国移动入股安防巨头定增落地的</w:t>
      </w:r>
    </w:p>
    <w:p>
      <w:pPr>
        <w:ind w:left="3086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分析及启示</w:t>
      </w:r>
    </w:p>
    <w:p>
      <w:pPr>
        <w:ind w:left="3095"/>
        <w:spacing w:before="330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江嘉琳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李娟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0" w:firstLine="608"/>
        <w:spacing w:before="97" w:line="259" w:lineRule="auto"/>
        <w:jc w:val="both"/>
        <w:rPr/>
      </w:pPr>
      <w:r>
        <w:rPr>
          <w:spacing w:val="-4"/>
        </w:rPr>
        <w:t>近几年，中国移动对多家</w:t>
      </w:r>
      <w:r>
        <w:rPr>
          <w:spacing w:val="-43"/>
        </w:rPr>
        <w:t xml:space="preserve"> </w:t>
      </w:r>
      <w:r>
        <w:rPr>
          <w:spacing w:val="-4"/>
        </w:rPr>
        <w:t>A</w:t>
      </w:r>
      <w:r>
        <w:rPr>
          <w:spacing w:val="-28"/>
        </w:rPr>
        <w:t xml:space="preserve"> </w:t>
      </w:r>
      <w:r>
        <w:rPr>
          <w:spacing w:val="-4"/>
        </w:rPr>
        <w:t>股上市公司进行了大手笔投资，</w:t>
      </w:r>
      <w:r>
        <w:rPr>
          <w:spacing w:val="-9"/>
        </w:rPr>
        <w:t>投资方式包括参与定增、首次公开发行（IPO）战略配售、协议转</w:t>
      </w:r>
      <w:r>
        <w:rPr>
          <w:spacing w:val="-6"/>
        </w:rPr>
        <w:t>让等。今年</w:t>
      </w:r>
      <w:r>
        <w:rPr>
          <w:spacing w:val="-44"/>
        </w:rPr>
        <w:t xml:space="preserve"> </w:t>
      </w:r>
      <w:r>
        <w:rPr>
          <w:spacing w:val="-6"/>
        </w:rPr>
        <w:t>3</w:t>
      </w:r>
      <w:r>
        <w:rPr>
          <w:spacing w:val="-33"/>
        </w:rPr>
        <w:t xml:space="preserve"> </w:t>
      </w:r>
      <w:r>
        <w:rPr>
          <w:spacing w:val="-6"/>
        </w:rPr>
        <w:t>月</w:t>
      </w:r>
      <w:r>
        <w:rPr>
          <w:spacing w:val="-51"/>
        </w:rPr>
        <w:t xml:space="preserve"> </w:t>
      </w:r>
      <w:r>
        <w:rPr>
          <w:spacing w:val="-6"/>
        </w:rPr>
        <w:t>29</w:t>
      </w:r>
      <w:r>
        <w:rPr>
          <w:spacing w:val="-6"/>
        </w:rPr>
        <w:t xml:space="preserve"> </w:t>
      </w:r>
      <w:r>
        <w:rPr>
          <w:spacing w:val="-6"/>
        </w:rPr>
        <w:t>日，中国移动耗资约</w:t>
      </w:r>
      <w:r>
        <w:rPr>
          <w:spacing w:val="-54"/>
        </w:rPr>
        <w:t xml:space="preserve"> </w:t>
      </w:r>
      <w:r>
        <w:rPr>
          <w:spacing w:val="-6"/>
        </w:rPr>
        <w:t>450</w:t>
      </w:r>
      <w:r>
        <w:rPr>
          <w:spacing w:val="-44"/>
        </w:rPr>
        <w:t xml:space="preserve"> </w:t>
      </w:r>
      <w:r>
        <w:rPr>
          <w:spacing w:val="-6"/>
        </w:rPr>
        <w:t>亿元全额认购了邮</w:t>
      </w:r>
      <w:r>
        <w:rPr>
          <w:spacing w:val="-8"/>
        </w:rPr>
        <w:t>储银行</w:t>
      </w:r>
      <w:r>
        <w:rPr>
          <w:spacing w:val="-53"/>
        </w:rPr>
        <w:t xml:space="preserve"> </w:t>
      </w:r>
      <w:r>
        <w:rPr>
          <w:spacing w:val="-8"/>
        </w:rPr>
        <w:t>67.8</w:t>
      </w:r>
      <w:r>
        <w:rPr>
          <w:spacing w:val="-46"/>
        </w:rPr>
        <w:t xml:space="preserve"> </w:t>
      </w:r>
      <w:r>
        <w:rPr>
          <w:spacing w:val="-8"/>
        </w:rPr>
        <w:t>亿股定增股份；三日后</w:t>
      </w:r>
      <w:r>
        <w:rPr>
          <w:spacing w:val="-8"/>
        </w:rPr>
        <w:t xml:space="preserve"> </w:t>
      </w:r>
      <w:r>
        <w:rPr>
          <w:spacing w:val="-8"/>
        </w:rPr>
        <w:t>3</w:t>
      </w:r>
      <w:r>
        <w:rPr>
          <w:spacing w:val="-36"/>
        </w:rPr>
        <w:t xml:space="preserve"> </w:t>
      </w:r>
      <w:r>
        <w:rPr>
          <w:spacing w:val="-9"/>
        </w:rPr>
        <w:t>月</w:t>
      </w:r>
      <w:r>
        <w:rPr>
          <w:spacing w:val="-50"/>
        </w:rPr>
        <w:t xml:space="preserve"> </w:t>
      </w:r>
      <w:r>
        <w:rPr>
          <w:spacing w:val="-9"/>
        </w:rPr>
        <w:t>31</w:t>
      </w:r>
      <w:r>
        <w:rPr>
          <w:spacing w:val="-9"/>
        </w:rPr>
        <w:t xml:space="preserve"> </w:t>
      </w:r>
      <w:r>
        <w:rPr>
          <w:spacing w:val="-9"/>
        </w:rPr>
        <w:t>日，又以</w:t>
      </w:r>
      <w:r>
        <w:rPr>
          <w:spacing w:val="-48"/>
        </w:rPr>
        <w:t xml:space="preserve"> </w:t>
      </w:r>
      <w:r>
        <w:rPr>
          <w:spacing w:val="-9"/>
        </w:rPr>
        <w:t>50.9</w:t>
      </w:r>
      <w:r>
        <w:rPr>
          <w:spacing w:val="-47"/>
        </w:rPr>
        <w:t xml:space="preserve"> </w:t>
      </w:r>
      <w:r>
        <w:rPr>
          <w:spacing w:val="-9"/>
        </w:rPr>
        <w:t>亿元</w:t>
      </w:r>
      <w:r>
        <w:rPr>
          <w:spacing w:val="16"/>
        </w:rPr>
        <w:t>定增入股浙江大华，</w:t>
      </w:r>
      <w:r>
        <w:rPr>
          <w:spacing w:val="-72"/>
        </w:rPr>
        <w:t xml:space="preserve"> </w:t>
      </w:r>
      <w:r>
        <w:rPr>
          <w:spacing w:val="16"/>
        </w:rPr>
        <w:t>落地后中国移动持有浙江大华总股本的</w:t>
      </w:r>
      <w:r>
        <w:rPr>
          <w:spacing w:val="1"/>
        </w:rPr>
        <w:t>8.81%，超越大华股份主要创始人朱江明成为第二大股</w:t>
      </w:r>
      <w:r>
        <w:rPr/>
        <w:t>东。今年</w:t>
      </w:r>
      <w:r>
        <w:rPr>
          <w:spacing w:val="-4"/>
        </w:rPr>
        <w:t>多模态</w:t>
      </w:r>
      <w:r>
        <w:rPr>
          <w:spacing w:val="-45"/>
        </w:rPr>
        <w:t xml:space="preserve"> </w:t>
      </w:r>
      <w:r>
        <w:rPr>
          <w:spacing w:val="-4"/>
        </w:rPr>
        <w:t>GPT</w:t>
      </w:r>
      <w:r>
        <w:rPr>
          <w:spacing w:val="-4"/>
        </w:rPr>
        <w:t xml:space="preserve"> </w:t>
      </w:r>
      <w:r>
        <w:rPr>
          <w:spacing w:val="-4"/>
        </w:rPr>
        <w:t>的发布为国内视觉</w:t>
      </w:r>
      <w:r>
        <w:rPr>
          <w:spacing w:val="-57"/>
        </w:rPr>
        <w:t xml:space="preserve"> </w:t>
      </w:r>
      <w:r>
        <w:rPr>
          <w:spacing w:val="-4"/>
        </w:rPr>
        <w:t>AI</w:t>
      </w:r>
      <w:r>
        <w:rPr>
          <w:spacing w:val="-34"/>
        </w:rPr>
        <w:t xml:space="preserve"> </w:t>
      </w:r>
      <w:r>
        <w:rPr>
          <w:spacing w:val="-4"/>
        </w:rPr>
        <w:t>发展带来更多新机遇，而大华</w:t>
      </w:r>
      <w:r>
        <w:rPr>
          <w:spacing w:val="-4"/>
        </w:rPr>
        <w:t>股份的新兴业务也已延展到机器视觉、机器人、汽车电子、智慧</w:t>
      </w:r>
      <w:r>
        <w:rPr>
          <w:spacing w:val="-12"/>
        </w:rPr>
        <w:t>显控、智慧控制、智慧热成像等领域，</w:t>
      </w:r>
      <w:r>
        <w:rPr>
          <w:spacing w:val="77"/>
        </w:rPr>
        <w:t xml:space="preserve"> </w:t>
      </w:r>
      <w:r>
        <w:rPr>
          <w:spacing w:val="-12"/>
        </w:rPr>
        <w:t>此时中国移动入资，两家</w:t>
      </w:r>
      <w:r>
        <w:rPr>
          <w:spacing w:val="-1"/>
        </w:rPr>
        <w:t>企业的发展将会迎来更多可能性。</w:t>
      </w:r>
    </w:p>
    <w:p>
      <w:pPr>
        <w:pStyle w:val="BodyText"/>
        <w:ind w:left="56" w:right="89" w:firstLine="630"/>
        <w:spacing w:before="278" w:line="260" w:lineRule="auto"/>
        <w:jc w:val="both"/>
        <w:rPr/>
      </w:pPr>
      <w:r>
        <w:rPr>
          <w:spacing w:val="-6"/>
        </w:rPr>
        <w:t>中国电信将视联网定义为第五张基础网络，致力于打造全球</w:t>
      </w:r>
      <w:r>
        <w:rPr>
          <w:spacing w:val="-5"/>
        </w:rPr>
        <w:t>最大的运营商级别的视频回传和处理网络，鉴于中国移动在视频</w:t>
      </w:r>
      <w:r>
        <w:rPr>
          <w:spacing w:val="-4"/>
        </w:rPr>
        <w:t>监控市场的高调发力，应有所警觉及重视。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一、移动入股大华释放三个信号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41" w:right="88" w:firstLine="605"/>
        <w:spacing w:before="98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结合中国移动近年动向及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年财务报告，本次运营商定</w:t>
      </w:r>
      <w:r>
        <w:rPr>
          <w:rFonts w:ascii="SimSun" w:hAnsi="SimSun" w:eastAsia="SimSun" w:cs="SimSun"/>
          <w:sz w:val="30"/>
          <w:szCs w:val="30"/>
          <w:spacing w:val="-4"/>
        </w:rPr>
        <w:t>增入股安防巨头主要释放了三个信号。</w:t>
      </w:r>
    </w:p>
    <w:p>
      <w:pPr>
        <w:ind w:left="650"/>
        <w:spacing w:before="294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．中国移动正在加快发力视联网</w:t>
      </w:r>
    </w:p>
    <w:p>
      <w:pPr>
        <w:ind w:left="36" w:right="84" w:firstLine="602"/>
        <w:spacing w:before="319" w:line="261" w:lineRule="auto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截至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 </w:t>
      </w:r>
      <w:r>
        <w:rPr>
          <w:rFonts w:ascii="SimSun" w:hAnsi="SimSun" w:eastAsia="SimSun" w:cs="SimSun"/>
          <w:sz w:val="30"/>
          <w:szCs w:val="30"/>
          <w:spacing w:val="-3"/>
        </w:rPr>
        <w:t>年底，中国移动已实现全国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346 </w:t>
      </w:r>
      <w:r>
        <w:rPr>
          <w:rFonts w:ascii="SimSun" w:hAnsi="SimSun" w:eastAsia="SimSun" w:cs="SimSun"/>
          <w:sz w:val="30"/>
          <w:szCs w:val="30"/>
          <w:spacing w:val="-4"/>
        </w:rPr>
        <w:t>个城市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NB-IoT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</w:t>
      </w:r>
      <w:r>
        <w:rPr>
          <w:rFonts w:ascii="SimSun" w:hAnsi="SimSun" w:eastAsia="SimSun" w:cs="SimSun"/>
          <w:sz w:val="30"/>
          <w:szCs w:val="30"/>
          <w:spacing w:val="-4"/>
        </w:rPr>
        <w:t>主要覆盖，累计开通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基站超过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128.5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万站，逐步构建了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NB-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IoT</w:t>
      </w:r>
      <w:r>
        <w:rPr>
          <w:rFonts w:ascii="SimSun" w:hAnsi="SimSun" w:eastAsia="SimSun" w:cs="SimSun"/>
          <w:sz w:val="30"/>
          <w:szCs w:val="30"/>
          <w:spacing w:val="-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4G</w:t>
      </w:r>
      <w:r>
        <w:rPr>
          <w:rFonts w:ascii="SimSun" w:hAnsi="SimSun" w:eastAsia="SimSun" w:cs="SimSun"/>
          <w:sz w:val="30"/>
          <w:szCs w:val="30"/>
          <w:spacing w:val="-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5G </w:t>
      </w:r>
      <w:r>
        <w:rPr>
          <w:rFonts w:ascii="SimSun" w:hAnsi="SimSun" w:eastAsia="SimSun" w:cs="SimSun"/>
          <w:sz w:val="30"/>
          <w:szCs w:val="30"/>
          <w:spacing w:val="-16"/>
        </w:rPr>
        <w:t>协同的物联网承载体系。而作为传统视频监控巨头，</w:t>
      </w:r>
      <w:r>
        <w:rPr>
          <w:rFonts w:ascii="SimSun" w:hAnsi="SimSun" w:eastAsia="SimSun" w:cs="SimSun"/>
          <w:sz w:val="30"/>
          <w:szCs w:val="30"/>
          <w:spacing w:val="-3"/>
        </w:rPr>
        <w:t>大华股份占据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年全球视频安防市场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17.53%</w:t>
      </w:r>
      <w:r>
        <w:rPr>
          <w:rFonts w:ascii="SimSun" w:hAnsi="SimSun" w:eastAsia="SimSun" w:cs="SimSun"/>
          <w:sz w:val="30"/>
          <w:szCs w:val="30"/>
          <w:spacing w:val="-3"/>
        </w:rPr>
        <w:t>营收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3"/>
        </w:rPr>
        <w:t>，在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</w:p>
    <w:p>
      <w:pPr>
        <w:spacing w:line="440" w:lineRule="auto"/>
        <w:rPr>
          <w:rFonts w:ascii="Arial"/>
          <w:sz w:val="21"/>
        </w:rPr>
      </w:pPr>
      <w:r>
        <w:pict>
          <v:shape id="_x0000_s4" style="position:absolute;margin-left:1.43999pt;margin-top:18.568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40"/>
        <w:spacing w:before="69" w:line="242" w:lineRule="auto"/>
        <w:rPr>
          <w:sz w:val="21"/>
          <w:szCs w:val="21"/>
        </w:rPr>
      </w:pPr>
      <w:r>
        <w:rPr>
          <w:sz w:val="11"/>
          <w:szCs w:val="11"/>
          <w:spacing w:val="-3"/>
          <w:position w:val="10"/>
        </w:rPr>
        <w:t>1</w:t>
      </w:r>
      <w:r>
        <w:rPr>
          <w:sz w:val="11"/>
          <w:szCs w:val="11"/>
          <w:spacing w:val="65"/>
          <w:position w:val="10"/>
        </w:rPr>
        <w:t xml:space="preserve"> </w:t>
      </w:r>
      <w:r>
        <w:rPr>
          <w:sz w:val="21"/>
          <w:szCs w:val="21"/>
          <w:spacing w:val="-3"/>
        </w:rPr>
        <w:t>A&amp;S《全球安防</w:t>
      </w:r>
      <w:r>
        <w:rPr>
          <w:sz w:val="21"/>
          <w:szCs w:val="21"/>
          <w:spacing w:val="-3"/>
        </w:rPr>
        <w:t xml:space="preserve"> </w:t>
      </w:r>
      <w:r>
        <w:rPr>
          <w:sz w:val="21"/>
          <w:szCs w:val="21"/>
          <w:spacing w:val="-3"/>
        </w:rPr>
        <w:t>50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强企业》</w:t>
      </w:r>
    </w:p>
    <w:p>
      <w:pPr>
        <w:spacing w:line="242" w:lineRule="auto"/>
        <w:sectPr>
          <w:headerReference w:type="default" r:id="rId1"/>
          <w:pgSz w:w="11907" w:h="16839"/>
          <w:pgMar w:top="1223" w:right="1710" w:bottom="0" w:left="1771" w:header="832" w:footer="0" w:gutter="0"/>
        </w:sectPr>
        <w:rPr>
          <w:sz w:val="21"/>
          <w:szCs w:val="21"/>
        </w:rPr>
      </w:pPr>
    </w:p>
    <w:p>
      <w:pPr>
        <w:ind w:left="40" w:right="107" w:firstLine="1"/>
        <w:spacing w:before="2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年便与中国移动确定了交通、工业能源等政企领域的数个行业样</w:t>
      </w:r>
      <w:r>
        <w:rPr>
          <w:rFonts w:ascii="SimSun" w:hAnsi="SimSun" w:eastAsia="SimSun" w:cs="SimSun"/>
          <w:sz w:val="30"/>
          <w:szCs w:val="30"/>
          <w:spacing w:val="-4"/>
        </w:rPr>
        <w:t>板点项目，完成多个全国节点和省区视频业务平台的建设。从战</w:t>
      </w:r>
      <w:r>
        <w:rPr>
          <w:rFonts w:ascii="SimSun" w:hAnsi="SimSun" w:eastAsia="SimSun" w:cs="SimSun"/>
          <w:sz w:val="30"/>
          <w:szCs w:val="30"/>
          <w:spacing w:val="-4"/>
        </w:rPr>
        <w:t>略合作到定增入股，中国移动未来发展点明显将进一步瞄准智慧</w:t>
      </w:r>
      <w:r>
        <w:rPr>
          <w:rFonts w:ascii="SimSun" w:hAnsi="SimSun" w:eastAsia="SimSun" w:cs="SimSun"/>
          <w:sz w:val="30"/>
          <w:szCs w:val="30"/>
          <w:spacing w:val="-4"/>
        </w:rPr>
        <w:t>物联领域的视频监控服务市场。</w:t>
      </w:r>
    </w:p>
    <w:p>
      <w:pPr>
        <w:ind w:left="638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．中国移动多元生态建设步伐加快</w:t>
      </w:r>
    </w:p>
    <w:p>
      <w:pPr>
        <w:ind w:left="40" w:firstLine="598"/>
        <w:spacing w:before="32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截至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年底，中国移动产业生态合作伙伴已超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30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万家。</w:t>
      </w:r>
      <w:r>
        <w:rPr>
          <w:rFonts w:ascii="SimSun" w:hAnsi="SimSun" w:eastAsia="SimSun" w:cs="SimSun"/>
          <w:sz w:val="30"/>
          <w:szCs w:val="30"/>
          <w:spacing w:val="-4"/>
        </w:rPr>
        <w:t>中国移动重启客户品牌是为了建设权益生态、入股科大讯飞是壮</w:t>
      </w:r>
      <w:r>
        <w:rPr>
          <w:rFonts w:ascii="SimSun" w:hAnsi="SimSun" w:eastAsia="SimSun" w:cs="SimSun"/>
          <w:sz w:val="30"/>
          <w:szCs w:val="30"/>
          <w:spacing w:val="-9"/>
        </w:rPr>
        <w:t>大技术生态，入股芒果超媒、成立咪咕文化是做好内容生态， 而</w:t>
      </w:r>
      <w:r>
        <w:rPr>
          <w:rFonts w:ascii="SimSun" w:hAnsi="SimSun" w:eastAsia="SimSun" w:cs="SimSun"/>
          <w:sz w:val="30"/>
          <w:szCs w:val="30"/>
        </w:rPr>
        <w:t>这次入股大华股份就是丰富硬件和场景生态，在视觉物联设备、</w:t>
      </w:r>
      <w:r>
        <w:rPr>
          <w:rFonts w:ascii="SimSun" w:hAnsi="SimSun" w:eastAsia="SimSun" w:cs="SimSun"/>
          <w:sz w:val="30"/>
          <w:szCs w:val="30"/>
          <w:spacing w:val="-4"/>
        </w:rPr>
        <w:t>智能传感器、处理器模组和开源智能体系等方面展开合作研发与</w:t>
      </w:r>
      <w:r>
        <w:rPr>
          <w:rFonts w:ascii="SimSun" w:hAnsi="SimSun" w:eastAsia="SimSun" w:cs="SimSun"/>
          <w:sz w:val="30"/>
          <w:szCs w:val="30"/>
          <w:spacing w:val="-1"/>
        </w:rPr>
        <w:t>推广。随着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商用的推进，运营商不断向更加</w:t>
      </w:r>
      <w:r>
        <w:rPr>
          <w:rFonts w:ascii="SimSun" w:hAnsi="SimSun" w:eastAsia="SimSun" w:cs="SimSun"/>
          <w:sz w:val="30"/>
          <w:szCs w:val="30"/>
          <w:spacing w:val="-2"/>
        </w:rPr>
        <w:t>广阔的价值空间</w:t>
      </w:r>
      <w:r>
        <w:rPr>
          <w:rFonts w:ascii="SimSun" w:hAnsi="SimSun" w:eastAsia="SimSun" w:cs="SimSun"/>
          <w:sz w:val="30"/>
          <w:szCs w:val="30"/>
          <w:spacing w:val="-4"/>
        </w:rPr>
        <w:t>延伸，产业链竞争已经演变成融合生态圈的竞争，生态化跨界融</w:t>
      </w:r>
      <w:r>
        <w:rPr>
          <w:rFonts w:ascii="SimSun" w:hAnsi="SimSun" w:eastAsia="SimSun" w:cs="SimSun"/>
          <w:sz w:val="30"/>
          <w:szCs w:val="30"/>
          <w:spacing w:val="-4"/>
        </w:rPr>
        <w:t>合成为运营商转型发展的新契机。</w:t>
      </w:r>
    </w:p>
    <w:p>
      <w:pPr>
        <w:ind w:left="635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．中国移动资本运用越发灵活高效</w:t>
      </w:r>
    </w:p>
    <w:p>
      <w:pPr>
        <w:ind w:left="39" w:right="105" w:firstLine="599"/>
        <w:spacing w:before="32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截至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2022 </w:t>
      </w:r>
      <w:r>
        <w:rPr>
          <w:rFonts w:ascii="SimSun" w:hAnsi="SimSun" w:eastAsia="SimSun" w:cs="SimSun"/>
          <w:sz w:val="30"/>
          <w:szCs w:val="30"/>
          <w:spacing w:val="-4"/>
        </w:rPr>
        <w:t>年底，中国移动参股企业已达到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31 </w:t>
      </w:r>
      <w:r>
        <w:rPr>
          <w:rFonts w:ascii="SimSun" w:hAnsi="SimSun" w:eastAsia="SimSun" w:cs="SimSun"/>
          <w:sz w:val="30"/>
          <w:szCs w:val="30"/>
          <w:spacing w:val="-4"/>
        </w:rPr>
        <w:t>家，通过</w:t>
      </w:r>
      <w:r>
        <w:rPr>
          <w:rFonts w:ascii="SimSun" w:hAnsi="SimSun" w:eastAsia="SimSun" w:cs="SimSun"/>
          <w:sz w:val="30"/>
          <w:szCs w:val="30"/>
          <w:spacing w:val="-5"/>
        </w:rPr>
        <w:t>“直</w:t>
      </w:r>
      <w:r>
        <w:rPr>
          <w:rFonts w:ascii="SimSun" w:hAnsi="SimSun" w:eastAsia="SimSun" w:cs="SimSun"/>
          <w:sz w:val="30"/>
          <w:szCs w:val="30"/>
          <w:spacing w:val="-1"/>
        </w:rPr>
        <w:t>投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基金</w:t>
      </w:r>
      <w:r>
        <w:rPr>
          <w:rFonts w:ascii="SimSun" w:hAnsi="SimSun" w:eastAsia="SimSun" w:cs="SimSun"/>
          <w:sz w:val="30"/>
          <w:szCs w:val="30"/>
          <w:spacing w:val="-9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”双线模式，在网络安全、工业互联网、人工智能、视</w:t>
      </w:r>
      <w:r>
        <w:rPr>
          <w:rFonts w:ascii="SimSun" w:hAnsi="SimSun" w:eastAsia="SimSun" w:cs="SimSun"/>
          <w:sz w:val="30"/>
          <w:szCs w:val="30"/>
          <w:spacing w:val="-4"/>
        </w:rPr>
        <w:t>觉物联网、工业自动化等多个领域深入拓展产业生态。这次定增</w:t>
      </w:r>
      <w:r>
        <w:rPr>
          <w:rFonts w:ascii="SimSun" w:hAnsi="SimSun" w:eastAsia="SimSun" w:cs="SimSun"/>
          <w:sz w:val="30"/>
          <w:szCs w:val="30"/>
          <w:spacing w:val="-4"/>
        </w:rPr>
        <w:t>入股既体现了中国移动现有业务发展协同发展的需要，也充分体</w:t>
      </w:r>
      <w:r>
        <w:rPr>
          <w:rFonts w:ascii="SimSun" w:hAnsi="SimSun" w:eastAsia="SimSun" w:cs="SimSun"/>
          <w:sz w:val="30"/>
          <w:szCs w:val="30"/>
          <w:spacing w:val="-4"/>
        </w:rPr>
        <w:t>现了国有企业改革下财务投资的最新思想，即从管资产到管资本</w:t>
      </w:r>
      <w:r>
        <w:rPr>
          <w:rFonts w:ascii="SimSun" w:hAnsi="SimSun" w:eastAsia="SimSun" w:cs="SimSun"/>
          <w:sz w:val="30"/>
          <w:szCs w:val="30"/>
          <w:spacing w:val="-4"/>
        </w:rPr>
        <w:t>的转变——选择入股大华股份，成为第二股东而不是控股；投资</w:t>
      </w:r>
      <w:r>
        <w:rPr>
          <w:rFonts w:ascii="SimSun" w:hAnsi="SimSun" w:eastAsia="SimSun" w:cs="SimSun"/>
          <w:sz w:val="30"/>
          <w:szCs w:val="30"/>
          <w:spacing w:val="-3"/>
        </w:rPr>
        <w:t>的是民营企业，而不是国企海康威视。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89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二、从移动入股大华看战略投资的逻辑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39" w:right="107" w:firstLine="629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中国移动通过战略入股的方式与大华股份展开合</w:t>
      </w:r>
      <w:r>
        <w:rPr>
          <w:rFonts w:ascii="SimSun" w:hAnsi="SimSun" w:eastAsia="SimSun" w:cs="SimSun"/>
          <w:sz w:val="30"/>
          <w:szCs w:val="30"/>
          <w:spacing w:val="-6"/>
        </w:rPr>
        <w:t>作，背后的</w:t>
      </w:r>
      <w:r>
        <w:rPr>
          <w:rFonts w:ascii="SimSun" w:hAnsi="SimSun" w:eastAsia="SimSun" w:cs="SimSun"/>
          <w:sz w:val="30"/>
          <w:szCs w:val="30"/>
          <w:spacing w:val="-4"/>
        </w:rPr>
        <w:t>目的更多是增强双方互信，实现利益绑定，保障重点业务领域战</w:t>
      </w:r>
      <w:r>
        <w:rPr>
          <w:rFonts w:ascii="SimSun" w:hAnsi="SimSun" w:eastAsia="SimSun" w:cs="SimSun"/>
          <w:sz w:val="30"/>
          <w:szCs w:val="30"/>
          <w:spacing w:val="-9"/>
        </w:rPr>
        <w:t>略合作的有序开展，实现协调互补的长期发展。此后， 中国移动</w:t>
      </w:r>
      <w:r>
        <w:rPr>
          <w:rFonts w:ascii="SimSun" w:hAnsi="SimSun" w:eastAsia="SimSun" w:cs="SimSun"/>
          <w:sz w:val="30"/>
          <w:szCs w:val="30"/>
          <w:spacing w:val="-4"/>
        </w:rPr>
        <w:t>在与此类外部产商的合作中的话语权越发强大，也将更快速调动</w:t>
      </w:r>
      <w:r>
        <w:rPr>
          <w:rFonts w:ascii="SimSun" w:hAnsi="SimSun" w:eastAsia="SimSun" w:cs="SimSun"/>
          <w:sz w:val="30"/>
          <w:szCs w:val="30"/>
          <w:spacing w:val="-2"/>
        </w:rPr>
        <w:t>生态资源实现市场开拓及技术创新，高效赋能拓增引擎业务。</w:t>
      </w:r>
    </w:p>
    <w:p>
      <w:pPr>
        <w:ind w:left="650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．数字化转型成为运营商新的拓增引擎，成为战投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的重点</w:t>
      </w:r>
    </w:p>
    <w:p>
      <w:pPr>
        <w:spacing w:line="233" w:lineRule="auto"/>
        <w:sectPr>
          <w:headerReference w:type="default" r:id="rId2"/>
          <w:pgSz w:w="11907" w:h="16839"/>
          <w:pgMar w:top="1223" w:right="169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5"/>
        <w:spacing w:before="29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行业</w:t>
      </w:r>
    </w:p>
    <w:p>
      <w:pPr>
        <w:ind w:left="38" w:firstLine="602"/>
        <w:spacing w:before="33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三大运营商“第二曲线”业务，即数字化转型业务保</w:t>
      </w:r>
      <w:r>
        <w:rPr>
          <w:rFonts w:ascii="SimSun" w:hAnsi="SimSun" w:eastAsia="SimSun" w:cs="SimSun"/>
          <w:sz w:val="30"/>
          <w:szCs w:val="30"/>
          <w:spacing w:val="-5"/>
        </w:rPr>
        <w:t>持了高</w:t>
      </w:r>
      <w:r>
        <w:rPr>
          <w:rFonts w:ascii="SimSun" w:hAnsi="SimSun" w:eastAsia="SimSun" w:cs="SimSun"/>
          <w:sz w:val="30"/>
          <w:szCs w:val="30"/>
          <w:spacing w:val="-3"/>
        </w:rPr>
        <w:t>速增长，发展势头强劲（见图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</w:t>
      </w:r>
      <w:r>
        <w:rPr>
          <w:rFonts w:ascii="SimSun" w:hAnsi="SimSun" w:eastAsia="SimSun" w:cs="SimSun"/>
          <w:sz w:val="30"/>
          <w:szCs w:val="30"/>
          <w:spacing w:val="-3"/>
        </w:rPr>
        <w:t>）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3"/>
        </w:rPr>
        <w:t>，这决定了战略投资的行业。</w:t>
      </w:r>
      <w:r>
        <w:rPr>
          <w:rFonts w:ascii="SimSun" w:hAnsi="SimSun" w:eastAsia="SimSun" w:cs="SimSun"/>
          <w:sz w:val="30"/>
          <w:szCs w:val="30"/>
          <w:spacing w:val="-8"/>
        </w:rPr>
        <w:t>截至</w:t>
      </w:r>
      <w:r>
        <w:rPr>
          <w:rFonts w:ascii="SimSun" w:hAnsi="SimSun" w:eastAsia="SimSun" w:cs="SimSun"/>
          <w:sz w:val="30"/>
          <w:szCs w:val="30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2022 </w:t>
      </w:r>
      <w:r>
        <w:rPr>
          <w:rFonts w:ascii="SimSun" w:hAnsi="SimSun" w:eastAsia="SimSun" w:cs="SimSun"/>
          <w:sz w:val="30"/>
          <w:szCs w:val="30"/>
          <w:spacing w:val="-8"/>
        </w:rPr>
        <w:t>年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11 </w:t>
      </w:r>
      <w:r>
        <w:rPr>
          <w:rFonts w:ascii="SimSun" w:hAnsi="SimSun" w:eastAsia="SimSun" w:cs="SimSun"/>
          <w:sz w:val="30"/>
          <w:szCs w:val="30"/>
          <w:spacing w:val="-8"/>
        </w:rPr>
        <w:t>月末，三大运营商发展移动物联网终端用户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18.18</w:t>
      </w:r>
      <w:r>
        <w:rPr>
          <w:rFonts w:ascii="SimSun" w:hAnsi="SimSun" w:eastAsia="SimSun" w:cs="SimSun"/>
          <w:sz w:val="30"/>
          <w:szCs w:val="30"/>
          <w:spacing w:val="-3"/>
        </w:rPr>
        <w:t>亿户，已超移动电话用户数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1.34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亿户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3"/>
        </w:rPr>
        <w:t>，我国的信息科技服务已</w:t>
      </w:r>
      <w:r>
        <w:rPr>
          <w:rFonts w:ascii="SimSun" w:hAnsi="SimSun" w:eastAsia="SimSun" w:cs="SimSun"/>
          <w:sz w:val="30"/>
          <w:szCs w:val="30"/>
          <w:spacing w:val="-12"/>
        </w:rPr>
        <w:t>进入“物超人</w:t>
      </w:r>
      <w:r>
        <w:rPr>
          <w:rFonts w:ascii="SimSun" w:hAnsi="SimSun" w:eastAsia="SimSun" w:cs="SimSun"/>
          <w:sz w:val="30"/>
          <w:szCs w:val="30"/>
          <w:spacing w:val="-9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”时代，也是全球主要经济体中首个实现“物超人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”</w:t>
      </w:r>
      <w:r>
        <w:rPr>
          <w:rFonts w:ascii="SimSun" w:hAnsi="SimSun" w:eastAsia="SimSun" w:cs="SimSun"/>
          <w:sz w:val="30"/>
          <w:szCs w:val="30"/>
          <w:spacing w:val="-4"/>
        </w:rPr>
        <w:t>的国家。其中，视频物联可以帮助运营商在一定程度上扭转家庭</w:t>
      </w:r>
      <w:r>
        <w:rPr>
          <w:rFonts w:ascii="SimSun" w:hAnsi="SimSun" w:eastAsia="SimSun" w:cs="SimSun"/>
          <w:sz w:val="30"/>
          <w:szCs w:val="30"/>
        </w:rPr>
        <w:t>宽带用户 </w:t>
      </w:r>
      <w:r>
        <w:rPr>
          <w:rFonts w:ascii="Times New Roman" w:hAnsi="Times New Roman" w:eastAsia="Times New Roman" w:cs="Times New Roman"/>
          <w:sz w:val="30"/>
          <w:szCs w:val="30"/>
        </w:rPr>
        <w:t>ARPU  </w:t>
      </w:r>
      <w:r>
        <w:rPr>
          <w:rFonts w:ascii="SimSun" w:hAnsi="SimSun" w:eastAsia="SimSun" w:cs="SimSun"/>
          <w:sz w:val="30"/>
          <w:szCs w:val="30"/>
        </w:rPr>
        <w:t>值低迷的局面，并可以有效带动政企专</w:t>
      </w:r>
      <w:r>
        <w:rPr>
          <w:rFonts w:ascii="SimSun" w:hAnsi="SimSun" w:eastAsia="SimSun" w:cs="SimSun"/>
          <w:sz w:val="30"/>
          <w:szCs w:val="30"/>
          <w:spacing w:val="-1"/>
        </w:rPr>
        <w:t>线租用</w:t>
      </w:r>
      <w:r>
        <w:rPr>
          <w:rFonts w:ascii="SimSun" w:hAnsi="SimSun" w:eastAsia="SimSun" w:cs="SimSun"/>
          <w:sz w:val="30"/>
          <w:szCs w:val="30"/>
          <w:spacing w:val="-1"/>
        </w:rPr>
        <w:t>业务和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ADSL/LAN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接入业务，拉动业务的整体增长</w:t>
      </w:r>
      <w:r>
        <w:rPr>
          <w:rFonts w:ascii="SimSun" w:hAnsi="SimSun" w:eastAsia="SimSun" w:cs="SimSun"/>
          <w:sz w:val="30"/>
          <w:szCs w:val="30"/>
          <w:spacing w:val="-2"/>
        </w:rPr>
        <w:t>，是极其重</w:t>
      </w:r>
      <w:r>
        <w:rPr>
          <w:rFonts w:ascii="SimSun" w:hAnsi="SimSun" w:eastAsia="SimSun" w:cs="SimSun"/>
          <w:sz w:val="30"/>
          <w:szCs w:val="30"/>
          <w:spacing w:val="-8"/>
        </w:rPr>
        <w:t>要的增长点。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2082"/>
        <w:spacing w:line="242" w:lineRule="exact"/>
        <w:rPr/>
      </w:pPr>
      <w:r>
        <w:rPr>
          <w:position w:val="-4"/>
        </w:rPr>
        <w:pict>
          <v:shape id="_x0000_s10" style="mso-position-vertical-relative:line;mso-position-horizontal-relative:char;width:209.8pt;height:12.15pt;" filled="false" strokecolor="#BDD7EE" strokeweight="0.48pt" coordsize="4196,242" coordorigin="0,0" path="m1574,134l0,237m4195,4l2623,134e">
            <v:stroke miterlimit="10"/>
          </v:shape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3820"/>
        <w:spacing w:before="52" w:line="249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" style="position:absolute;margin-left:255.942pt;margin-top:-0.519028pt;mso-position-vertical-relative:text;mso-position-horizontal-relative:text;width:39.2pt;height:13.1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b/>
                      <w:bCs/>
                      <w:spacing w:val="-5"/>
                    </w:rPr>
                    <w:t>22.5%↑</w:t>
                  </w:r>
                </w:p>
              </w:txbxContent>
            </v:textbox>
          </v:shape>
        </w:pict>
      </w:r>
      <w:r>
        <w:pict>
          <v:shape id="_x0000_s14" style="position:absolute;margin-left:322.142pt;margin-top:1.81096pt;mso-position-vertical-relative:text;mso-position-horizontal-relative:text;width:39.2pt;height:28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9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404040"/>
                      <w:spacing w:val="-3"/>
                    </w:rPr>
                    <w:t>22.80%</w:t>
                  </w:r>
                </w:p>
                <w:p>
                  <w:pPr>
                    <w:ind w:left="151"/>
                    <w:spacing w:before="24" w:line="249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404040"/>
                      <w:spacing w:val="-4"/>
                    </w:rPr>
                    <w:t>3564</w:t>
                  </w:r>
                </w:p>
              </w:txbxContent>
            </v:textbox>
          </v:shape>
        </w:pict>
      </w:r>
      <w:r>
        <w:pict>
          <v:shape id="_x0000_s16" style="position:absolute;margin-left:129.422pt;margin-top:3.49095pt;mso-position-vertical-relative:text;mso-position-horizontal-relative:text;width:39.2pt;height:13.1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b/>
                      <w:bCs/>
                      <w:spacing w:val="-5"/>
                    </w:rPr>
                    <w:t>21.4%↑</w:t>
                  </w:r>
                </w:p>
              </w:txbxContent>
            </v:textbox>
          </v:shape>
        </w:pict>
      </w:r>
      <w:r>
        <w:pict>
          <v:shape id="_x0000_s18" style="position:absolute;margin-left:58.8819pt;margin-top:6.08098pt;mso-position-vertical-relative:text;mso-position-horizontal-relative:text;width:39.2pt;height:28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249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404040"/>
                      <w:spacing w:val="-3"/>
                    </w:rPr>
                    <w:t>17.70%</w:t>
                  </w:r>
                </w:p>
                <w:p>
                  <w:pPr>
                    <w:ind w:left="20"/>
                    <w:spacing w:before="24" w:line="249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404040"/>
                      <w:spacing w:val="-3"/>
                    </w:rPr>
                    <w:t>2396.2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656539</wp:posOffset>
            </wp:positionH>
            <wp:positionV relativeFrom="paragraph">
              <wp:posOffset>-692030</wp:posOffset>
            </wp:positionV>
            <wp:extent cx="3995927" cy="93878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5927" cy="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404040"/>
          <w:spacing w:val="-3"/>
        </w:rPr>
        <w:t>20.10%</w:t>
      </w:r>
    </w:p>
    <w:p>
      <w:pPr>
        <w:ind w:left="3755"/>
        <w:spacing w:before="24" w:line="249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" style="position:absolute;margin-left:12.816pt;margin-top:17.6501pt;mso-position-vertical-relative:text;mso-position-horizontal-relative:text;width:393.25pt;height:0.75pt;z-index:251666432;" filled="false" strokecolor="#D9D9D9" strokeweight="0.72pt" coordsize="7865,15" coordorigin="0,0" path="m0,7l7864,7e">
            <v:stroke miterlimit="10"/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656539</wp:posOffset>
            </wp:positionH>
            <wp:positionV relativeFrom="paragraph">
              <wp:posOffset>-31873</wp:posOffset>
            </wp:positionV>
            <wp:extent cx="3995927" cy="25602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5927" cy="256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404040"/>
          <w:spacing w:val="-2"/>
        </w:rPr>
        <w:t>2908.81</w:t>
      </w:r>
    </w:p>
    <w:p>
      <w:pPr>
        <w:ind w:left="1216"/>
        <w:spacing w:before="285" w:line="210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595959"/>
          <w:spacing w:val="-1"/>
          <w:position w:val="-1"/>
        </w:rPr>
        <w:t>2020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1"/>
          <w:position w:val="-1"/>
        </w:rPr>
        <w:t>年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595959"/>
          <w:spacing w:val="-1"/>
          <w:position w:val="-1"/>
        </w:rPr>
        <w:t>2021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1"/>
          <w:position w:val="-1"/>
        </w:rPr>
        <w:t>年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2"/>
          <w:position w:val="-1"/>
        </w:rPr>
        <w:t xml:space="preserve">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1"/>
          <w:position w:val="-1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595959"/>
          <w:spacing w:val="-1"/>
          <w:position w:val="-1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595959"/>
          <w:spacing w:val="-2"/>
          <w:position w:val="-1"/>
        </w:rPr>
        <w:t>22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2"/>
          <w:position w:val="-1"/>
        </w:rPr>
        <w:t>年</w:t>
      </w:r>
    </w:p>
    <w:p>
      <w:pPr>
        <w:ind w:left="1841"/>
        <w:spacing w:before="1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595959"/>
        </w:rPr>
        <w:t>数字化业务收入（亿元）        基础业务收入（亿元）</w:t>
      </w:r>
    </w:p>
    <w:p>
      <w:pPr>
        <w:pStyle w:val="BodyText"/>
        <w:ind w:left="44" w:right="177" w:firstLine="6"/>
        <w:spacing w:before="124" w:line="26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注：数据来源于三大运营商</w:t>
      </w:r>
      <w:r>
        <w:rPr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2022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年年报，图中数据标签表示三大运营商数字化</w:t>
      </w:r>
      <w:r>
        <w:rPr>
          <w:sz w:val="24"/>
          <w:szCs w:val="24"/>
          <w:spacing w:val="-1"/>
        </w:rPr>
        <w:t>业务收入及占总收入比重；加粗的数据标签表</w:t>
      </w:r>
      <w:r>
        <w:rPr>
          <w:sz w:val="24"/>
          <w:szCs w:val="24"/>
          <w:spacing w:val="-2"/>
        </w:rPr>
        <w:t>示数字化业务收入年增长比例。</w:t>
      </w:r>
    </w:p>
    <w:p>
      <w:pPr>
        <w:ind w:left="1379"/>
        <w:spacing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2020～2022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年三大运营商数字化业务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44" w:right="160" w:firstLine="594"/>
        <w:spacing w:before="98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．视频监控产商可与运营商形成较强的互补效应，成为战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投的重点企业</w:t>
      </w:r>
    </w:p>
    <w:p>
      <w:pPr>
        <w:rPr>
          <w:rFonts w:ascii="Arial"/>
          <w:sz w:val="21"/>
        </w:rPr>
      </w:pPr>
      <w:r/>
    </w:p>
    <w:p>
      <w:pPr>
        <w:ind w:left="44" w:right="151" w:firstLine="597"/>
        <w:spacing w:before="97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移动与大华的产品与方案具有较强的协同互补特性</w:t>
      </w:r>
      <w:r>
        <w:rPr>
          <w:rFonts w:ascii="SimSun" w:hAnsi="SimSun" w:eastAsia="SimSun" w:cs="SimSun"/>
          <w:sz w:val="30"/>
          <w:szCs w:val="30"/>
          <w:spacing w:val="-5"/>
        </w:rPr>
        <w:t>，可以充</w:t>
      </w:r>
      <w:r>
        <w:rPr>
          <w:rFonts w:ascii="SimSun" w:hAnsi="SimSun" w:eastAsia="SimSun" w:cs="SimSun"/>
          <w:sz w:val="30"/>
          <w:szCs w:val="30"/>
          <w:spacing w:val="-4"/>
        </w:rPr>
        <w:t>分融合市场渠道，为下游客户提供更加丰富的解决方案和应用场</w:t>
      </w:r>
      <w:r>
        <w:rPr>
          <w:rFonts w:ascii="SimSun" w:hAnsi="SimSun" w:eastAsia="SimSun" w:cs="SimSun"/>
          <w:sz w:val="30"/>
          <w:szCs w:val="30"/>
          <w:spacing w:val="-3"/>
        </w:rPr>
        <w:t>景，扩大市场销售规模，这决定了战略投资的企业。</w:t>
      </w:r>
    </w:p>
    <w:p>
      <w:pPr>
        <w:ind w:left="69" w:right="150" w:firstLine="569"/>
        <w:spacing w:before="270" w:line="268" w:lineRule="auto"/>
        <w:rPr>
          <w:rFonts w:ascii="SimSun" w:hAnsi="SimSun" w:eastAsia="SimSun" w:cs="SimSun"/>
          <w:sz w:val="30"/>
          <w:szCs w:val="30"/>
        </w:rPr>
      </w:pPr>
      <w:r>
        <w:pict>
          <v:shape id="_x0000_s22" style="position:absolute;margin-left:1.43999pt;margin-top:65.2638pt;mso-position-vertical-relative:text;mso-position-horizontal-relative:text;width:144.05pt;height:0.5pt;z-index:251667456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2"/>
        </w:rPr>
        <w:t>在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 </w:t>
      </w:r>
      <w:r>
        <w:rPr>
          <w:rFonts w:ascii="SimSun" w:hAnsi="SimSun" w:eastAsia="SimSun" w:cs="SimSun"/>
          <w:sz w:val="30"/>
          <w:szCs w:val="30"/>
          <w:spacing w:val="-2"/>
        </w:rPr>
        <w:t>业务方面，中国移动已逐步打开政府采购市场（见</w:t>
      </w:r>
      <w:r>
        <w:rPr>
          <w:rFonts w:ascii="SimSun" w:hAnsi="SimSun" w:eastAsia="SimSun" w:cs="SimSun"/>
          <w:sz w:val="30"/>
          <w:szCs w:val="30"/>
          <w:spacing w:val="-2"/>
        </w:rPr>
        <w:t>图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</w:t>
      </w:r>
      <w:r>
        <w:rPr>
          <w:rFonts w:ascii="SimSun" w:hAnsi="SimSun" w:eastAsia="SimSun" w:cs="SimSun"/>
          <w:sz w:val="30"/>
          <w:szCs w:val="30"/>
          <w:spacing w:val="-77"/>
        </w:rPr>
        <w:t>），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 </w:t>
      </w:r>
      <w:r>
        <w:rPr>
          <w:rFonts w:ascii="SimSun" w:hAnsi="SimSun" w:eastAsia="SimSun" w:cs="SimSun"/>
          <w:sz w:val="30"/>
          <w:szCs w:val="30"/>
          <w:spacing w:val="-2"/>
        </w:rPr>
        <w:t>年数字政府项目累计签约金额达到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 </w:t>
      </w:r>
      <w:r>
        <w:rPr>
          <w:rFonts w:ascii="SimSun" w:hAnsi="SimSun" w:eastAsia="SimSun" w:cs="SimSun"/>
          <w:sz w:val="30"/>
          <w:szCs w:val="30"/>
          <w:spacing w:val="-2"/>
        </w:rPr>
        <w:t>亿</w:t>
      </w:r>
      <w:r>
        <w:rPr>
          <w:rFonts w:ascii="SimSun" w:hAnsi="SimSun" w:eastAsia="SimSun" w:cs="SimSun"/>
          <w:sz w:val="30"/>
          <w:szCs w:val="30"/>
          <w:spacing w:val="-3"/>
        </w:rPr>
        <w:t>元，此后</w:t>
      </w:r>
    </w:p>
    <w:p>
      <w:pPr>
        <w:pStyle w:val="BodyText"/>
        <w:ind w:left="42" w:right="345" w:hanging="9"/>
        <w:spacing w:before="307" w:line="239" w:lineRule="auto"/>
        <w:rPr>
          <w:sz w:val="21"/>
          <w:szCs w:val="21"/>
        </w:rPr>
      </w:pPr>
      <w:r>
        <w:rPr>
          <w:sz w:val="11"/>
          <w:szCs w:val="11"/>
          <w:spacing w:val="-1"/>
          <w:position w:val="10"/>
        </w:rPr>
        <w:t>2</w:t>
      </w:r>
      <w:r>
        <w:rPr>
          <w:sz w:val="11"/>
          <w:szCs w:val="11"/>
          <w:spacing w:val="-1"/>
          <w:position w:val="10"/>
        </w:rPr>
        <w:t xml:space="preserve">  </w:t>
      </w:r>
      <w:r>
        <w:rPr>
          <w:sz w:val="21"/>
          <w:szCs w:val="21"/>
          <w:spacing w:val="-1"/>
        </w:rPr>
        <w:t>见“通信企业报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-15"/>
        </w:rPr>
        <w:t>”：《数字化业务：第一增长引擎的“嬗变”》，数字化业务指企业专线、</w:t>
      </w:r>
      <w:r>
        <w:rPr>
          <w:sz w:val="21"/>
          <w:szCs w:val="21"/>
          <w:spacing w:val="-2"/>
        </w:rPr>
        <w:t>物联网、大数据、IDC、行业云、ICT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2"/>
        </w:rPr>
        <w:t>等业务。</w:t>
      </w:r>
    </w:p>
    <w:p>
      <w:pPr>
        <w:pStyle w:val="BodyText"/>
        <w:ind w:left="43" w:right="313" w:hanging="9"/>
        <w:spacing w:before="1" w:line="239" w:lineRule="auto"/>
        <w:rPr>
          <w:sz w:val="21"/>
          <w:szCs w:val="21"/>
        </w:rPr>
      </w:pPr>
      <w:r>
        <w:rPr>
          <w:sz w:val="11"/>
          <w:szCs w:val="11"/>
          <w:spacing w:val="-6"/>
          <w:position w:val="10"/>
        </w:rPr>
        <w:t>3</w:t>
      </w:r>
      <w:r>
        <w:rPr>
          <w:sz w:val="11"/>
          <w:szCs w:val="11"/>
          <w:spacing w:val="11"/>
          <w:position w:val="10"/>
        </w:rPr>
        <w:t xml:space="preserve">  </w:t>
      </w:r>
      <w:r>
        <w:rPr>
          <w:sz w:val="21"/>
          <w:szCs w:val="21"/>
          <w:spacing w:val="-6"/>
        </w:rPr>
        <w:t>2021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6"/>
        </w:rPr>
        <w:t>年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5"/>
        </w:rPr>
        <w:t>1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5"/>
        </w:rPr>
        <w:t>月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5"/>
        </w:rPr>
        <w:t>19</w:t>
      </w:r>
      <w:r>
        <w:rPr>
          <w:sz w:val="21"/>
          <w:szCs w:val="21"/>
          <w:spacing w:val="-5"/>
        </w:rPr>
        <w:t xml:space="preserve"> </w:t>
      </w:r>
      <w:r>
        <w:rPr>
          <w:sz w:val="21"/>
          <w:szCs w:val="21"/>
          <w:spacing w:val="-5"/>
        </w:rPr>
        <w:t>日，</w:t>
      </w:r>
      <w:r>
        <w:rPr>
          <w:sz w:val="21"/>
          <w:szCs w:val="21"/>
          <w:spacing w:val="-63"/>
        </w:rPr>
        <w:t xml:space="preserve"> </w:t>
      </w:r>
      <w:r>
        <w:rPr>
          <w:sz w:val="21"/>
          <w:szCs w:val="21"/>
          <w:spacing w:val="-5"/>
        </w:rPr>
        <w:t>中华人民共和国国家发展和改革委员会高技术司《2022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5"/>
        </w:rPr>
        <w:t>年通信业经</w:t>
      </w:r>
      <w:r>
        <w:rPr>
          <w:sz w:val="21"/>
          <w:szCs w:val="21"/>
          <w:spacing w:val="-3"/>
        </w:rPr>
        <w:t>济运行情况之四十六</w:t>
      </w:r>
      <w:r>
        <w:rPr>
          <w:sz w:val="21"/>
          <w:szCs w:val="21"/>
          <w:spacing w:val="-3"/>
        </w:rPr>
        <w:t xml:space="preserve"> </w:t>
      </w:r>
      <w:r>
        <w:rPr>
          <w:sz w:val="21"/>
          <w:szCs w:val="21"/>
          <w:spacing w:val="-3"/>
        </w:rPr>
        <w:t>前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3"/>
        </w:rPr>
        <w:t>11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3"/>
        </w:rPr>
        <w:t>个月蜂窝物联网终端用户达到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3"/>
        </w:rPr>
        <w:t>18.18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3"/>
        </w:rPr>
        <w:t>亿户》</w:t>
      </w:r>
    </w:p>
    <w:p>
      <w:pPr>
        <w:spacing w:line="239" w:lineRule="auto"/>
        <w:sectPr>
          <w:headerReference w:type="default" r:id="rId3"/>
          <w:pgSz w:w="11907" w:h="16839"/>
          <w:pgMar w:top="1223" w:right="1648" w:bottom="0" w:left="1771" w:header="832" w:footer="0" w:gutter="0"/>
        </w:sectPr>
        <w:rPr>
          <w:sz w:val="21"/>
          <w:szCs w:val="21"/>
        </w:rPr>
      </w:pPr>
    </w:p>
    <w:p>
      <w:pPr>
        <w:ind w:left="50" w:right="106" w:hanging="8"/>
        <w:spacing w:before="296" w:line="25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依托大华的“城市平台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2.0</w:t>
      </w:r>
      <w:r>
        <w:rPr>
          <w:rFonts w:ascii="SimSun" w:hAnsi="SimSun" w:eastAsia="SimSun" w:cs="SimSun"/>
          <w:sz w:val="30"/>
          <w:szCs w:val="30"/>
          <w:spacing w:val="-1"/>
        </w:rPr>
        <w:t>”物联数智平台，承接智慧</w:t>
      </w:r>
      <w:r>
        <w:rPr>
          <w:rFonts w:ascii="SimSun" w:hAnsi="SimSun" w:eastAsia="SimSun" w:cs="SimSun"/>
          <w:sz w:val="30"/>
          <w:szCs w:val="30"/>
          <w:spacing w:val="-2"/>
        </w:rPr>
        <w:t>交通、智</w:t>
      </w:r>
      <w:r>
        <w:rPr>
          <w:rFonts w:ascii="SimSun" w:hAnsi="SimSun" w:eastAsia="SimSun" w:cs="SimSun"/>
          <w:sz w:val="30"/>
          <w:szCs w:val="30"/>
          <w:spacing w:val="-2"/>
        </w:rPr>
        <w:t>慧城市等政府大型项目将更具竞争力。</w:t>
      </w:r>
    </w:p>
    <w:p>
      <w:pPr>
        <w:ind w:left="40" w:right="105" w:firstLine="598"/>
        <w:spacing w:before="2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在 </w:t>
      </w:r>
      <w:r>
        <w:rPr>
          <w:rFonts w:ascii="Times New Roman" w:hAnsi="Times New Roman" w:eastAsia="Times New Roman" w:cs="Times New Roman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4"/>
        </w:rPr>
        <w:t>业务方面，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中国移动在工业互联网等行业推广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5G+DICT </w:t>
      </w:r>
      <w:r>
        <w:rPr>
          <w:rFonts w:ascii="SimSun" w:hAnsi="SimSun" w:eastAsia="SimSun" w:cs="SimSun"/>
          <w:sz w:val="30"/>
          <w:szCs w:val="30"/>
          <w:spacing w:val="-5"/>
        </w:rPr>
        <w:t>服务，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2022 </w:t>
      </w:r>
      <w:r>
        <w:rPr>
          <w:rFonts w:ascii="SimSun" w:hAnsi="SimSun" w:eastAsia="SimSun" w:cs="SimSun"/>
          <w:sz w:val="30"/>
          <w:szCs w:val="30"/>
          <w:spacing w:val="-5"/>
        </w:rPr>
        <w:t>年服务政企客户数达到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2320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万家，此后依</w:t>
      </w:r>
      <w:r>
        <w:rPr>
          <w:rFonts w:ascii="SimSun" w:hAnsi="SimSun" w:eastAsia="SimSun" w:cs="SimSun"/>
          <w:sz w:val="30"/>
          <w:szCs w:val="30"/>
          <w:spacing w:val="-2"/>
        </w:rPr>
        <w:t>托大华全栈式的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AIoT</w:t>
      </w:r>
      <w:r>
        <w:rPr>
          <w:rFonts w:ascii="Times New Roman" w:hAnsi="Times New Roman" w:eastAsia="Times New Roman" w:cs="Times New Roman"/>
          <w:sz w:val="30"/>
          <w:szCs w:val="30"/>
          <w:spacing w:val="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能力及子公司华睿科技提供的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机器视</w:t>
      </w:r>
      <w:r>
        <w:rPr>
          <w:rFonts w:ascii="SimSun" w:hAnsi="SimSun" w:eastAsia="SimSun" w:cs="SimSun"/>
          <w:sz w:val="30"/>
          <w:szCs w:val="30"/>
          <w:spacing w:val="-4"/>
        </w:rPr>
        <w:t>觉产品，在智慧矿山、智慧工厂、智慧电力、智慧医院、自动驾</w:t>
      </w:r>
      <w:r>
        <w:rPr>
          <w:rFonts w:ascii="SimSun" w:hAnsi="SimSun" w:eastAsia="SimSun" w:cs="SimSun"/>
          <w:sz w:val="30"/>
          <w:szCs w:val="30"/>
          <w:spacing w:val="-1"/>
        </w:rPr>
        <w:t>驶等多个垂类细分行业的发展将获得大幅加速。</w:t>
      </w:r>
    </w:p>
    <w:p>
      <w:pPr>
        <w:ind w:left="35" w:right="105" w:firstLine="604"/>
        <w:spacing w:before="284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在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ToC/H </w:t>
      </w:r>
      <w:r>
        <w:rPr>
          <w:rFonts w:ascii="SimSun" w:hAnsi="SimSun" w:eastAsia="SimSun" w:cs="SimSun"/>
          <w:sz w:val="30"/>
          <w:szCs w:val="30"/>
          <w:spacing w:val="-2"/>
        </w:rPr>
        <w:t>业务方面，中国移动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</w:t>
      </w:r>
      <w:r>
        <w:rPr>
          <w:rFonts w:ascii="SimSun" w:hAnsi="SimSun" w:eastAsia="SimSun" w:cs="SimSun"/>
          <w:sz w:val="30"/>
          <w:szCs w:val="30"/>
          <w:spacing w:val="-2"/>
        </w:rPr>
        <w:t>年家庭宽带客户数已达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2.44 </w:t>
      </w:r>
      <w:r>
        <w:rPr>
          <w:rFonts w:ascii="SimSun" w:hAnsi="SimSun" w:eastAsia="SimSun" w:cs="SimSun"/>
          <w:sz w:val="30"/>
          <w:szCs w:val="30"/>
          <w:spacing w:val="-2"/>
        </w:rPr>
        <w:t>亿户，此后依托华橙网络在家庭安防领</w:t>
      </w:r>
      <w:r>
        <w:rPr>
          <w:rFonts w:ascii="SimSun" w:hAnsi="SimSun" w:eastAsia="SimSun" w:cs="SimSun"/>
          <w:sz w:val="30"/>
          <w:szCs w:val="30"/>
          <w:spacing w:val="-3"/>
        </w:rPr>
        <w:t>域丰富的民用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IOT </w:t>
      </w:r>
      <w:r>
        <w:rPr>
          <w:rFonts w:ascii="SimSun" w:hAnsi="SimSun" w:eastAsia="SimSun" w:cs="SimSun"/>
          <w:sz w:val="30"/>
          <w:szCs w:val="30"/>
          <w:spacing w:val="-3"/>
        </w:rPr>
        <w:t>终</w:t>
      </w:r>
      <w:r>
        <w:rPr>
          <w:rFonts w:ascii="SimSun" w:hAnsi="SimSun" w:eastAsia="SimSun" w:cs="SimSun"/>
          <w:sz w:val="30"/>
          <w:szCs w:val="30"/>
          <w:spacing w:val="-4"/>
        </w:rPr>
        <w:t>端产品种类及乐橙云平台，两者搭配将形成更优的全屋智能解决</w:t>
      </w:r>
      <w:r>
        <w:rPr>
          <w:rFonts w:ascii="SimSun" w:hAnsi="SimSun" w:eastAsia="SimSun" w:cs="SimSun"/>
          <w:sz w:val="30"/>
          <w:szCs w:val="30"/>
          <w:spacing w:val="-12"/>
        </w:rPr>
        <w:t>方案。</w:t>
      </w:r>
    </w:p>
    <w:p>
      <w:pPr>
        <w:ind w:left="6665"/>
        <w:spacing w:before="62" w:line="249" w:lineRule="exact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424891</wp:posOffset>
            </wp:positionH>
            <wp:positionV relativeFrom="paragraph">
              <wp:posOffset>117495</wp:posOffset>
            </wp:positionV>
            <wp:extent cx="4443983" cy="158749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983" cy="158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404040"/>
          <w:spacing w:val="-1"/>
        </w:rPr>
        <w:t>4.75%</w:t>
      </w:r>
    </w:p>
    <w:p>
      <w:pPr>
        <w:ind w:left="5278"/>
        <w:spacing w:before="72" w:line="24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404040"/>
          <w:spacing w:val="-3"/>
        </w:rPr>
        <w:t>3.75%</w:t>
      </w:r>
    </w:p>
    <w:p>
      <w:pPr>
        <w:ind w:left="7710"/>
        <w:spacing w:line="23" w:lineRule="exact"/>
        <w:rPr>
          <w:rFonts w:ascii="Lucida Console" w:hAnsi="Lucida Console" w:eastAsia="Lucida Console" w:cs="Lucida Console"/>
          <w:sz w:val="2"/>
          <w:szCs w:val="2"/>
        </w:rPr>
      </w:pPr>
      <w:r>
        <w:rPr>
          <w:rFonts w:ascii="Lucida Console" w:hAnsi="Lucida Console" w:eastAsia="Lucida Console" w:cs="Lucida Console"/>
          <w:sz w:val="2"/>
          <w:szCs w:val="2"/>
          <w:color w:val="FFFFFF"/>
          <w:spacing w:val="-1"/>
        </w:rPr>
        <w:t>00%</w:t>
      </w:r>
    </w:p>
    <w:p>
      <w:pPr>
        <w:ind w:left="3871"/>
        <w:spacing w:before="231" w:line="249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404040"/>
          <w:spacing w:val="-2"/>
        </w:rPr>
        <w:t>2.77%</w:t>
      </w:r>
    </w:p>
    <w:p>
      <w:pPr>
        <w:ind w:left="7710"/>
        <w:spacing w:before="8" w:line="23" w:lineRule="exact"/>
        <w:rPr>
          <w:rFonts w:ascii="Lucida Console" w:hAnsi="Lucida Console" w:eastAsia="Lucida Console" w:cs="Lucida Console"/>
          <w:sz w:val="2"/>
          <w:szCs w:val="2"/>
        </w:rPr>
      </w:pPr>
      <w:r>
        <w:rPr>
          <w:rFonts w:ascii="Lucida Console" w:hAnsi="Lucida Console" w:eastAsia="Lucida Console" w:cs="Lucida Console"/>
          <w:sz w:val="2"/>
          <w:szCs w:val="2"/>
          <w:color w:val="FFFFFF"/>
          <w:spacing w:val="-1"/>
        </w:rPr>
        <w:t>00%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6800"/>
        <w:spacing w:before="54" w:line="222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b/>
          <w:bCs/>
          <w:spacing w:val="-6"/>
          <w:position w:val="-1"/>
        </w:rPr>
        <w:t>121</w:t>
      </w:r>
    </w:p>
    <w:p>
      <w:pPr>
        <w:ind w:left="2473"/>
        <w:spacing w:line="234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6" style="position:absolute;margin-left:52.6564pt;margin-top:0.699982pt;mso-position-vertical-relative:text;mso-position-horizontal-relative:text;width:32.9pt;height:45.7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9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404040"/>
                      <w:spacing w:val="-2"/>
                    </w:rPr>
                    <w:t>1.12%</w:t>
                  </w:r>
                </w:p>
                <w:p>
                  <w:pPr>
                    <w:spacing w:line="31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3" w:line="253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b/>
                      <w:bCs/>
                      <w:spacing w:val="-7"/>
                    </w:rPr>
                    <w:t>22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404040"/>
          <w:spacing w:val="-2"/>
          <w:position w:val="-1"/>
        </w:rPr>
        <w:t>1.18%</w:t>
      </w:r>
    </w:p>
    <w:p>
      <w:pPr>
        <w:ind w:left="5464"/>
        <w:spacing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b/>
          <w:bCs/>
          <w:spacing w:val="-8"/>
        </w:rPr>
        <w:t>71</w:t>
      </w:r>
    </w:p>
    <w:p>
      <w:pPr>
        <w:ind w:left="4071"/>
        <w:spacing w:line="221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8" style="position:absolute;margin-left:30.6147pt;margin-top:7.98517pt;mso-position-vertical-relative:text;mso-position-horizontal-relative:text;width:3.15pt;height:3.1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" w:lineRule="exact"/>
                    <w:rPr>
                      <w:rFonts w:ascii="Lucida Console" w:hAnsi="Lucida Console" w:eastAsia="Lucida Console" w:cs="Lucida Console"/>
                      <w:sz w:val="2"/>
                      <w:szCs w:val="2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"/>
                      <w:szCs w:val="2"/>
                      <w:color w:val="FFFFFF"/>
                      <w:spacing w:val="-1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b/>
          <w:bCs/>
          <w:spacing w:val="-9"/>
          <w:position w:val="-1"/>
        </w:rPr>
        <w:t>50</w:t>
      </w:r>
    </w:p>
    <w:p>
      <w:pPr>
        <w:ind w:left="2661"/>
        <w:spacing w:line="25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b/>
          <w:bCs/>
          <w:spacing w:val="-7"/>
        </w:rPr>
        <w:t>22</w:t>
      </w:r>
    </w:p>
    <w:p>
      <w:pPr>
        <w:ind w:left="7710"/>
        <w:spacing w:before="71" w:line="22" w:lineRule="exact"/>
        <w:rPr>
          <w:rFonts w:ascii="Lucida Console" w:hAnsi="Lucida Console" w:eastAsia="Lucida Console" w:cs="Lucida Console"/>
          <w:sz w:val="2"/>
          <w:szCs w:val="2"/>
        </w:rPr>
      </w:pPr>
      <w:r>
        <w:rPr>
          <w:rFonts w:ascii="Lucida Console" w:hAnsi="Lucida Console" w:eastAsia="Lucida Console" w:cs="Lucida Console"/>
          <w:sz w:val="2"/>
          <w:szCs w:val="2"/>
          <w:color w:val="FFFFFF"/>
          <w:spacing w:val="-1"/>
        </w:rPr>
        <w:t>00%</w:t>
      </w:r>
    </w:p>
    <w:p>
      <w:pPr>
        <w:ind w:left="1026"/>
        <w:spacing w:before="189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595959"/>
          <w:spacing w:val="-2"/>
        </w:rPr>
        <w:t>2018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2"/>
        </w:rPr>
        <w:t>年           </w:t>
      </w:r>
      <w:r>
        <w:rPr>
          <w:rFonts w:ascii="Lucida Console" w:hAnsi="Lucida Console" w:eastAsia="Lucida Console" w:cs="Lucida Console"/>
          <w:sz w:val="21"/>
          <w:szCs w:val="21"/>
          <w:color w:val="595959"/>
          <w:spacing w:val="-2"/>
        </w:rPr>
        <w:t>2019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2"/>
        </w:rPr>
        <w:t>年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595959"/>
          <w:spacing w:val="-2"/>
        </w:rPr>
        <w:t>2020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2"/>
        </w:rPr>
        <w:t>年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595959"/>
          <w:spacing w:val="-2"/>
        </w:rPr>
        <w:t>2021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2"/>
        </w:rPr>
        <w:t>年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595959"/>
          <w:spacing w:val="-2"/>
        </w:rPr>
        <w:t>2022</w:t>
      </w:r>
      <w:r>
        <w:rPr>
          <w:rFonts w:ascii="Microsoft YaHei" w:hAnsi="Microsoft YaHei" w:eastAsia="Microsoft YaHei" w:cs="Microsoft YaHei"/>
          <w:sz w:val="21"/>
          <w:szCs w:val="21"/>
          <w:color w:val="595959"/>
          <w:spacing w:val="-2"/>
        </w:rPr>
        <w:t>年</w:t>
      </w:r>
    </w:p>
    <w:p>
      <w:pPr>
        <w:ind w:left="1665"/>
        <w:spacing w:before="48" w:line="20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595959"/>
          <w:position w:val="5"/>
        </w:rPr>
        <w:drawing>
          <wp:inline distT="0" distB="0" distL="0" distR="0">
            <wp:extent cx="243839" cy="518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39" cy="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8"/>
          <w:szCs w:val="18"/>
          <w:color w:val="59595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595959"/>
          <w:spacing w:val="-1"/>
        </w:rPr>
        <w:t>中国移动承接的视频监控项目数</w:t>
      </w:r>
    </w:p>
    <w:p>
      <w:pPr>
        <w:ind w:left="1648"/>
        <w:spacing w:before="2" w:line="19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color w:val="ED7D31"/>
          <w:position w:val="2"/>
        </w:rPr>
        <w:t>—O-</w:t>
      </w:r>
      <w:r>
        <w:rPr>
          <w:rFonts w:ascii="Arial" w:hAnsi="Arial" w:eastAsia="Arial" w:cs="Arial"/>
          <w:sz w:val="19"/>
          <w:szCs w:val="19"/>
          <w:color w:val="ED7D31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595959"/>
        </w:rPr>
        <w:t>中国移动承接视频监控项目数占政府视频监控项目总数</w:t>
      </w:r>
      <w:r>
        <w:rPr>
          <w:rFonts w:ascii="Microsoft YaHei" w:hAnsi="Microsoft YaHei" w:eastAsia="Microsoft YaHei" w:cs="Microsoft YaHei"/>
          <w:sz w:val="18"/>
          <w:szCs w:val="18"/>
          <w:color w:val="595959"/>
          <w:spacing w:val="-1"/>
        </w:rPr>
        <w:t>比重</w:t>
      </w:r>
    </w:p>
    <w:p>
      <w:pPr>
        <w:pStyle w:val="BodyText"/>
        <w:ind w:left="51"/>
        <w:spacing w:before="66" w:line="217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注：数据来源于政府采购网。</w:t>
      </w:r>
    </w:p>
    <w:p>
      <w:pPr>
        <w:ind w:left="928"/>
        <w:spacing w:before="55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2018～2022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年政府视频监控相关采购项目中</w:t>
      </w:r>
    </w:p>
    <w:p>
      <w:pPr>
        <w:ind w:left="3028"/>
        <w:spacing w:before="49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中国移动承接数量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5" w:right="115" w:firstLine="570"/>
        <w:spacing w:before="98" w:line="238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．双方可通过联合研发实现创新技术突破与应用，是战投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的重要价值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2" w:firstLine="596"/>
        <w:spacing w:before="9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据公示，本次定增所获流动资金将用于智慧物联解决方</w:t>
      </w:r>
      <w:r>
        <w:rPr>
          <w:rFonts w:ascii="SimSun" w:hAnsi="SimSun" w:eastAsia="SimSun" w:cs="SimSun"/>
          <w:sz w:val="30"/>
          <w:szCs w:val="30"/>
          <w:spacing w:val="-5"/>
        </w:rPr>
        <w:t>案研</w:t>
      </w:r>
      <w:r>
        <w:rPr>
          <w:rFonts w:ascii="SimSun" w:hAnsi="SimSun" w:eastAsia="SimSun" w:cs="SimSun"/>
          <w:sz w:val="30"/>
          <w:szCs w:val="30"/>
          <w:spacing w:val="-9"/>
        </w:rPr>
        <w:t>发及产业化、杭州智能制造基地、西安及西南研发中心等， 双方</w:t>
      </w:r>
      <w:r>
        <w:rPr>
          <w:rFonts w:ascii="SimSun" w:hAnsi="SimSun" w:eastAsia="SimSun" w:cs="SimSun"/>
          <w:sz w:val="30"/>
          <w:szCs w:val="30"/>
          <w:spacing w:val="-6"/>
        </w:rPr>
        <w:t>的联合将完善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AI </w:t>
      </w:r>
      <w:r>
        <w:rPr>
          <w:rFonts w:ascii="SimSun" w:hAnsi="SimSun" w:eastAsia="SimSun" w:cs="SimSun"/>
          <w:sz w:val="30"/>
          <w:szCs w:val="30"/>
          <w:spacing w:val="-6"/>
        </w:rPr>
        <w:t>等创新技术的布局，这决定了战略投资的焦点。</w:t>
      </w:r>
      <w:r>
        <w:rPr>
          <w:rFonts w:ascii="SimSun" w:hAnsi="SimSun" w:eastAsia="SimSun" w:cs="SimSun"/>
          <w:sz w:val="30"/>
          <w:szCs w:val="30"/>
          <w:spacing w:val="-4"/>
        </w:rPr>
        <w:t>首先，大华作为视频监控领域龙头，硬件市占率较高，在感知端</w:t>
      </w:r>
      <w:r>
        <w:rPr>
          <w:rFonts w:ascii="SimSun" w:hAnsi="SimSun" w:eastAsia="SimSun" w:cs="SimSun"/>
          <w:sz w:val="30"/>
          <w:szCs w:val="30"/>
          <w:spacing w:val="-1"/>
        </w:rPr>
        <w:t>可以为中国移动人工智能技术平台（九天平台）的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算法能力</w:t>
      </w:r>
    </w:p>
    <w:p>
      <w:pPr>
        <w:spacing w:line="260" w:lineRule="auto"/>
        <w:sectPr>
          <w:headerReference w:type="default" r:id="rId6"/>
          <w:pgSz w:w="11907" w:h="16839"/>
          <w:pgMar w:top="1223" w:right="169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1" w:right="110" w:firstLine="14"/>
        <w:spacing w:before="297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发展提供海量优质数据。其次，大华已成功研发半自动机器学习</w:t>
      </w:r>
      <w:r>
        <w:rPr>
          <w:rFonts w:ascii="SimSun" w:hAnsi="SimSun" w:eastAsia="SimSun" w:cs="SimSun"/>
          <w:sz w:val="30"/>
          <w:szCs w:val="30"/>
          <w:spacing w:val="-6"/>
        </w:rPr>
        <w:t>技术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SAML</w:t>
      </w:r>
      <w:r>
        <w:rPr>
          <w:rFonts w:ascii="SimSun" w:hAnsi="SimSun" w:eastAsia="SimSun" w:cs="SimSun"/>
          <w:sz w:val="30"/>
          <w:szCs w:val="30"/>
          <w:spacing w:val="-6"/>
        </w:rPr>
        <w:t>，在同等算法效果前提下可以节省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50%</w:t>
      </w:r>
      <w:r>
        <w:rPr>
          <w:rFonts w:ascii="SimSun" w:hAnsi="SimSun" w:eastAsia="SimSun" w:cs="SimSun"/>
          <w:sz w:val="30"/>
          <w:szCs w:val="30"/>
          <w:spacing w:val="-6"/>
        </w:rPr>
        <w:t>的人力，实现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spacing w:val="-2"/>
        </w:rPr>
        <w:t>开发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，大幅降低研发成本。再者，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2020 </w:t>
      </w:r>
      <w:r>
        <w:rPr>
          <w:rFonts w:ascii="SimSun" w:hAnsi="SimSun" w:eastAsia="SimSun" w:cs="SimSun"/>
          <w:sz w:val="30"/>
          <w:szCs w:val="30"/>
          <w:spacing w:val="-2"/>
        </w:rPr>
        <w:t>年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AI+</w:t>
      </w:r>
      <w:r>
        <w:rPr>
          <w:rFonts w:ascii="SimSun" w:hAnsi="SimSun" w:eastAsia="SimSun" w:cs="SimSun"/>
          <w:sz w:val="30"/>
          <w:szCs w:val="30"/>
          <w:spacing w:val="-2"/>
        </w:rPr>
        <w:t>安防规模仅</w:t>
      </w:r>
      <w:r>
        <w:rPr>
          <w:rFonts w:ascii="SimSun" w:hAnsi="SimSun" w:eastAsia="SimSun" w:cs="SimSun"/>
          <w:sz w:val="30"/>
          <w:szCs w:val="30"/>
          <w:spacing w:val="-1"/>
        </w:rPr>
        <w:t>占总安防市场的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5.6%4</w:t>
      </w:r>
      <w:r>
        <w:rPr>
          <w:rFonts w:ascii="SimSun" w:hAnsi="SimSun" w:eastAsia="SimSun" w:cs="SimSun"/>
          <w:sz w:val="30"/>
          <w:szCs w:val="30"/>
          <w:spacing w:val="-1"/>
        </w:rPr>
        <w:t>，但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AI+</w:t>
      </w:r>
      <w:r>
        <w:rPr>
          <w:rFonts w:ascii="SimSun" w:hAnsi="SimSun" w:eastAsia="SimSun" w:cs="SimSun"/>
          <w:sz w:val="30"/>
          <w:szCs w:val="30"/>
          <w:spacing w:val="-1"/>
        </w:rPr>
        <w:t>安防的市场增速高</w:t>
      </w:r>
      <w:r>
        <w:rPr>
          <w:rFonts w:ascii="SimSun" w:hAnsi="SimSun" w:eastAsia="SimSun" w:cs="SimSun"/>
          <w:sz w:val="30"/>
          <w:szCs w:val="30"/>
          <w:spacing w:val="-2"/>
        </w:rPr>
        <w:t>于整体安防市</w:t>
      </w:r>
      <w:r>
        <w:rPr>
          <w:rFonts w:ascii="SimSun" w:hAnsi="SimSun" w:eastAsia="SimSun" w:cs="SimSun"/>
          <w:sz w:val="30"/>
          <w:szCs w:val="30"/>
          <w:spacing w:val="-9"/>
        </w:rPr>
        <w:t>场，伴随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AI </w:t>
      </w:r>
      <w:r>
        <w:rPr>
          <w:rFonts w:ascii="SimSun" w:hAnsi="SimSun" w:eastAsia="SimSun" w:cs="SimSun"/>
          <w:sz w:val="30"/>
          <w:szCs w:val="30"/>
          <w:spacing w:val="-9"/>
        </w:rPr>
        <w:t>快速发展，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AI </w:t>
      </w:r>
      <w:r>
        <w:rPr>
          <w:rFonts w:ascii="SimSun" w:hAnsi="SimSun" w:eastAsia="SimSun" w:cs="SimSun"/>
          <w:sz w:val="30"/>
          <w:szCs w:val="30"/>
          <w:spacing w:val="-9"/>
        </w:rPr>
        <w:t>参与的智能化方案有望在新领域渗透、</w:t>
      </w:r>
      <w:r>
        <w:rPr>
          <w:rFonts w:ascii="SimSun" w:hAnsi="SimSun" w:eastAsia="SimSun" w:cs="SimSun"/>
          <w:sz w:val="30"/>
          <w:szCs w:val="30"/>
          <w:spacing w:val="-3"/>
        </w:rPr>
        <w:t>在传统领域替代非智能化方案。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三、中国电信未来发展的启示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40" w:firstLine="599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考虑到视联网等数字化转型项目对运营商收入发展的带动、</w:t>
      </w:r>
      <w:r>
        <w:rPr>
          <w:rFonts w:ascii="SimSun" w:hAnsi="SimSun" w:eastAsia="SimSun" w:cs="SimSun"/>
          <w:sz w:val="30"/>
          <w:szCs w:val="30"/>
          <w:spacing w:val="-4"/>
        </w:rPr>
        <w:t>创新生态合作模式对市场开拓及技术创新的深化作用，有以下启</w:t>
      </w:r>
      <w:r>
        <w:rPr>
          <w:rFonts w:ascii="SimSun" w:hAnsi="SimSun" w:eastAsia="SimSun" w:cs="SimSun"/>
          <w:sz w:val="30"/>
          <w:szCs w:val="30"/>
          <w:spacing w:val="-14"/>
        </w:rPr>
        <w:t>示。</w:t>
      </w:r>
    </w:p>
    <w:p>
      <w:pPr>
        <w:ind w:left="650"/>
        <w:spacing w:before="26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．强化集团战略统领力度，加快培育视联网新动能</w:t>
      </w:r>
    </w:p>
    <w:p>
      <w:pPr>
        <w:ind w:left="39" w:right="111" w:firstLine="605"/>
        <w:spacing w:before="32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一是持续重视视联网这一拓增引擎的发展，以中国电信为整</w:t>
      </w:r>
      <w:r>
        <w:rPr>
          <w:rFonts w:ascii="SimSun" w:hAnsi="SimSun" w:eastAsia="SimSun" w:cs="SimSun"/>
          <w:sz w:val="30"/>
          <w:szCs w:val="30"/>
          <w:spacing w:val="-4"/>
        </w:rPr>
        <w:t>体，统筹协调各个部门和专业公司，充分调动整合已有的产品能</w:t>
      </w:r>
      <w:r>
        <w:rPr>
          <w:rFonts w:ascii="SimSun" w:hAnsi="SimSun" w:eastAsia="SimSun" w:cs="SimSun"/>
          <w:sz w:val="30"/>
          <w:szCs w:val="30"/>
          <w:spacing w:val="-9"/>
        </w:rPr>
        <w:t>力、渠道能力、资本能力， 形成发展合力。二是做好视联网业务</w:t>
      </w:r>
      <w:r>
        <w:rPr>
          <w:rFonts w:ascii="SimSun" w:hAnsi="SimSun" w:eastAsia="SimSun" w:cs="SimSun"/>
          <w:sz w:val="30"/>
          <w:szCs w:val="30"/>
          <w:spacing w:val="-8"/>
        </w:rPr>
        <w:t>战略、能力建设和市场发展规划，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在现有覆盖场景外寻求更多已</w:t>
      </w:r>
      <w:r>
        <w:rPr>
          <w:rFonts w:ascii="SimSun" w:hAnsi="SimSun" w:eastAsia="SimSun" w:cs="SimSun"/>
          <w:sz w:val="30"/>
          <w:szCs w:val="30"/>
          <w:spacing w:val="-4"/>
        </w:rPr>
        <w:t>具备基础能力但尚未布局开拓的客户痛点场景、可融合带动现有</w:t>
      </w:r>
      <w:r>
        <w:rPr>
          <w:rFonts w:ascii="SimSun" w:hAnsi="SimSun" w:eastAsia="SimSun" w:cs="SimSun"/>
          <w:sz w:val="30"/>
          <w:szCs w:val="30"/>
          <w:spacing w:val="-3"/>
        </w:rPr>
        <w:t>业务增长的创新生态场景，培育业务发展新动能。</w:t>
      </w:r>
    </w:p>
    <w:p>
      <w:pPr>
        <w:ind w:left="638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．探索生态建设创新模式，发挥云网融合禀赋优势</w:t>
      </w:r>
    </w:p>
    <w:p>
      <w:pPr>
        <w:ind w:left="40" w:right="110" w:firstLine="604"/>
        <w:spacing w:before="320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一是锚定重点业务生态圈内的“专精特新”</w:t>
      </w:r>
      <w:r>
        <w:rPr>
          <w:rFonts w:ascii="SimSun" w:hAnsi="SimSun" w:eastAsia="SimSun" w:cs="SimSun"/>
          <w:sz w:val="30"/>
          <w:szCs w:val="30"/>
          <w:spacing w:val="-5"/>
        </w:rPr>
        <w:t>企业，尝试综合</w:t>
      </w:r>
      <w:r>
        <w:rPr>
          <w:rFonts w:ascii="SimSun" w:hAnsi="SimSun" w:eastAsia="SimSun" w:cs="SimSun"/>
          <w:sz w:val="30"/>
          <w:szCs w:val="30"/>
          <w:spacing w:val="-9"/>
        </w:rPr>
        <w:t>运用参股、创投等手段补足业务发展关键能力， 以价值贡献为底</w:t>
      </w:r>
      <w:r>
        <w:rPr>
          <w:rFonts w:ascii="SimSun" w:hAnsi="SimSun" w:eastAsia="SimSun" w:cs="SimSun"/>
          <w:sz w:val="30"/>
          <w:szCs w:val="30"/>
          <w:spacing w:val="-9"/>
        </w:rPr>
        <w:t>线、产投协同为目标、生态构建为方向， 借用资本纽带作用构建</w:t>
      </w:r>
      <w:r>
        <w:rPr>
          <w:rFonts w:ascii="SimSun" w:hAnsi="SimSun" w:eastAsia="SimSun" w:cs="SimSun"/>
          <w:sz w:val="30"/>
          <w:szCs w:val="30"/>
          <w:spacing w:val="-4"/>
        </w:rPr>
        <w:t>数智化转型亲戚圈，纵深拓展生态布局。二是在生态合作应进一</w:t>
      </w:r>
      <w:r>
        <w:rPr>
          <w:rFonts w:ascii="SimSun" w:hAnsi="SimSun" w:eastAsia="SimSun" w:cs="SimSun"/>
          <w:sz w:val="30"/>
          <w:szCs w:val="30"/>
          <w:spacing w:val="-1"/>
        </w:rPr>
        <w:t>步发挥云网融合等新增长优势，如电信早在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SimSun" w:hAnsi="SimSun" w:eastAsia="SimSun" w:cs="SimSun"/>
          <w:sz w:val="30"/>
          <w:szCs w:val="30"/>
          <w:spacing w:val="-2"/>
        </w:rPr>
        <w:t>便与海康、</w:t>
      </w:r>
      <w:r>
        <w:rPr>
          <w:rFonts w:ascii="SimSun" w:hAnsi="SimSun" w:eastAsia="SimSun" w:cs="SimSun"/>
          <w:sz w:val="30"/>
          <w:szCs w:val="30"/>
          <w:spacing w:val="-4"/>
        </w:rPr>
        <w:t>旷视签署战略合作协议，应尽快推动不具云网能力的硬件产商在</w:t>
      </w:r>
      <w:r>
        <w:rPr>
          <w:rFonts w:ascii="SimSun" w:hAnsi="SimSun" w:eastAsia="SimSun" w:cs="SimSun"/>
          <w:sz w:val="30"/>
          <w:szCs w:val="30"/>
          <w:spacing w:val="-4"/>
        </w:rPr>
        <w:t>天翼云上试点部署视频物联平台，并借助海量的感知数据及优质</w:t>
      </w:r>
      <w:r>
        <w:rPr>
          <w:rFonts w:ascii="SimSun" w:hAnsi="SimSun" w:eastAsia="SimSun" w:cs="SimSun"/>
          <w:sz w:val="30"/>
          <w:szCs w:val="30"/>
          <w:spacing w:val="-3"/>
        </w:rPr>
        <w:t>的算法模型实现产业数字化的高效落地。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pict>
          <v:shape id="_x0000_s32" style="position:absolute;margin-left:1.43999pt;margin-top:8.53407pt;mso-position-vertical-relative:text;mso-position-horizontal-relative:text;width:144.05pt;height:0.5pt;z-index:251675648;" fillcolor="#000000" filled="true" stroked="false" coordsize="2881,10" coordorigin="0,0" path="m0,9l2880,9l2880,0l0,0l0,9xe"/>
        </w:pict>
      </w:r>
      <w:r/>
    </w:p>
    <w:p>
      <w:pPr>
        <w:pStyle w:val="BodyText"/>
        <w:ind w:left="31"/>
        <w:spacing w:before="59" w:line="233" w:lineRule="auto"/>
        <w:rPr>
          <w:sz w:val="18"/>
          <w:szCs w:val="18"/>
        </w:rPr>
      </w:pPr>
      <w:r>
        <w:rPr>
          <w:sz w:val="9"/>
          <w:szCs w:val="9"/>
          <w:spacing w:val="-1"/>
          <w:position w:val="8"/>
        </w:rPr>
        <w:t>4</w:t>
      </w:r>
      <w:r>
        <w:rPr>
          <w:sz w:val="9"/>
          <w:szCs w:val="9"/>
          <w:spacing w:val="-1"/>
          <w:position w:val="8"/>
        </w:rPr>
        <w:t xml:space="preserve">  </w:t>
      </w:r>
      <w:r>
        <w:rPr>
          <w:sz w:val="18"/>
          <w:szCs w:val="18"/>
          <w:spacing w:val="-1"/>
        </w:rPr>
        <w:t>艾瑞咨询与中商情报网测算数据</w:t>
      </w:r>
    </w:p>
    <w:p>
      <w:pPr>
        <w:spacing w:line="233" w:lineRule="auto"/>
        <w:sectPr>
          <w:headerReference w:type="default" r:id="rId9"/>
          <w:pgSz w:w="11907" w:h="16839"/>
          <w:pgMar w:top="1223" w:right="1688" w:bottom="0" w:left="1771" w:header="832" w:footer="0" w:gutter="0"/>
        </w:sectPr>
        <w:rPr>
          <w:sz w:val="18"/>
          <w:szCs w:val="18"/>
        </w:rPr>
      </w:pPr>
    </w:p>
    <w:p>
      <w:pPr>
        <w:ind w:left="635"/>
        <w:spacing w:before="29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．人工智能赋能降本增效，推动多模态技术的发展</w:t>
      </w:r>
    </w:p>
    <w:p>
      <w:pPr>
        <w:ind w:left="41" w:firstLine="603"/>
        <w:spacing w:before="321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一是聚焦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生态，针对视联网的落地应用广</w:t>
      </w:r>
      <w:r>
        <w:rPr>
          <w:rFonts w:ascii="SimSun" w:hAnsi="SimSun" w:eastAsia="SimSun" w:cs="SimSun"/>
          <w:sz w:val="30"/>
          <w:szCs w:val="30"/>
          <w:spacing w:val="-2"/>
        </w:rPr>
        <w:t>泛布局智能前</w:t>
      </w:r>
      <w:r>
        <w:rPr>
          <w:rFonts w:ascii="SimSun" w:hAnsi="SimSun" w:eastAsia="SimSun" w:cs="SimSun"/>
          <w:sz w:val="30"/>
          <w:szCs w:val="30"/>
          <w:spacing w:val="-4"/>
        </w:rPr>
        <w:t>端、边缘计算、中心计算、可视化、软件平台等能力，凭借海量</w:t>
      </w:r>
      <w:r>
        <w:rPr>
          <w:rFonts w:ascii="SimSun" w:hAnsi="SimSun" w:eastAsia="SimSun" w:cs="SimSun"/>
          <w:sz w:val="30"/>
          <w:szCs w:val="30"/>
          <w:spacing w:val="-9"/>
        </w:rPr>
        <w:t>数据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+AI </w:t>
      </w:r>
      <w:r>
        <w:rPr>
          <w:rFonts w:ascii="SimSun" w:hAnsi="SimSun" w:eastAsia="SimSun" w:cs="SimSun"/>
          <w:sz w:val="30"/>
          <w:szCs w:val="30"/>
          <w:spacing w:val="-9"/>
        </w:rPr>
        <w:t>技术积累，实现视联网成本端的降本增效，提升人效比。</w:t>
      </w:r>
      <w:r>
        <w:rPr>
          <w:rFonts w:ascii="SimSun" w:hAnsi="SimSun" w:eastAsia="SimSun" w:cs="SimSun"/>
          <w:sz w:val="30"/>
          <w:szCs w:val="30"/>
          <w:spacing w:val="4"/>
        </w:rPr>
        <w:t>二是发展视觉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+</w:t>
      </w:r>
      <w:r>
        <w:rPr>
          <w:rFonts w:ascii="SimSun" w:hAnsi="SimSun" w:eastAsia="SimSun" w:cs="SimSun"/>
          <w:sz w:val="30"/>
          <w:szCs w:val="30"/>
          <w:spacing w:val="4"/>
        </w:rPr>
        <w:t>语音等多模态数据模型，推进 </w:t>
      </w:r>
      <w:r>
        <w:rPr>
          <w:rFonts w:ascii="Times New Roman" w:hAnsi="Times New Roman" w:eastAsia="Times New Roman" w:cs="Times New Roman"/>
          <w:sz w:val="30"/>
          <w:szCs w:val="30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+</w:t>
      </w:r>
      <w:r>
        <w:rPr>
          <w:rFonts w:ascii="SimSun" w:hAnsi="SimSun" w:eastAsia="SimSun" w:cs="SimSun"/>
          <w:sz w:val="30"/>
          <w:szCs w:val="30"/>
          <w:spacing w:val="4"/>
        </w:rPr>
        <w:t>视联网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+</w:t>
      </w:r>
      <w:r>
        <w:rPr>
          <w:rFonts w:ascii="SimSun" w:hAnsi="SimSun" w:eastAsia="SimSun" w:cs="SimSun"/>
          <w:sz w:val="30"/>
          <w:szCs w:val="30"/>
          <w:spacing w:val="4"/>
        </w:rPr>
        <w:t>千行</w:t>
      </w:r>
      <w:r>
        <w:rPr>
          <w:rFonts w:ascii="SimSun" w:hAnsi="SimSun" w:eastAsia="SimSun" w:cs="SimSun"/>
          <w:sz w:val="30"/>
          <w:szCs w:val="30"/>
          <w:spacing w:val="-4"/>
        </w:rPr>
        <w:t>百业应用数据融合创新，加速细分垂直应用成熟，赋能下游智慧</w:t>
      </w:r>
      <w:r>
        <w:rPr>
          <w:rFonts w:ascii="SimSun" w:hAnsi="SimSun" w:eastAsia="SimSun" w:cs="SimSun"/>
          <w:sz w:val="30"/>
          <w:szCs w:val="30"/>
          <w:spacing w:val="-5"/>
        </w:rPr>
        <w:t>化升级，带动需求快速增长。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447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222199</wp:posOffset>
            </wp:positionH>
            <wp:positionV relativeFrom="paragraph">
              <wp:posOffset>177841</wp:posOffset>
            </wp:positionV>
            <wp:extent cx="973836" cy="136855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3836" cy="1368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48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江嘉琳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【18925050622】</w:t>
      </w:r>
    </w:p>
    <w:p>
      <w:pPr>
        <w:ind w:left="2527" w:right="317" w:firstLine="7"/>
        <w:spacing w:before="119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二级分析师，暨南大学区域经济学硕士，在区</w:t>
      </w:r>
      <w:r>
        <w:rPr>
          <w:rFonts w:ascii="KaiTi" w:hAnsi="KaiTi" w:eastAsia="KaiTi" w:cs="KaiTi"/>
          <w:sz w:val="28"/>
          <w:szCs w:val="28"/>
          <w:spacing w:val="-1"/>
        </w:rPr>
        <w:t>域市场分析、区域政策研究、用户研究、产品</w:t>
      </w:r>
      <w:r>
        <w:rPr>
          <w:rFonts w:ascii="KaiTi" w:hAnsi="KaiTi" w:eastAsia="KaiTi" w:cs="KaiTi"/>
          <w:sz w:val="28"/>
          <w:szCs w:val="28"/>
          <w:spacing w:val="-1"/>
        </w:rPr>
        <w:t>体验领域有丰富积累，聚焦视联网、数字生活</w:t>
      </w:r>
      <w:r>
        <w:rPr>
          <w:rFonts w:ascii="KaiTi" w:hAnsi="KaiTi" w:eastAsia="KaiTi" w:cs="KaiTi"/>
          <w:sz w:val="28"/>
          <w:szCs w:val="28"/>
          <w:spacing w:val="-1"/>
        </w:rPr>
        <w:t>等领域研究工作。</w:t>
      </w:r>
    </w:p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289255</wp:posOffset>
            </wp:positionH>
            <wp:positionV relativeFrom="paragraph">
              <wp:posOffset>119913</wp:posOffset>
            </wp:positionV>
            <wp:extent cx="838200" cy="12771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200" cy="127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42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李娟</w:t>
      </w:r>
    </w:p>
    <w:p>
      <w:pPr>
        <w:ind w:left="2545" w:right="598" w:firstLine="1"/>
        <w:spacing w:before="11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副主任分析师，长期从事用户体验、客户需</w:t>
      </w:r>
      <w:r>
        <w:rPr>
          <w:rFonts w:ascii="KaiTi" w:hAnsi="KaiTi" w:eastAsia="KaiTi" w:cs="KaiTi"/>
          <w:sz w:val="28"/>
          <w:szCs w:val="28"/>
          <w:spacing w:val="-2"/>
        </w:rPr>
        <w:t>求、产品管理等相关研究，近年来专注视联</w:t>
      </w:r>
      <w:r>
        <w:rPr>
          <w:rFonts w:ascii="KaiTi" w:hAnsi="KaiTi" w:eastAsia="KaiTi" w:cs="KaiTi"/>
          <w:sz w:val="28"/>
          <w:szCs w:val="28"/>
          <w:spacing w:val="-3"/>
        </w:rPr>
        <w:t>网、数字生活等专业领域研究。</w:t>
      </w:r>
    </w:p>
    <w:sectPr>
      <w:headerReference w:type="default" r:id="rId10"/>
      <w:pgSz w:w="11907" w:h="16839"/>
      <w:pgMar w:top="1223" w:right="1693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中国移动入股安防巨头定增落地的分析及启示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中国移动入股安防巨头定增落地的分析及启示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中国移动入股安防巨头定增落地的分析及启示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4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中国移动入股安防巨头定增落地的分析及启示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3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中国移动入股安防巨头定增落地的分析及启示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34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中国移动入股安防巨头定增落地的分析及启示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header" Target="header4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2023-04-21T15:22:19Z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2025-11-04T15:55:40</vt:filetime>
  </property>
</Properties>
</file>