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58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中国移动战新产业最新推进及启示思考</w:t>
      </w:r>
    </w:p>
    <w:p>
      <w:pPr>
        <w:ind w:left="621"/>
        <w:spacing w:before="195" w:line="19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0"/>
        </w:rPr>
        <w:t>——战新视角透视《中国移动全球合作伙伴大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会》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2406"/>
        <w:spacing w:before="110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郑思源  杜晶晶   吴天慧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4" w:right="102" w:firstLine="615"/>
        <w:spacing w:before="98" w:line="332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月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11~13  </w:t>
      </w:r>
      <w:r>
        <w:rPr>
          <w:rFonts w:ascii="FangSong" w:hAnsi="FangSong" w:eastAsia="FangSong" w:cs="FangSong"/>
          <w:sz w:val="30"/>
          <w:szCs w:val="30"/>
          <w:spacing w:val="-8"/>
        </w:rPr>
        <w:t>日，中国移动在广州召开</w:t>
      </w:r>
      <w:r>
        <w:rPr>
          <w:rFonts w:ascii="FangSong" w:hAnsi="FangSong" w:eastAsia="FangSong" w:cs="FangSong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年全球合作伙伴</w:t>
      </w:r>
      <w:r>
        <w:rPr>
          <w:rFonts w:ascii="FangSong" w:hAnsi="FangSong" w:eastAsia="FangSong" w:cs="FangSong"/>
          <w:sz w:val="30"/>
          <w:szCs w:val="30"/>
          <w:spacing w:val="-8"/>
        </w:rPr>
        <w:t>大会。从近几年中国移动大会主题词演进和分论坛设计</w:t>
      </w:r>
      <w:r>
        <w:rPr>
          <w:rFonts w:ascii="Times New Roman" w:hAnsi="Times New Roman" w:eastAsia="Times New Roman" w:cs="Times New Roman"/>
          <w:sz w:val="18"/>
          <w:szCs w:val="18"/>
          <w:spacing w:val="-8"/>
          <w:position w:val="1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position w:val="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看，中国</w:t>
      </w:r>
      <w:r>
        <w:rPr>
          <w:rFonts w:ascii="FangSong" w:hAnsi="FangSong" w:eastAsia="FangSong" w:cs="FangSong"/>
          <w:sz w:val="30"/>
          <w:szCs w:val="30"/>
          <w:spacing w:val="-3"/>
        </w:rPr>
        <w:t>移动战略核心正从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迈向智算，工作重点正全面加速战新产业</w:t>
      </w:r>
      <w:r>
        <w:rPr>
          <w:rFonts w:ascii="FangSong" w:hAnsi="FangSong" w:eastAsia="FangSong" w:cs="FangSong"/>
          <w:sz w:val="30"/>
          <w:szCs w:val="30"/>
          <w:spacing w:val="-4"/>
        </w:rPr>
        <w:t>发展。本文立足中国电信云计算及算力、新一代信息通信</w:t>
      </w:r>
      <w:r>
        <w:rPr>
          <w:rFonts w:ascii="FangSong" w:hAnsi="FangSong" w:eastAsia="FangSong" w:cs="FangSong"/>
          <w:sz w:val="30"/>
          <w:szCs w:val="30"/>
          <w:spacing w:val="-5"/>
        </w:rPr>
        <w:t>、大数</w:t>
      </w:r>
      <w:r>
        <w:rPr>
          <w:rFonts w:ascii="FangSong" w:hAnsi="FangSong" w:eastAsia="FangSong" w:cs="FangSong"/>
          <w:sz w:val="30"/>
          <w:szCs w:val="30"/>
          <w:spacing w:val="-12"/>
        </w:rPr>
        <w:t>据、人工智能、安全、量子、数字平台七大战新产业，</w:t>
      </w:r>
      <w:r>
        <w:rPr>
          <w:rFonts w:ascii="FangSong" w:hAnsi="FangSong" w:eastAsia="FangSong" w:cs="FangSong"/>
          <w:sz w:val="30"/>
          <w:szCs w:val="30"/>
          <w:spacing w:val="6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聚焦中国</w:t>
      </w:r>
      <w:r>
        <w:rPr>
          <w:rFonts w:ascii="FangSong" w:hAnsi="FangSong" w:eastAsia="FangSong" w:cs="FangSong"/>
          <w:sz w:val="30"/>
          <w:szCs w:val="30"/>
          <w:spacing w:val="-4"/>
        </w:rPr>
        <w:t>移动此次大会产品发布与合作签约，全面透视中国移动战</w:t>
      </w:r>
      <w:r>
        <w:rPr>
          <w:rFonts w:ascii="FangSong" w:hAnsi="FangSong" w:eastAsia="FangSong" w:cs="FangSong"/>
          <w:sz w:val="30"/>
          <w:szCs w:val="30"/>
          <w:spacing w:val="-5"/>
        </w:rPr>
        <w:t>新产业</w:t>
      </w:r>
      <w:r>
        <w:rPr>
          <w:rFonts w:ascii="FangSong" w:hAnsi="FangSong" w:eastAsia="FangSong" w:cs="FangSong"/>
          <w:sz w:val="30"/>
          <w:szCs w:val="30"/>
          <w:spacing w:val="-3"/>
        </w:rPr>
        <w:t>动态，为中国电信战新推进的布局规划提供决策支撑。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25" w:right="110" w:firstLine="649"/>
        <w:spacing w:before="101" w:line="3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一、“技术-产品-产业”三维透视中国移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动战新推进最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新动态</w:t>
      </w:r>
    </w:p>
    <w:p>
      <w:pPr>
        <w:pStyle w:val="BodyText"/>
        <w:ind w:left="636"/>
        <w:spacing w:before="326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sz w:val="30"/>
          <w:szCs w:val="30"/>
          <w:b/>
          <w:bCs/>
          <w:spacing w:val="-4"/>
        </w:rPr>
        <w:t>．云计算及算力：算网运营商新定位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8" w:right="104" w:firstLine="601"/>
        <w:spacing w:before="97" w:line="337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技术布局</w:t>
      </w:r>
      <w:r>
        <w:rPr>
          <w:sz w:val="30"/>
          <w:szCs w:val="30"/>
          <w:spacing w:val="-5"/>
        </w:rPr>
        <w:t>：三横两纵技术体系。以绿色、安全贯穿算网基础</w:t>
      </w:r>
      <w:r>
        <w:rPr>
          <w:sz w:val="30"/>
          <w:szCs w:val="30"/>
          <w:spacing w:val="-5"/>
        </w:rPr>
        <w:t>设施，优化</w:t>
      </w:r>
      <w:r>
        <w:rPr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4+N+31+X </w:t>
      </w:r>
      <w:r>
        <w:rPr>
          <w:sz w:val="30"/>
          <w:szCs w:val="30"/>
          <w:spacing w:val="-5"/>
        </w:rPr>
        <w:t>算力层次布局，加速智算超算中心和边缘</w:t>
      </w:r>
      <w:r>
        <w:rPr>
          <w:sz w:val="30"/>
          <w:szCs w:val="30"/>
          <w:spacing w:val="-5"/>
        </w:rPr>
        <w:t>算力中心建设，实现</w:t>
      </w:r>
      <w:r>
        <w:rPr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1000+</w:t>
      </w:r>
      <w:r>
        <w:rPr>
          <w:sz w:val="30"/>
          <w:szCs w:val="30"/>
          <w:spacing w:val="-5"/>
        </w:rPr>
        <w:t>边缘节点。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2024 </w:t>
      </w:r>
      <w:r>
        <w:rPr>
          <w:sz w:val="30"/>
          <w:szCs w:val="30"/>
          <w:spacing w:val="-5"/>
        </w:rPr>
        <w:t>年中国移动超大规模</w:t>
      </w:r>
      <w:r>
        <w:rPr>
          <w:sz w:val="30"/>
          <w:szCs w:val="30"/>
          <w:spacing w:val="-1"/>
        </w:rPr>
        <w:t>智算中心将投产，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2025 </w:t>
      </w:r>
      <w:r>
        <w:rPr>
          <w:sz w:val="30"/>
          <w:szCs w:val="30"/>
          <w:spacing w:val="-1"/>
        </w:rPr>
        <w:t>年算力总规模预计超</w:t>
      </w:r>
      <w:r>
        <w:rPr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20EFLOPS</w:t>
      </w:r>
      <w:r>
        <w:rPr>
          <w:sz w:val="30"/>
          <w:szCs w:val="30"/>
          <w:spacing w:val="-1"/>
        </w:rPr>
        <w:t>。</w:t>
      </w:r>
    </w:p>
    <w:p>
      <w:pPr>
        <w:pStyle w:val="BodyText"/>
        <w:spacing w:before="252" w:line="219" w:lineRule="auto"/>
        <w:jc w:val="right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产品创新</w:t>
      </w:r>
      <w:r>
        <w:rPr>
          <w:sz w:val="30"/>
          <w:szCs w:val="30"/>
          <w:spacing w:val="-1"/>
        </w:rPr>
        <w:t>：自研软硬一体计算架构和一机多芯磐石服务器。</w:t>
      </w:r>
    </w:p>
    <w:p>
      <w:pPr>
        <w:spacing w:line="442" w:lineRule="auto"/>
        <w:rPr>
          <w:rFonts w:ascii="Arial"/>
          <w:sz w:val="21"/>
        </w:rPr>
      </w:pPr>
      <w:r>
        <w:pict>
          <v:shape id="_x0000_s2" style="position:absolute;margin-left:0.72599pt;margin-top:18.2542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22" w:right="109"/>
        <w:spacing w:before="68" w:line="242" w:lineRule="auto"/>
        <w:rPr/>
      </w:pPr>
      <w:r>
        <w:rPr>
          <w:rFonts w:ascii="DengXian" w:hAnsi="DengXian" w:eastAsia="DengXian" w:cs="DengXian"/>
          <w:sz w:val="11"/>
          <w:szCs w:val="11"/>
          <w:spacing w:val="-4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12"/>
          <w:w w:val="101"/>
          <w:position w:val="10"/>
        </w:rPr>
        <w:t xml:space="preserve">   </w:t>
      </w:r>
      <w:r>
        <w:rPr>
          <w:spacing w:val="-4"/>
        </w:rPr>
        <w:t>2019</w:t>
      </w:r>
      <w:r>
        <w:rPr>
          <w:spacing w:val="-46"/>
        </w:rPr>
        <w:t xml:space="preserve"> </w:t>
      </w:r>
      <w:r>
        <w:rPr>
          <w:spacing w:val="-4"/>
        </w:rPr>
        <w:t>年大会主题“5G+  未来，无限可能</w:t>
      </w:r>
      <w:r>
        <w:rPr>
          <w:spacing w:val="-79"/>
        </w:rPr>
        <w:t xml:space="preserve"> </w:t>
      </w:r>
      <w:r>
        <w:rPr>
          <w:spacing w:val="-4"/>
        </w:rPr>
        <w:t>”；2020</w:t>
      </w:r>
      <w:r>
        <w:rPr>
          <w:spacing w:val="-45"/>
        </w:rPr>
        <w:t xml:space="preserve"> </w:t>
      </w:r>
      <w:r>
        <w:rPr>
          <w:spacing w:val="-4"/>
        </w:rPr>
        <w:t>年大会主题“5G</w:t>
      </w:r>
      <w:r>
        <w:rPr>
          <w:spacing w:val="-39"/>
        </w:rPr>
        <w:t xml:space="preserve"> </w:t>
      </w:r>
      <w:r>
        <w:rPr>
          <w:spacing w:val="-4"/>
        </w:rPr>
        <w:t>融入百业，移动云领未</w:t>
      </w:r>
      <w:r>
        <w:rPr>
          <w:spacing w:val="-6"/>
        </w:rPr>
        <w:t>来</w:t>
      </w:r>
      <w:r>
        <w:rPr>
          <w:spacing w:val="-77"/>
        </w:rPr>
        <w:t xml:space="preserve"> </w:t>
      </w:r>
      <w:r>
        <w:rPr>
          <w:spacing w:val="-6"/>
        </w:rPr>
        <w:t>”；2022</w:t>
      </w:r>
      <w:r>
        <w:rPr>
          <w:spacing w:val="-45"/>
        </w:rPr>
        <w:t xml:space="preserve"> </w:t>
      </w:r>
      <w:r>
        <w:rPr>
          <w:spacing w:val="-6"/>
        </w:rPr>
        <w:t>年大会主题“聚力融合创新，共谱数智</w:t>
      </w:r>
      <w:r>
        <w:rPr>
          <w:spacing w:val="-7"/>
        </w:rPr>
        <w:t>华章</w:t>
      </w:r>
      <w:r>
        <w:rPr>
          <w:spacing w:val="-77"/>
        </w:rPr>
        <w:t xml:space="preserve"> </w:t>
      </w:r>
      <w:r>
        <w:rPr>
          <w:spacing w:val="-7"/>
        </w:rPr>
        <w:t>”；2023</w:t>
      </w:r>
      <w:r>
        <w:rPr>
          <w:spacing w:val="-43"/>
        </w:rPr>
        <w:t xml:space="preserve"> </w:t>
      </w:r>
      <w:r>
        <w:rPr>
          <w:spacing w:val="-7"/>
        </w:rPr>
        <w:t>年大会主题“算启新程，智</w:t>
      </w:r>
      <w:r>
        <w:rPr>
          <w:spacing w:val="-3"/>
        </w:rPr>
        <w:t>享未来</w:t>
      </w:r>
      <w:r>
        <w:rPr>
          <w:spacing w:val="-79"/>
        </w:rPr>
        <w:t xml:space="preserve"> </w:t>
      </w:r>
      <w:r>
        <w:rPr>
          <w:spacing w:val="-3"/>
        </w:rPr>
        <w:t>”。2023</w:t>
      </w:r>
      <w:r>
        <w:rPr>
          <w:spacing w:val="-46"/>
        </w:rPr>
        <w:t xml:space="preserve"> </w:t>
      </w:r>
      <w:r>
        <w:rPr>
          <w:spacing w:val="-3"/>
        </w:rPr>
        <w:t>年大会设置的分论坛包括移动信</w:t>
      </w:r>
      <w:r>
        <w:rPr>
          <w:spacing w:val="-4"/>
        </w:rPr>
        <w:t>息现代产业链共链行动暨战略性新兴产业</w:t>
      </w:r>
      <w:r>
        <w:rPr>
          <w:spacing w:val="-5"/>
        </w:rPr>
        <w:t>创新合作论坛、中国移动创新产品产业合作论坛、新服务</w:t>
      </w:r>
      <w:r>
        <w:rPr>
          <w:spacing w:val="-19"/>
        </w:rPr>
        <w:t xml:space="preserve"> </w:t>
      </w:r>
      <w:r>
        <w:rPr>
          <w:spacing w:val="-5"/>
        </w:rPr>
        <w:t>·新智能</w:t>
      </w:r>
      <w:r>
        <w:rPr>
          <w:spacing w:val="-27"/>
        </w:rPr>
        <w:t xml:space="preserve"> </w:t>
      </w:r>
      <w:r>
        <w:rPr>
          <w:spacing w:val="-5"/>
        </w:rPr>
        <w:t>·</w:t>
      </w:r>
      <w:r>
        <w:rPr>
          <w:spacing w:val="-76"/>
        </w:rPr>
        <w:t xml:space="preserve"> </w:t>
      </w:r>
      <w:r>
        <w:rPr>
          <w:spacing w:val="-5"/>
        </w:rPr>
        <w:t>中国移动数智服务创</w:t>
      </w:r>
      <w:r>
        <w:rPr/>
        <w:t>新论坛、能力中台</w:t>
      </w:r>
      <w:r>
        <w:rPr>
          <w:spacing w:val="-51"/>
        </w:rPr>
        <w:t xml:space="preserve"> </w:t>
      </w:r>
      <w:r>
        <w:rPr/>
        <w:t>AaaS+生态数智融合创新论坛等十</w:t>
      </w:r>
      <w:r>
        <w:rPr>
          <w:spacing w:val="-1"/>
        </w:rPr>
        <w:t>个分论坛。</w:t>
      </w:r>
    </w:p>
    <w:p>
      <w:pPr>
        <w:spacing w:line="242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28"/>
        <w:spacing w:before="184" w:line="343" w:lineRule="auto"/>
        <w:rPr>
          <w:sz w:val="30"/>
          <w:szCs w:val="30"/>
        </w:rPr>
      </w:pPr>
      <w:r>
        <w:rPr>
          <w:sz w:val="30"/>
          <w:szCs w:val="30"/>
          <w:spacing w:val="-4"/>
        </w:rPr>
        <w:t>算网大脑“天穹”全国试商用，实现分钟级资源调度、分钟级任</w:t>
      </w:r>
      <w:r>
        <w:rPr>
          <w:sz w:val="30"/>
          <w:szCs w:val="30"/>
          <w:spacing w:val="-4"/>
        </w:rPr>
        <w:t>务式应用开发，支持智算、超算、数据快递等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115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sz w:val="30"/>
          <w:szCs w:val="30"/>
          <w:spacing w:val="-4"/>
        </w:rPr>
        <w:t>种算</w:t>
      </w:r>
      <w:r>
        <w:rPr>
          <w:sz w:val="30"/>
          <w:szCs w:val="30"/>
          <w:spacing w:val="-5"/>
        </w:rPr>
        <w:t>网业务。</w:t>
      </w:r>
    </w:p>
    <w:p>
      <w:pPr>
        <w:pStyle w:val="BodyText"/>
        <w:ind w:left="25" w:right="106" w:firstLine="603"/>
        <w:spacing w:before="243" w:line="332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产业生态</w:t>
      </w:r>
      <w:r>
        <w:rPr>
          <w:sz w:val="30"/>
          <w:szCs w:val="30"/>
          <w:spacing w:val="-5"/>
        </w:rPr>
        <w:t>：联合国家级超算中心、中电科、华为、曙光、浪</w:t>
      </w:r>
      <w:r>
        <w:rPr>
          <w:sz w:val="30"/>
          <w:szCs w:val="30"/>
          <w:spacing w:val="-4"/>
        </w:rPr>
        <w:t>潮等产业伙伴，发起全国规模最大的百川算力并网行动，已完成</w:t>
      </w:r>
      <w:r>
        <w:rPr>
          <w:sz w:val="30"/>
          <w:szCs w:val="30"/>
          <w:spacing w:val="-10"/>
        </w:rPr>
        <w:t>通算、智算、超算和量子四类</w:t>
      </w:r>
      <w:r>
        <w:rPr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1.9EFlops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sz w:val="30"/>
          <w:szCs w:val="30"/>
          <w:spacing w:val="-10"/>
        </w:rPr>
        <w:t>算力接入。借助该平台，</w:t>
      </w:r>
      <w:r>
        <w:rPr>
          <w:sz w:val="30"/>
          <w:szCs w:val="30"/>
          <w:spacing w:val="-9"/>
        </w:rPr>
        <w:t>已具备超</w:t>
      </w:r>
      <w:r>
        <w:rPr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10EFLOPS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sz w:val="30"/>
          <w:szCs w:val="30"/>
          <w:spacing w:val="-9"/>
        </w:rPr>
        <w:t>的融合算力供给能力</w:t>
      </w:r>
      <w:r>
        <w:rPr>
          <w:sz w:val="30"/>
          <w:szCs w:val="30"/>
          <w:spacing w:val="-10"/>
        </w:rPr>
        <w:t>。同时，</w:t>
      </w:r>
      <w:r>
        <w:rPr>
          <w:sz w:val="30"/>
          <w:szCs w:val="30"/>
          <w:spacing w:val="-73"/>
        </w:rPr>
        <w:t xml:space="preserve"> </w:t>
      </w:r>
      <w:r>
        <w:rPr>
          <w:sz w:val="30"/>
          <w:szCs w:val="30"/>
          <w:spacing w:val="-10"/>
        </w:rPr>
        <w:t>联合瀚博半导</w:t>
      </w:r>
      <w:r>
        <w:rPr>
          <w:sz w:val="30"/>
          <w:szCs w:val="30"/>
          <w:spacing w:val="-3"/>
        </w:rPr>
        <w:t>体、趋动科技、英特尔等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13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sz w:val="30"/>
          <w:szCs w:val="30"/>
          <w:spacing w:val="-3"/>
        </w:rPr>
        <w:t>家产业合作伙伴发布智算跨架构基</w:t>
      </w:r>
      <w:r>
        <w:rPr>
          <w:sz w:val="30"/>
          <w:szCs w:val="30"/>
          <w:spacing w:val="-4"/>
        </w:rPr>
        <w:t>础软件栈，开辟了以基础软件牵引我国智算产业健康融通发展新</w:t>
      </w:r>
      <w:r>
        <w:rPr>
          <w:sz w:val="30"/>
          <w:szCs w:val="30"/>
          <w:spacing w:val="-12"/>
        </w:rPr>
        <w:t>路径。</w:t>
      </w:r>
    </w:p>
    <w:p>
      <w:pPr>
        <w:pStyle w:val="BodyText"/>
        <w:ind w:left="624"/>
        <w:spacing w:before="284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2</w:t>
      </w:r>
      <w:r>
        <w:rPr>
          <w:sz w:val="30"/>
          <w:szCs w:val="30"/>
          <w:b/>
          <w:bCs/>
          <w:spacing w:val="-9"/>
        </w:rPr>
        <w:t>．人工智能：对外</w:t>
      </w:r>
      <w:r>
        <w:rPr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2B </w:t>
      </w:r>
      <w:r>
        <w:rPr>
          <w:sz w:val="30"/>
          <w:szCs w:val="30"/>
          <w:b/>
          <w:bCs/>
          <w:spacing w:val="-9"/>
        </w:rPr>
        <w:t>企业应用，对内客服、网络专业应用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 w:right="103" w:firstLine="603"/>
        <w:spacing w:before="97" w:line="334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14"/>
        </w:rPr>
        <w:t>技术布局</w:t>
      </w:r>
      <w:r>
        <w:rPr>
          <w:sz w:val="30"/>
          <w:szCs w:val="30"/>
          <w:spacing w:val="-14"/>
        </w:rPr>
        <w:t>：“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1+N</w:t>
      </w:r>
      <w:r>
        <w:rPr>
          <w:rFonts w:ascii="Times New Roman" w:hAnsi="Times New Roman" w:eastAsia="Times New Roman" w:cs="Times New Roman"/>
          <w:sz w:val="30"/>
          <w:szCs w:val="30"/>
          <w:spacing w:val="-35"/>
        </w:rPr>
        <w:t xml:space="preserve"> </w:t>
      </w:r>
      <w:r>
        <w:rPr>
          <w:sz w:val="30"/>
          <w:szCs w:val="30"/>
          <w:spacing w:val="-14"/>
        </w:rPr>
        <w:t>”通专结合大模型体系。累计投入百</w:t>
      </w:r>
      <w:r>
        <w:rPr>
          <w:sz w:val="30"/>
          <w:szCs w:val="30"/>
          <w:spacing w:val="-15"/>
        </w:rPr>
        <w:t>亿，自</w:t>
      </w:r>
      <w:r>
        <w:rPr>
          <w:sz w:val="30"/>
          <w:szCs w:val="30"/>
          <w:spacing w:val="-4"/>
        </w:rPr>
        <w:t>研九天人工智能平台，沉淀机器视觉等</w:t>
      </w:r>
      <w:r>
        <w:rPr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370+AI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sz w:val="30"/>
          <w:szCs w:val="30"/>
          <w:spacing w:val="-4"/>
        </w:rPr>
        <w:t>能力，</w:t>
      </w:r>
      <w:r>
        <w:rPr>
          <w:sz w:val="30"/>
          <w:szCs w:val="30"/>
          <w:spacing w:val="-89"/>
        </w:rPr>
        <w:t xml:space="preserve"> </w:t>
      </w:r>
      <w:r>
        <w:rPr>
          <w:sz w:val="30"/>
          <w:szCs w:val="30"/>
          <w:spacing w:val="-4"/>
        </w:rPr>
        <w:t>自然语言</w:t>
      </w:r>
      <w:r>
        <w:rPr>
          <w:sz w:val="30"/>
          <w:szCs w:val="30"/>
          <w:spacing w:val="-3"/>
        </w:rPr>
        <w:t>处理、智能语音等多项核心技术达行业领先水平。</w:t>
      </w:r>
    </w:p>
    <w:p>
      <w:pPr>
        <w:pStyle w:val="BodyText"/>
        <w:ind w:left="26" w:right="103" w:firstLine="602"/>
        <w:spacing w:before="273" w:line="331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9"/>
        </w:rPr>
        <w:t>产品创新</w:t>
      </w:r>
      <w:r>
        <w:rPr>
          <w:sz w:val="30"/>
          <w:szCs w:val="30"/>
          <w:spacing w:val="-9"/>
        </w:rPr>
        <w:t>：“九天”成为新战略品牌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position w:val="10"/>
        </w:rPr>
        <w:t>2 </w:t>
      </w:r>
      <w:r>
        <w:rPr>
          <w:sz w:val="30"/>
          <w:szCs w:val="30"/>
          <w:spacing w:val="-9"/>
        </w:rPr>
        <w:t>。新发布九天企业通话</w:t>
      </w:r>
      <w:r>
        <w:rPr>
          <w:sz w:val="30"/>
          <w:szCs w:val="30"/>
          <w:spacing w:val="-9"/>
        </w:rPr>
        <w:t>大模型、九天川流出行大模型、九天网络大模型； 新升级九天客</w:t>
      </w:r>
      <w:r>
        <w:rPr>
          <w:sz w:val="30"/>
          <w:szCs w:val="30"/>
          <w:spacing w:val="-4"/>
        </w:rPr>
        <w:t>服大模型、九天海算政务大模型</w:t>
      </w:r>
      <w:r>
        <w:rPr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2.0</w:t>
      </w:r>
      <w:r>
        <w:rPr>
          <w:sz w:val="30"/>
          <w:szCs w:val="30"/>
          <w:spacing w:val="-4"/>
        </w:rPr>
        <w:t>。赋能交通、医疗等</w:t>
      </w:r>
      <w:r>
        <w:rPr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27 </w:t>
      </w:r>
      <w:r>
        <w:rPr>
          <w:sz w:val="30"/>
          <w:szCs w:val="30"/>
          <w:spacing w:val="-4"/>
        </w:rPr>
        <w:t>个领</w:t>
      </w:r>
      <w:r>
        <w:rPr>
          <w:sz w:val="30"/>
          <w:szCs w:val="30"/>
          <w:spacing w:val="-3"/>
        </w:rPr>
        <w:t>域</w:t>
      </w:r>
      <w:r>
        <w:rPr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830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sz w:val="30"/>
          <w:szCs w:val="30"/>
          <w:spacing w:val="-3"/>
        </w:rPr>
        <w:t>个应用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,  </w:t>
      </w:r>
      <w:r>
        <w:rPr>
          <w:sz w:val="30"/>
          <w:szCs w:val="30"/>
          <w:spacing w:val="-3"/>
        </w:rPr>
        <w:t>累计调用量</w:t>
      </w:r>
      <w:r>
        <w:rPr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13700+</w:t>
      </w:r>
      <w:r>
        <w:rPr>
          <w:sz w:val="30"/>
          <w:szCs w:val="30"/>
          <w:spacing w:val="-3"/>
        </w:rPr>
        <w:t>亿次，应用赋能价值近</w:t>
      </w:r>
      <w:r>
        <w:rPr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41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sz w:val="30"/>
          <w:szCs w:val="30"/>
          <w:spacing w:val="-3"/>
        </w:rPr>
        <w:t>亿</w:t>
      </w:r>
      <w:r>
        <w:rPr>
          <w:sz w:val="30"/>
          <w:szCs w:val="30"/>
          <w:spacing w:val="-14"/>
        </w:rPr>
        <w:t>元。</w:t>
      </w:r>
    </w:p>
    <w:p>
      <w:pPr>
        <w:pStyle w:val="BodyText"/>
        <w:ind w:left="27" w:firstLine="601"/>
        <w:spacing w:before="292" w:line="331" w:lineRule="auto"/>
        <w:jc w:val="both"/>
        <w:rPr>
          <w:sz w:val="30"/>
          <w:szCs w:val="30"/>
        </w:rPr>
      </w:pPr>
      <w:r>
        <w:pict>
          <v:shape id="_x0000_s4" style="position:absolute;margin-left:0.72599pt;margin-top:127.454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>
        <w:rPr>
          <w:sz w:val="30"/>
          <w:szCs w:val="30"/>
          <w:b/>
          <w:bCs/>
          <w:spacing w:val="-5"/>
        </w:rPr>
        <w:t>产业生态</w:t>
      </w:r>
      <w:r>
        <w:rPr>
          <w:sz w:val="30"/>
          <w:szCs w:val="30"/>
          <w:spacing w:val="-5"/>
        </w:rPr>
        <w:t>：与中国远洋、中国铁建、中国信科、中国航信等</w:t>
      </w:r>
      <w:r>
        <w:rPr>
          <w:sz w:val="30"/>
          <w:szCs w:val="30"/>
          <w:spacing w:val="-5"/>
        </w:rPr>
        <w:t>龙头企业共建，融合通信、能源、钢铁、建筑、交通等</w:t>
      </w:r>
      <w:r>
        <w:rPr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 </w:t>
      </w:r>
      <w:r>
        <w:rPr>
          <w:sz w:val="30"/>
          <w:szCs w:val="30"/>
          <w:spacing w:val="-5"/>
        </w:rPr>
        <w:t>大行业</w:t>
      </w:r>
      <w:r>
        <w:rPr>
          <w:sz w:val="30"/>
          <w:szCs w:val="30"/>
        </w:rPr>
        <w:t>专业知识，形成“九天众擎基座大模型”底座。与中兴、京信、</w:t>
      </w:r>
      <w:r>
        <w:rPr>
          <w:sz w:val="30"/>
          <w:szCs w:val="30"/>
          <w:spacing w:val="-4"/>
        </w:rPr>
        <w:t>锐捷等十家设备商正式签署芯片应用合作协议，共享关键技术突</w:t>
      </w:r>
    </w:p>
    <w:p>
      <w:pPr>
        <w:pStyle w:val="BodyText"/>
        <w:ind w:left="20"/>
        <w:spacing w:before="243" w:line="242" w:lineRule="auto"/>
        <w:rPr/>
      </w:pPr>
      <w:r>
        <w:rPr>
          <w:sz w:val="11"/>
          <w:szCs w:val="11"/>
          <w:spacing w:val="-8"/>
          <w:position w:val="10"/>
        </w:rPr>
        <w:t>2</w:t>
      </w:r>
      <w:r>
        <w:rPr>
          <w:sz w:val="11"/>
          <w:szCs w:val="11"/>
          <w:spacing w:val="-27"/>
          <w:position w:val="10"/>
        </w:rPr>
        <w:t xml:space="preserve"> </w:t>
      </w:r>
      <w:r>
        <w:rPr>
          <w:spacing w:val="-8"/>
        </w:rPr>
        <w:t>中国移动升级品牌战略，推出“移动爱家</w:t>
      </w:r>
      <w:r>
        <w:rPr>
          <w:spacing w:val="-79"/>
        </w:rPr>
        <w:t xml:space="preserve"> </w:t>
      </w:r>
      <w:r>
        <w:rPr>
          <w:spacing w:val="-8"/>
        </w:rPr>
        <w:t>”“梧桐大数据</w:t>
      </w:r>
      <w:r>
        <w:rPr>
          <w:spacing w:val="-77"/>
        </w:rPr>
        <w:t xml:space="preserve"> </w:t>
      </w:r>
      <w:r>
        <w:rPr>
          <w:spacing w:val="-8"/>
        </w:rPr>
        <w:t>”“</w:t>
      </w:r>
      <w:r>
        <w:rPr>
          <w:spacing w:val="-9"/>
        </w:rPr>
        <w:t>九天</w:t>
      </w:r>
      <w:r>
        <w:rPr>
          <w:spacing w:val="-77"/>
        </w:rPr>
        <w:t xml:space="preserve"> </w:t>
      </w:r>
      <w:r>
        <w:rPr>
          <w:spacing w:val="-9"/>
        </w:rPr>
        <w:t>”三大新战略品牌。</w:t>
      </w:r>
    </w:p>
    <w:p>
      <w:pPr>
        <w:spacing w:line="242" w:lineRule="auto"/>
        <w:sectPr>
          <w:pgSz w:w="11907" w:h="16839"/>
          <w:pgMar w:top="1431" w:right="1692" w:bottom="0" w:left="1785" w:header="0" w:footer="0" w:gutter="0"/>
        </w:sectPr>
        <w:rPr/>
      </w:pPr>
    </w:p>
    <w:p>
      <w:pPr>
        <w:pStyle w:val="BodyText"/>
        <w:ind w:left="25"/>
        <w:spacing w:before="183" w:line="220" w:lineRule="auto"/>
        <w:rPr>
          <w:sz w:val="30"/>
          <w:szCs w:val="30"/>
        </w:rPr>
      </w:pPr>
      <w:r>
        <w:rPr>
          <w:sz w:val="30"/>
          <w:szCs w:val="30"/>
          <w:spacing w:val="-11"/>
        </w:rPr>
        <w:t>破成果。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sz w:val="30"/>
          <w:szCs w:val="30"/>
          <w:b/>
          <w:bCs/>
          <w:spacing w:val="-3"/>
        </w:rPr>
        <w:t>．大数据：为千行百业注入数据动能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5" w:right="5" w:firstLine="604"/>
        <w:spacing w:before="97" w:line="333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技术布局</w:t>
      </w:r>
      <w:r>
        <w:rPr>
          <w:sz w:val="30"/>
          <w:szCs w:val="30"/>
          <w:spacing w:val="-5"/>
        </w:rPr>
        <w:t>：打造数联网技术体系，提供数据流通治理一站式</w:t>
      </w:r>
      <w:r>
        <w:rPr>
          <w:sz w:val="30"/>
          <w:szCs w:val="30"/>
          <w:spacing w:val="-10"/>
        </w:rPr>
        <w:t>解决方案，促进数据合规高效流通使用，推动</w:t>
      </w:r>
      <w:r>
        <w:rPr>
          <w:sz w:val="30"/>
          <w:szCs w:val="30"/>
          <w:spacing w:val="-11"/>
        </w:rPr>
        <w:t>数据从资源向资产、</w:t>
      </w:r>
      <w:r>
        <w:rPr>
          <w:sz w:val="30"/>
          <w:szCs w:val="30"/>
          <w:spacing w:val="-3"/>
        </w:rPr>
        <w:t>资本转变。</w:t>
      </w:r>
    </w:p>
    <w:p>
      <w:pPr>
        <w:pStyle w:val="BodyText"/>
        <w:ind w:left="26" w:right="25" w:firstLine="602"/>
        <w:spacing w:before="272" w:line="34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5"/>
        </w:rPr>
        <w:t>产品创新</w:t>
      </w:r>
      <w:r>
        <w:rPr>
          <w:sz w:val="30"/>
          <w:szCs w:val="30"/>
          <w:spacing w:val="-15"/>
        </w:rPr>
        <w:t>：打造梧桐大数据平台。发布反诈大数据、数联网、</w:t>
      </w:r>
      <w:r>
        <w:rPr>
          <w:sz w:val="30"/>
          <w:szCs w:val="30"/>
          <w:spacing w:val="-4"/>
        </w:rPr>
        <w:t>鸿鹄校企合作平台产品，提供</w:t>
      </w:r>
      <w:r>
        <w:rPr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PaaS</w:t>
      </w:r>
      <w:r>
        <w:rPr>
          <w:rFonts w:ascii="Times New Roman" w:hAnsi="Times New Roman" w:eastAsia="Times New Roman" w:cs="Times New Roman"/>
          <w:sz w:val="30"/>
          <w:szCs w:val="30"/>
          <w:spacing w:val="-40"/>
        </w:rPr>
        <w:t xml:space="preserve"> </w:t>
      </w:r>
      <w:r>
        <w:rPr>
          <w:sz w:val="30"/>
          <w:szCs w:val="30"/>
          <w:spacing w:val="-4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DaaS </w:t>
      </w:r>
      <w:r>
        <w:rPr>
          <w:sz w:val="30"/>
          <w:szCs w:val="30"/>
          <w:spacing w:val="-4"/>
        </w:rPr>
        <w:t>和</w:t>
      </w:r>
      <w:r>
        <w:rPr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SaaS </w:t>
      </w:r>
      <w:r>
        <w:rPr>
          <w:sz w:val="30"/>
          <w:szCs w:val="30"/>
          <w:spacing w:val="-4"/>
        </w:rPr>
        <w:t>三种云服务，</w:t>
      </w:r>
      <w:r>
        <w:rPr>
          <w:sz w:val="30"/>
          <w:szCs w:val="30"/>
          <w:spacing w:val="-2"/>
        </w:rPr>
        <w:t>服务行业用户超</w:t>
      </w:r>
      <w:r>
        <w:rPr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3500 </w:t>
      </w:r>
      <w:r>
        <w:rPr>
          <w:sz w:val="30"/>
          <w:szCs w:val="30"/>
          <w:spacing w:val="-2"/>
        </w:rPr>
        <w:t>家。</w:t>
      </w:r>
    </w:p>
    <w:p>
      <w:pPr>
        <w:pStyle w:val="BodyText"/>
        <w:ind w:left="25" w:right="108" w:firstLine="603"/>
        <w:spacing w:before="238" w:line="328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产业生态</w:t>
      </w:r>
      <w:r>
        <w:rPr>
          <w:sz w:val="30"/>
          <w:szCs w:val="30"/>
          <w:spacing w:val="-8"/>
        </w:rPr>
        <w:t>：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2021 </w:t>
      </w:r>
      <w:r>
        <w:rPr>
          <w:sz w:val="30"/>
          <w:szCs w:val="30"/>
          <w:spacing w:val="-8"/>
        </w:rPr>
        <w:t>年“梧桐引凤”计划以来，已入驻</w:t>
      </w:r>
      <w:r>
        <w:rPr>
          <w:sz w:val="30"/>
          <w:szCs w:val="3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145 </w:t>
      </w:r>
      <w:r>
        <w:rPr>
          <w:sz w:val="30"/>
          <w:szCs w:val="30"/>
          <w:spacing w:val="-8"/>
        </w:rPr>
        <w:t>家内</w:t>
      </w:r>
      <w:r>
        <w:rPr>
          <w:sz w:val="30"/>
          <w:szCs w:val="30"/>
          <w:spacing w:val="-7"/>
        </w:rPr>
        <w:t>外部单位，数据正在被</w:t>
      </w:r>
      <w:r>
        <w:rPr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484 </w:t>
      </w:r>
      <w:r>
        <w:rPr>
          <w:sz w:val="30"/>
          <w:szCs w:val="30"/>
          <w:spacing w:val="-7"/>
        </w:rPr>
        <w:t>个项目调用。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2023 </w:t>
      </w:r>
      <w:r>
        <w:rPr>
          <w:sz w:val="30"/>
          <w:szCs w:val="30"/>
          <w:spacing w:val="-7"/>
        </w:rPr>
        <w:t>年</w:t>
      </w:r>
      <w:r>
        <w:rPr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8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sz w:val="30"/>
          <w:szCs w:val="30"/>
          <w:spacing w:val="-7"/>
        </w:rPr>
        <w:t>月底，召开数</w:t>
      </w:r>
      <w:r>
        <w:rPr>
          <w:sz w:val="30"/>
          <w:szCs w:val="30"/>
          <w:spacing w:val="-6"/>
        </w:rPr>
        <w:t>据治理与展望大会。</w:t>
      </w:r>
    </w:p>
    <w:p>
      <w:pPr>
        <w:pStyle w:val="BodyText"/>
        <w:ind w:left="624"/>
        <w:spacing w:before="305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sz w:val="30"/>
          <w:szCs w:val="30"/>
          <w:b/>
          <w:bCs/>
          <w:spacing w:val="-3"/>
        </w:rPr>
        <w:t>．新一代信息通信：推动空天地海全场景一体化覆盖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6" w:firstLine="603"/>
        <w:spacing w:before="97" w:line="333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技术布局</w:t>
      </w:r>
      <w:r>
        <w:rPr>
          <w:sz w:val="30"/>
          <w:szCs w:val="30"/>
          <w:spacing w:val="-3"/>
        </w:rPr>
        <w:t>：</w:t>
      </w:r>
      <w:r>
        <w:rPr>
          <w:sz w:val="30"/>
          <w:szCs w:val="30"/>
          <w:spacing w:val="-83"/>
        </w:rPr>
        <w:t xml:space="preserve"> </w:t>
      </w:r>
      <w:r>
        <w:rPr>
          <w:sz w:val="30"/>
          <w:szCs w:val="30"/>
          <w:spacing w:val="-3"/>
        </w:rPr>
        <w:t>自主科研攻关为主。围绕无线通信、无线组网、</w:t>
      </w:r>
      <w:r>
        <w:rPr>
          <w:sz w:val="30"/>
          <w:szCs w:val="30"/>
          <w:spacing w:val="-2"/>
        </w:rPr>
        <w:t>网络架构三大技术领域布局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6G  </w:t>
      </w:r>
      <w:r>
        <w:rPr>
          <w:sz w:val="30"/>
          <w:szCs w:val="30"/>
          <w:spacing w:val="-2"/>
        </w:rPr>
        <w:t>关键技术，包括新型</w:t>
      </w:r>
      <w:r>
        <w:rPr>
          <w:sz w:val="30"/>
          <w:szCs w:val="30"/>
          <w:spacing w:val="-3"/>
        </w:rPr>
        <w:t>网络架构、</w:t>
      </w:r>
      <w:r>
        <w:rPr>
          <w:sz w:val="30"/>
          <w:szCs w:val="30"/>
          <w:spacing w:val="-7"/>
        </w:rPr>
        <w:t>内生</w:t>
      </w:r>
      <w:r>
        <w:rPr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</w:t>
      </w:r>
      <w:r>
        <w:rPr>
          <w:sz w:val="30"/>
          <w:szCs w:val="30"/>
          <w:spacing w:val="-7"/>
        </w:rPr>
        <w:t>、通信感知一体化、异构融合组网、数字孪生网络、超大</w:t>
      </w:r>
      <w:r>
        <w:rPr>
          <w:sz w:val="30"/>
          <w:szCs w:val="30"/>
          <w:spacing w:val="-5"/>
        </w:rPr>
        <w:t>规模</w:t>
      </w:r>
      <w:r>
        <w:rPr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MIMO</w:t>
      </w:r>
      <w:r>
        <w:rPr>
          <w:sz w:val="30"/>
          <w:szCs w:val="30"/>
          <w:spacing w:val="-5"/>
        </w:rPr>
        <w:t>、新型无线传输、内生安全、空天地一体、新型无源</w:t>
      </w:r>
      <w:r>
        <w:rPr>
          <w:sz w:val="30"/>
          <w:szCs w:val="30"/>
        </w:rPr>
        <w:t>物联等。牵头</w:t>
      </w:r>
      <w:r>
        <w:rPr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3GPPR18 </w:t>
      </w:r>
      <w:r>
        <w:rPr>
          <w:sz w:val="30"/>
          <w:szCs w:val="30"/>
        </w:rPr>
        <w:t>项目数已居全球运营商首位。</w:t>
      </w:r>
    </w:p>
    <w:p>
      <w:pPr>
        <w:pStyle w:val="BodyText"/>
        <w:ind w:left="27" w:right="111" w:firstLine="601"/>
        <w:spacing w:before="274" w:line="334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10"/>
        </w:rPr>
        <w:t>产品创新</w:t>
      </w:r>
      <w:r>
        <w:rPr>
          <w:sz w:val="30"/>
          <w:szCs w:val="30"/>
          <w:spacing w:val="-10"/>
        </w:rPr>
        <w:t>：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5G </w:t>
      </w:r>
      <w:r>
        <w:rPr>
          <w:sz w:val="30"/>
          <w:szCs w:val="30"/>
          <w:spacing w:val="-10"/>
        </w:rPr>
        <w:t>新通话。实现全球首通新通话商用网络呼叫，</w:t>
      </w:r>
      <w:r>
        <w:rPr>
          <w:sz w:val="30"/>
          <w:szCs w:val="30"/>
          <w:spacing w:val="-4"/>
        </w:rPr>
        <w:t>不仅提供高清视频通话，还可实现文件分享、位置共享、实时翻</w:t>
      </w:r>
      <w:r>
        <w:rPr>
          <w:sz w:val="30"/>
          <w:szCs w:val="30"/>
          <w:spacing w:val="-8"/>
        </w:rPr>
        <w:t>译等新功能。</w:t>
      </w:r>
    </w:p>
    <w:p>
      <w:pPr>
        <w:pStyle w:val="BodyText"/>
        <w:ind w:left="628"/>
        <w:spacing w:before="271" w:line="220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产业生态</w:t>
      </w:r>
      <w:r>
        <w:rPr>
          <w:sz w:val="30"/>
          <w:szCs w:val="30"/>
          <w:spacing w:val="-6"/>
        </w:rPr>
        <w:t>：携手华为、联想、上海诺基亚贝尔等十余家合作</w:t>
      </w:r>
    </w:p>
    <w:p>
      <w:pPr>
        <w:spacing w:line="220" w:lineRule="auto"/>
        <w:sectPr>
          <w:pgSz w:w="11907" w:h="16839"/>
          <w:pgMar w:top="1431" w:right="1687" w:bottom="0" w:left="1785" w:header="0" w:footer="0" w:gutter="0"/>
        </w:sectPr>
        <w:rPr>
          <w:sz w:val="30"/>
          <w:szCs w:val="30"/>
        </w:rPr>
      </w:pPr>
    </w:p>
    <w:p>
      <w:pPr>
        <w:pStyle w:val="BodyText"/>
        <w:ind w:left="26" w:right="245" w:firstLine="1"/>
        <w:spacing w:before="184" w:line="334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伙伴，围绕</w:t>
      </w:r>
      <w:r>
        <w:rPr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6G  </w:t>
      </w:r>
      <w:r>
        <w:rPr>
          <w:sz w:val="30"/>
          <w:szCs w:val="30"/>
          <w:spacing w:val="-7"/>
        </w:rPr>
        <w:t>潜在关键技术发布系列白皮书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3</w:t>
      </w:r>
      <w:r>
        <w:rPr>
          <w:sz w:val="30"/>
          <w:szCs w:val="30"/>
          <w:spacing w:val="-7"/>
        </w:rPr>
        <w:t>，并向全球发出共</w:t>
      </w:r>
      <w:r>
        <w:rPr>
          <w:sz w:val="30"/>
          <w:szCs w:val="30"/>
          <w:spacing w:val="-3"/>
        </w:rPr>
        <w:t>推全球统一标准、加快培育</w:t>
      </w:r>
      <w:r>
        <w:rPr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6G </w:t>
      </w:r>
      <w:r>
        <w:rPr>
          <w:sz w:val="30"/>
          <w:szCs w:val="30"/>
          <w:spacing w:val="-3"/>
        </w:rPr>
        <w:t>产业生态的合作倡议。</w:t>
      </w:r>
    </w:p>
    <w:p>
      <w:pPr>
        <w:pStyle w:val="BodyText"/>
        <w:ind w:left="627"/>
        <w:spacing w:before="271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5</w:t>
      </w:r>
      <w:r>
        <w:rPr>
          <w:sz w:val="30"/>
          <w:szCs w:val="30"/>
          <w:b/>
          <w:bCs/>
          <w:spacing w:val="-3"/>
        </w:rPr>
        <w:t>．量子产业：超前布局量子计算及云平台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8" w:right="232" w:firstLine="601"/>
        <w:spacing w:before="97" w:line="33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技术布局</w:t>
      </w:r>
      <w:r>
        <w:rPr>
          <w:sz w:val="30"/>
          <w:szCs w:val="30"/>
          <w:spacing w:val="-5"/>
        </w:rPr>
        <w:t>：推进量子计算与经典计算融合。挂牌成立量子计</w:t>
      </w:r>
      <w:r>
        <w:rPr>
          <w:sz w:val="30"/>
          <w:szCs w:val="30"/>
          <w:spacing w:val="-3"/>
        </w:rPr>
        <w:t>算实验室，开展量子计算算法、云平台和评测体系研究。</w:t>
      </w:r>
    </w:p>
    <w:p>
      <w:pPr>
        <w:pStyle w:val="BodyText"/>
        <w:ind w:left="25" w:firstLine="603"/>
        <w:spacing w:before="275" w:line="334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产品创新</w:t>
      </w:r>
      <w:r>
        <w:rPr>
          <w:sz w:val="30"/>
          <w:szCs w:val="30"/>
          <w:spacing w:val="-5"/>
        </w:rPr>
        <w:t>：发布“五岳”量子云平台。实现量子与通用算力</w:t>
      </w:r>
      <w:r>
        <w:rPr>
          <w:sz w:val="30"/>
          <w:szCs w:val="30"/>
          <w:spacing w:val="-6"/>
        </w:rPr>
        <w:t>统一纳管与混合调度，支持量子算法与量子模拟计算等量子应用，</w:t>
      </w:r>
      <w:r>
        <w:rPr>
          <w:sz w:val="30"/>
          <w:szCs w:val="30"/>
          <w:spacing w:val="-4"/>
        </w:rPr>
        <w:t>解决人工智能、生物医药、智能交通、航天航空等领域复杂计算</w:t>
      </w:r>
      <w:r>
        <w:rPr>
          <w:sz w:val="30"/>
          <w:szCs w:val="30"/>
          <w:spacing w:val="-12"/>
        </w:rPr>
        <w:t>问题。</w:t>
      </w:r>
    </w:p>
    <w:p>
      <w:pPr>
        <w:pStyle w:val="BodyText"/>
        <w:ind w:left="25" w:right="232" w:firstLine="603"/>
        <w:spacing w:before="269" w:line="334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10"/>
        </w:rPr>
        <w:t>产业生态</w:t>
      </w:r>
      <w:r>
        <w:rPr>
          <w:sz w:val="30"/>
          <w:szCs w:val="30"/>
          <w:spacing w:val="-10"/>
        </w:rPr>
        <w:t>：投资玻色量子、华翊量子初创企业； 战略合作本</w:t>
      </w:r>
      <w:r>
        <w:rPr>
          <w:sz w:val="30"/>
          <w:szCs w:val="30"/>
          <w:spacing w:val="-4"/>
        </w:rPr>
        <w:t>源量子、启科量子。打造基于移动云的全栈式量子计算云服务系</w:t>
      </w:r>
      <w:r>
        <w:rPr>
          <w:sz w:val="30"/>
          <w:szCs w:val="30"/>
          <w:spacing w:val="-2"/>
        </w:rPr>
        <w:t>统，提供量子软件、量子物理真机和量子计算解决</w:t>
      </w:r>
      <w:r>
        <w:rPr>
          <w:sz w:val="30"/>
          <w:szCs w:val="30"/>
          <w:spacing w:val="-3"/>
        </w:rPr>
        <w:t>方案。</w:t>
      </w:r>
    </w:p>
    <w:p>
      <w:pPr>
        <w:pStyle w:val="BodyText"/>
        <w:ind w:left="627"/>
        <w:spacing w:before="272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6</w:t>
      </w:r>
      <w:r>
        <w:rPr>
          <w:sz w:val="30"/>
          <w:szCs w:val="30"/>
          <w:b/>
          <w:bCs/>
          <w:spacing w:val="-3"/>
        </w:rPr>
        <w:t>．数字平台：</w:t>
      </w:r>
      <w:r>
        <w:rPr>
          <w:sz w:val="30"/>
          <w:szCs w:val="30"/>
          <w:spacing w:val="-3"/>
        </w:rPr>
        <w:t xml:space="preserve"> </w:t>
      </w:r>
      <w:r>
        <w:rPr>
          <w:sz w:val="30"/>
          <w:szCs w:val="30"/>
          <w:b/>
          <w:bCs/>
          <w:spacing w:val="-3"/>
        </w:rPr>
        <w:t>统一开放门户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1" w:right="229" w:firstLine="598"/>
        <w:spacing w:before="98" w:line="335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技术布局</w:t>
      </w:r>
      <w:r>
        <w:rPr>
          <w:sz w:val="30"/>
          <w:szCs w:val="30"/>
          <w:spacing w:val="-3"/>
        </w:rPr>
        <w:t>：依托“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AaaS+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sz w:val="30"/>
          <w:szCs w:val="30"/>
          <w:spacing w:val="-3"/>
        </w:rPr>
        <w:t>”行动计划，打造国家级、产业级</w:t>
      </w:r>
      <w:r>
        <w:rPr>
          <w:sz w:val="30"/>
          <w:szCs w:val="30"/>
          <w:spacing w:val="-17"/>
        </w:rPr>
        <w:t>能力中台。推动更多优质能力“引进来</w:t>
      </w:r>
      <w:r>
        <w:rPr>
          <w:sz w:val="30"/>
          <w:szCs w:val="30"/>
          <w:spacing w:val="-105"/>
        </w:rPr>
        <w:t xml:space="preserve"> </w:t>
      </w:r>
      <w:r>
        <w:rPr>
          <w:sz w:val="30"/>
          <w:szCs w:val="30"/>
          <w:spacing w:val="-17"/>
        </w:rPr>
        <w:t>”和“走出去</w:t>
      </w:r>
      <w:r>
        <w:rPr>
          <w:sz w:val="30"/>
          <w:szCs w:val="30"/>
          <w:spacing w:val="-110"/>
        </w:rPr>
        <w:t xml:space="preserve"> </w:t>
      </w:r>
      <w:r>
        <w:rPr>
          <w:sz w:val="30"/>
          <w:szCs w:val="30"/>
          <w:spacing w:val="-17"/>
        </w:rPr>
        <w:t>”，将依托能</w:t>
      </w:r>
      <w:r>
        <w:rPr>
          <w:sz w:val="30"/>
          <w:szCs w:val="30"/>
          <w:spacing w:val="-4"/>
        </w:rPr>
        <w:t>力中台架构实践，制定中台行业标准。</w:t>
      </w:r>
    </w:p>
    <w:p>
      <w:pPr>
        <w:pStyle w:val="BodyText"/>
        <w:ind w:left="20" w:right="152" w:firstLine="607"/>
        <w:spacing w:before="272" w:line="336" w:lineRule="auto"/>
        <w:jc w:val="both"/>
        <w:rPr>
          <w:sz w:val="30"/>
          <w:szCs w:val="30"/>
        </w:rPr>
      </w:pPr>
      <w:r>
        <w:pict>
          <v:shape id="_x0000_s6" style="position:absolute;margin-left:0.72599pt;margin-top:124.164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>
        <w:rPr>
          <w:sz w:val="30"/>
          <w:szCs w:val="30"/>
          <w:b/>
          <w:bCs/>
          <w:spacing w:val="-5"/>
        </w:rPr>
        <w:t>产品创新</w:t>
      </w:r>
      <w:r>
        <w:rPr>
          <w:sz w:val="30"/>
          <w:szCs w:val="30"/>
          <w:spacing w:val="-5"/>
        </w:rPr>
        <w:t>：能力中台封装中国移动及业界在数据、技术、业</w:t>
      </w:r>
      <w:r>
        <w:rPr>
          <w:sz w:val="30"/>
          <w:szCs w:val="30"/>
          <w:spacing w:val="-1"/>
        </w:rPr>
        <w:t>务等领域的优质能力，面向开发者、使用者提供多种服务模式，</w:t>
      </w:r>
      <w:r>
        <w:rPr>
          <w:sz w:val="30"/>
          <w:szCs w:val="30"/>
          <w:spacing w:val="-1"/>
        </w:rPr>
        <w:t>全社会开放。目前上台能力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970+</w:t>
      </w:r>
      <w:r>
        <w:rPr>
          <w:rFonts w:ascii="Times New Roman" w:hAnsi="Times New Roman" w:eastAsia="Times New Roman" w:cs="Times New Roman"/>
          <w:sz w:val="30"/>
          <w:szCs w:val="30"/>
          <w:spacing w:val="-40"/>
        </w:rPr>
        <w:t xml:space="preserve"> </w:t>
      </w:r>
      <w:r>
        <w:rPr>
          <w:sz w:val="30"/>
          <w:szCs w:val="30"/>
          <w:spacing w:val="-1"/>
        </w:rPr>
        <w:t>，政企客户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000+</w:t>
      </w:r>
      <w:r>
        <w:rPr>
          <w:sz w:val="30"/>
          <w:szCs w:val="30"/>
          <w:spacing w:val="-2"/>
        </w:rPr>
        <w:t>，赋能场景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2000+</w:t>
      </w:r>
      <w:r>
        <w:rPr>
          <w:sz w:val="30"/>
          <w:szCs w:val="30"/>
          <w:spacing w:val="-2"/>
        </w:rPr>
        <w:t>，月调用量</w:t>
      </w:r>
      <w:r>
        <w:rPr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430 </w:t>
      </w:r>
      <w:r>
        <w:rPr>
          <w:sz w:val="30"/>
          <w:szCs w:val="30"/>
          <w:spacing w:val="-2"/>
        </w:rPr>
        <w:t>亿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</w:t>
      </w:r>
      <w:r>
        <w:rPr>
          <w:rFonts w:ascii="Times New Roman" w:hAnsi="Times New Roman" w:eastAsia="Times New Roman" w:cs="Times New Roman"/>
          <w:sz w:val="30"/>
          <w:szCs w:val="30"/>
          <w:spacing w:val="-40"/>
        </w:rPr>
        <w:t xml:space="preserve"> </w:t>
      </w:r>
      <w:r>
        <w:rPr>
          <w:sz w:val="30"/>
          <w:szCs w:val="30"/>
          <w:spacing w:val="-2"/>
        </w:rPr>
        <w:t>，直接价值近</w:t>
      </w:r>
      <w:r>
        <w:rPr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300 </w:t>
      </w:r>
      <w:r>
        <w:rPr>
          <w:sz w:val="30"/>
          <w:szCs w:val="30"/>
          <w:spacing w:val="-2"/>
        </w:rPr>
        <w:t>亿元。</w:t>
      </w:r>
    </w:p>
    <w:p>
      <w:pPr>
        <w:pStyle w:val="BodyText"/>
        <w:ind w:left="53" w:right="294" w:hanging="34"/>
        <w:spacing w:before="174" w:line="244" w:lineRule="auto"/>
        <w:rPr/>
      </w:pPr>
      <w:r>
        <w:rPr>
          <w:rFonts w:ascii="DengXian" w:hAnsi="DengXian" w:eastAsia="DengXian" w:cs="DengXian"/>
          <w:sz w:val="11"/>
          <w:szCs w:val="11"/>
          <w:spacing w:val="-5"/>
          <w:position w:val="10"/>
        </w:rPr>
        <w:t>3    </w:t>
      </w:r>
      <w:r>
        <w:rPr>
          <w:spacing w:val="-5"/>
        </w:rPr>
        <w:t>系列白皮书包括：《网络协作通感一体化技术白皮书》《面向网络协作的智</w:t>
      </w:r>
      <w:r>
        <w:rPr>
          <w:spacing w:val="-6"/>
        </w:rPr>
        <w:t>能超表面技术</w:t>
      </w:r>
      <w:r>
        <w:rPr>
          <w:spacing w:val="-12"/>
        </w:rPr>
        <w:t>白皮书》《6G</w:t>
      </w:r>
      <w:r>
        <w:rPr>
          <w:spacing w:val="-37"/>
        </w:rPr>
        <w:t xml:space="preserve"> </w:t>
      </w:r>
      <w:r>
        <w:rPr>
          <w:spacing w:val="-12"/>
        </w:rPr>
        <w:t>新型多址接入技术白皮书》、《6G</w:t>
      </w:r>
      <w:r>
        <w:rPr>
          <w:spacing w:val="-44"/>
        </w:rPr>
        <w:t xml:space="preserve"> </w:t>
      </w:r>
      <w:r>
        <w:rPr>
          <w:spacing w:val="-12"/>
        </w:rPr>
        <w:t>服务化</w:t>
      </w:r>
      <w:r>
        <w:rPr>
          <w:spacing w:val="-46"/>
        </w:rPr>
        <w:t xml:space="preserve"> </w:t>
      </w:r>
      <w:r>
        <w:rPr>
          <w:spacing w:val="-12"/>
        </w:rPr>
        <w:t>RAN 白皮书</w:t>
      </w:r>
      <w:r>
        <w:rPr>
          <w:spacing w:val="-41"/>
        </w:rPr>
        <w:t xml:space="preserve"> </w:t>
      </w:r>
      <w:r>
        <w:rPr>
          <w:spacing w:val="-12"/>
        </w:rPr>
        <w:t>2.0》《广域微域融合技术</w:t>
      </w:r>
      <w:r>
        <w:rPr>
          <w:spacing w:val="-23"/>
        </w:rPr>
        <w:t>白皮书》。</w:t>
      </w:r>
    </w:p>
    <w:p>
      <w:pPr>
        <w:spacing w:line="244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8" w:right="10" w:firstLine="599"/>
        <w:spacing w:before="181" w:line="330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产业生态</w:t>
      </w:r>
      <w:r>
        <w:rPr>
          <w:sz w:val="30"/>
          <w:szCs w:val="30"/>
          <w:spacing w:val="-5"/>
        </w:rPr>
        <w:t>：拉通华为、中兴、亚信、科大讯飞、腾讯、阿里</w:t>
      </w:r>
      <w:r>
        <w:rPr>
          <w:sz w:val="30"/>
          <w:szCs w:val="30"/>
          <w:spacing w:val="-3"/>
        </w:rPr>
        <w:t>等</w:t>
      </w:r>
      <w:r>
        <w:rPr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1000+</w:t>
      </w:r>
      <w:r>
        <w:rPr>
          <w:sz w:val="30"/>
          <w:szCs w:val="30"/>
          <w:spacing w:val="-3"/>
        </w:rPr>
        <w:t>产业链伙伴，构建中央厨房式中台开放模式，促进中台</w:t>
      </w:r>
      <w:r>
        <w:rPr>
          <w:sz w:val="30"/>
          <w:szCs w:val="30"/>
          <w:spacing w:val="-7"/>
        </w:rPr>
        <w:t>能力高价值转化。</w:t>
      </w:r>
    </w:p>
    <w:p>
      <w:pPr>
        <w:pStyle w:val="BodyText"/>
        <w:ind w:left="627"/>
        <w:spacing w:before="292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7</w:t>
      </w:r>
      <w:r>
        <w:rPr>
          <w:sz w:val="30"/>
          <w:szCs w:val="30"/>
          <w:b/>
          <w:bCs/>
          <w:spacing w:val="-3"/>
        </w:rPr>
        <w:t>．安全：内生安全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right="12" w:firstLine="603"/>
        <w:spacing w:before="97" w:line="335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技术布局</w:t>
      </w:r>
      <w:r>
        <w:rPr>
          <w:sz w:val="30"/>
          <w:szCs w:val="30"/>
          <w:spacing w:val="-5"/>
        </w:rPr>
        <w:t>：建强网络安全主动防御体系，打造一体化全程可</w:t>
      </w:r>
      <w:r>
        <w:rPr>
          <w:sz w:val="30"/>
          <w:szCs w:val="30"/>
          <w:spacing w:val="-10"/>
        </w:rPr>
        <w:t>信能力，在</w:t>
      </w:r>
      <w:r>
        <w:rPr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5G-A/6G</w:t>
      </w:r>
      <w:r>
        <w:rPr>
          <w:sz w:val="30"/>
          <w:szCs w:val="30"/>
          <w:spacing w:val="-10"/>
        </w:rPr>
        <w:t>、算力网络、</w:t>
      </w:r>
      <w:r>
        <w:rPr>
          <w:sz w:val="30"/>
          <w:szCs w:val="3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SIM </w:t>
      </w:r>
      <w:r>
        <w:rPr>
          <w:sz w:val="30"/>
          <w:szCs w:val="30"/>
          <w:spacing w:val="-10"/>
        </w:rPr>
        <w:t>认证等领域，实现内生安</w:t>
      </w:r>
      <w:r>
        <w:rPr>
          <w:sz w:val="30"/>
          <w:szCs w:val="30"/>
          <w:spacing w:val="-11"/>
        </w:rPr>
        <w:t>全突破。</w:t>
      </w:r>
    </w:p>
    <w:p>
      <w:pPr>
        <w:pStyle w:val="BodyText"/>
        <w:ind w:left="27" w:right="15" w:firstLine="601"/>
        <w:spacing w:before="265" w:line="33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产品创新</w:t>
      </w:r>
      <w:r>
        <w:rPr>
          <w:sz w:val="30"/>
          <w:szCs w:val="30"/>
          <w:spacing w:val="-5"/>
        </w:rPr>
        <w:t>：针对云计算、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</w:t>
      </w:r>
      <w:r>
        <w:rPr>
          <w:sz w:val="30"/>
          <w:szCs w:val="30"/>
          <w:spacing w:val="-5"/>
        </w:rPr>
        <w:t>、大数据、新一代信</w:t>
      </w:r>
      <w:r>
        <w:rPr>
          <w:sz w:val="30"/>
          <w:szCs w:val="30"/>
          <w:spacing w:val="-6"/>
        </w:rPr>
        <w:t>息通信、量</w:t>
      </w:r>
      <w:r>
        <w:rPr>
          <w:sz w:val="30"/>
          <w:szCs w:val="30"/>
          <w:spacing w:val="-15"/>
        </w:rPr>
        <w:t>子、数字平台等战新业务，</w:t>
      </w:r>
      <w:r>
        <w:rPr>
          <w:sz w:val="30"/>
          <w:szCs w:val="30"/>
          <w:spacing w:val="-64"/>
        </w:rPr>
        <w:t xml:space="preserve"> </w:t>
      </w:r>
      <w:r>
        <w:rPr>
          <w:sz w:val="30"/>
          <w:szCs w:val="30"/>
          <w:spacing w:val="-15"/>
        </w:rPr>
        <w:t>出台超级</w:t>
      </w:r>
      <w:r>
        <w:rPr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SIM</w:t>
      </w:r>
      <w:r>
        <w:rPr>
          <w:sz w:val="30"/>
          <w:szCs w:val="30"/>
          <w:spacing w:val="-15"/>
        </w:rPr>
        <w:t>、抗</w:t>
      </w:r>
      <w:r>
        <w:rPr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DDoS</w:t>
      </w:r>
      <w:r>
        <w:rPr>
          <w:sz w:val="30"/>
          <w:szCs w:val="30"/>
          <w:spacing w:val="-15"/>
        </w:rPr>
        <w:t>、安全专网、</w:t>
      </w:r>
      <w:r>
        <w:rPr>
          <w:sz w:val="30"/>
          <w:szCs w:val="30"/>
          <w:spacing w:val="-4"/>
        </w:rPr>
        <w:t>反诈态势平台、量子加密等安全产品。</w:t>
      </w:r>
    </w:p>
    <w:p>
      <w:pPr>
        <w:pStyle w:val="BodyText"/>
        <w:ind w:left="26" w:right="10" w:firstLine="602"/>
        <w:spacing w:before="283" w:line="338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产业生态</w:t>
      </w:r>
      <w:r>
        <w:rPr>
          <w:sz w:val="30"/>
          <w:szCs w:val="30"/>
          <w:spacing w:val="-3"/>
        </w:rPr>
        <w:t>：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55"/>
        </w:rPr>
        <w:t xml:space="preserve"> </w:t>
      </w:r>
      <w:r>
        <w:rPr>
          <w:sz w:val="30"/>
          <w:szCs w:val="30"/>
          <w:spacing w:val="-3"/>
        </w:rPr>
        <w:t>年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sz w:val="30"/>
          <w:szCs w:val="30"/>
          <w:spacing w:val="-3"/>
        </w:rPr>
        <w:t>月，战略性投资收购网安企业启</w:t>
      </w:r>
      <w:r>
        <w:rPr>
          <w:sz w:val="30"/>
          <w:szCs w:val="30"/>
          <w:spacing w:val="-4"/>
        </w:rPr>
        <w:t>明星</w:t>
      </w:r>
      <w:r>
        <w:rPr>
          <w:sz w:val="30"/>
          <w:szCs w:val="30"/>
        </w:rPr>
        <w:t>辰，双方已在总部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sz w:val="30"/>
          <w:szCs w:val="30"/>
        </w:rPr>
        <w:t>省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sz w:val="30"/>
          <w:szCs w:val="30"/>
        </w:rPr>
        <w:t>市三级全面对接，共享客情、</w:t>
      </w:r>
      <w:r>
        <w:rPr>
          <w:sz w:val="30"/>
          <w:szCs w:val="30"/>
          <w:spacing w:val="-1"/>
        </w:rPr>
        <w:t>联合拓展安</w:t>
      </w:r>
      <w:r>
        <w:rPr>
          <w:sz w:val="30"/>
          <w:szCs w:val="30"/>
          <w:spacing w:val="-1"/>
        </w:rPr>
        <w:t>全业务，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2025 </w:t>
      </w:r>
      <w:r>
        <w:rPr>
          <w:sz w:val="30"/>
          <w:szCs w:val="30"/>
          <w:spacing w:val="-1"/>
        </w:rPr>
        <w:t>年目标省份覆盖率达到</w:t>
      </w:r>
      <w:r>
        <w:rPr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70%</w:t>
      </w:r>
      <w:r>
        <w:rPr>
          <w:sz w:val="30"/>
          <w:szCs w:val="30"/>
          <w:spacing w:val="-1"/>
        </w:rPr>
        <w:t>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二、“时空”二维对中国电信战新推进思考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25" w:right="9" w:firstLine="595"/>
        <w:spacing w:before="98" w:line="333" w:lineRule="auto"/>
        <w:jc w:val="both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2023 </w:t>
      </w:r>
      <w:r>
        <w:rPr>
          <w:sz w:val="30"/>
          <w:szCs w:val="30"/>
          <w:spacing w:val="-7"/>
        </w:rPr>
        <w:t>年</w:t>
      </w:r>
      <w:r>
        <w:rPr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sz w:val="30"/>
          <w:szCs w:val="30"/>
          <w:spacing w:val="-7"/>
        </w:rPr>
        <w:t>月，国资委召开“中央企业加快发展</w:t>
      </w:r>
      <w:r>
        <w:rPr>
          <w:sz w:val="30"/>
          <w:szCs w:val="30"/>
          <w:spacing w:val="-8"/>
        </w:rPr>
        <w:t>战略性新兴产</w:t>
      </w:r>
      <w:r>
        <w:rPr>
          <w:sz w:val="30"/>
          <w:szCs w:val="30"/>
          <w:spacing w:val="-5"/>
        </w:rPr>
        <w:t>业部署会</w:t>
      </w:r>
      <w:r>
        <w:rPr>
          <w:sz w:val="30"/>
          <w:szCs w:val="30"/>
          <w:spacing w:val="-110"/>
        </w:rPr>
        <w:t xml:space="preserve"> </w:t>
      </w:r>
      <w:r>
        <w:rPr>
          <w:sz w:val="30"/>
          <w:szCs w:val="30"/>
          <w:spacing w:val="-5"/>
        </w:rPr>
        <w:t>”以来，中国移动推进技术研发、产品创</w:t>
      </w:r>
      <w:r>
        <w:rPr>
          <w:sz w:val="30"/>
          <w:szCs w:val="30"/>
          <w:spacing w:val="-6"/>
        </w:rPr>
        <w:t>新和生态构建</w:t>
      </w:r>
      <w:r>
        <w:rPr>
          <w:sz w:val="30"/>
          <w:szCs w:val="30"/>
          <w:spacing w:val="-1"/>
        </w:rPr>
        <w:t>并行发力。通信行业正从</w:t>
      </w:r>
      <w:r>
        <w:rPr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4G </w:t>
      </w:r>
      <w:r>
        <w:rPr>
          <w:sz w:val="30"/>
          <w:szCs w:val="30"/>
          <w:spacing w:val="-1"/>
        </w:rPr>
        <w:t>流量竞争，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sz w:val="30"/>
          <w:szCs w:val="30"/>
          <w:spacing w:val="-1"/>
        </w:rPr>
        <w:t>产数竞争演进到</w:t>
      </w:r>
      <w:r>
        <w:rPr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sz w:val="30"/>
          <w:szCs w:val="30"/>
          <w:spacing w:val="-8"/>
        </w:rPr>
        <w:t>后时代的战新竞争。战新产业发展是高水平原创技术驱动，</w:t>
      </w:r>
      <w:r>
        <w:rPr>
          <w:sz w:val="30"/>
          <w:szCs w:val="30"/>
          <w:spacing w:val="-34"/>
        </w:rPr>
        <w:t xml:space="preserve"> </w:t>
      </w:r>
      <w:r>
        <w:rPr>
          <w:sz w:val="30"/>
          <w:szCs w:val="30"/>
          <w:spacing w:val="-8"/>
        </w:rPr>
        <w:t>价值</w:t>
      </w:r>
      <w:r>
        <w:rPr>
          <w:sz w:val="30"/>
          <w:szCs w:val="30"/>
          <w:spacing w:val="-4"/>
        </w:rPr>
        <w:t>变现周期长，前期投资风险大，需要从时间和空间两个维度做好</w:t>
      </w:r>
      <w:r>
        <w:rPr>
          <w:sz w:val="30"/>
          <w:szCs w:val="30"/>
          <w:spacing w:val="-6"/>
        </w:rPr>
        <w:t>中长期布局规划。</w:t>
      </w:r>
    </w:p>
    <w:p>
      <w:pPr>
        <w:pStyle w:val="BodyText"/>
        <w:ind w:left="636"/>
        <w:spacing w:before="277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sz w:val="30"/>
          <w:szCs w:val="30"/>
          <w:b/>
          <w:bCs/>
          <w:spacing w:val="-4"/>
        </w:rPr>
        <w:t>．时间维度：基于技术成熟周期分步推进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>
          <w:sz w:val="30"/>
          <w:szCs w:val="30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5" w:right="12" w:firstLine="599"/>
        <w:spacing w:before="97" w:line="315" w:lineRule="auto"/>
        <w:jc w:val="both"/>
        <w:rPr>
          <w:sz w:val="30"/>
          <w:szCs w:val="30"/>
        </w:rPr>
      </w:pPr>
      <w:r>
        <w:rPr>
          <w:sz w:val="30"/>
          <w:szCs w:val="30"/>
          <w:spacing w:val="2"/>
        </w:rPr>
        <w:t>七大战新产业技术成熟度的显著差异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4</w:t>
      </w:r>
      <w:r>
        <w:rPr>
          <w:sz w:val="30"/>
          <w:szCs w:val="30"/>
          <w:spacing w:val="2"/>
        </w:rPr>
        <w:t>，直接</w:t>
      </w:r>
      <w:r>
        <w:rPr>
          <w:sz w:val="30"/>
          <w:szCs w:val="30"/>
          <w:spacing w:val="1"/>
        </w:rPr>
        <w:t>影响收入变现</w:t>
      </w:r>
      <w:r>
        <w:rPr>
          <w:sz w:val="30"/>
          <w:szCs w:val="30"/>
          <w:spacing w:val="-11"/>
        </w:rPr>
        <w:t>周期。截至</w:t>
      </w:r>
      <w:r>
        <w:rPr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sz w:val="30"/>
          <w:szCs w:val="30"/>
          <w:spacing w:val="-11"/>
        </w:rPr>
        <w:t>月底集团连接（语音、流量）</w:t>
      </w:r>
      <w:r>
        <w:rPr>
          <w:sz w:val="30"/>
          <w:szCs w:val="30"/>
          <w:spacing w:val="73"/>
        </w:rPr>
        <w:t xml:space="preserve"> </w:t>
      </w:r>
      <w:r>
        <w:rPr>
          <w:sz w:val="30"/>
          <w:szCs w:val="30"/>
          <w:spacing w:val="-11"/>
        </w:rPr>
        <w:t>占总收入比约为</w:t>
      </w:r>
      <w:r>
        <w:rPr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1/3,</w:t>
      </w:r>
      <w:r>
        <w:rPr>
          <w:sz w:val="30"/>
          <w:szCs w:val="30"/>
          <w:spacing w:val="-18"/>
        </w:rPr>
        <w:t>云计算约为</w:t>
      </w:r>
      <w:r>
        <w:rPr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10%</w:t>
      </w:r>
      <w:r>
        <w:rPr>
          <w:sz w:val="30"/>
          <w:szCs w:val="30"/>
          <w:spacing w:val="-18"/>
        </w:rPr>
        <w:t>，其他业务占比</w:t>
      </w:r>
      <w:r>
        <w:rPr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0.1%</w:t>
      </w:r>
      <w:r>
        <w:rPr>
          <w:sz w:val="30"/>
          <w:szCs w:val="30"/>
          <w:spacing w:val="-18"/>
        </w:rPr>
        <w:t>左右。要立足“守正创新”，</w:t>
      </w:r>
      <w:r>
        <w:rPr>
          <w:sz w:val="30"/>
          <w:szCs w:val="30"/>
          <w:spacing w:val="-4"/>
        </w:rPr>
        <w:t>构建以新一代信息通信为根基，以云计算计算力为牵引，以大数</w:t>
      </w:r>
      <w:r>
        <w:rPr>
          <w:sz w:val="30"/>
          <w:szCs w:val="30"/>
        </w:rPr>
        <w:t>据、人工智能、安全、量子、数字平台为助力的“</w:t>
      </w:r>
      <w:r>
        <w:rPr>
          <w:rFonts w:ascii="Times New Roman" w:hAnsi="Times New Roman" w:eastAsia="Times New Roman" w:cs="Times New Roman"/>
          <w:sz w:val="30"/>
          <w:szCs w:val="30"/>
        </w:rPr>
        <w:t>1+1+5</w:t>
      </w:r>
      <w:r>
        <w:rPr>
          <w:sz w:val="30"/>
          <w:szCs w:val="30"/>
        </w:rPr>
        <w:t>”分布</w:t>
      </w:r>
      <w:r>
        <w:rPr>
          <w:sz w:val="30"/>
          <w:szCs w:val="30"/>
          <w:spacing w:val="-2"/>
        </w:rPr>
        <w:t>推进模式，形成“现金牛业务”和“明星业务”的协调发展。</w:t>
      </w:r>
    </w:p>
    <w:tbl>
      <w:tblPr>
        <w:tblStyle w:val="TableNormal"/>
        <w:tblW w:w="8166" w:type="dxa"/>
        <w:tblInd w:w="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8"/>
        <w:gridCol w:w="7398"/>
      </w:tblGrid>
      <w:tr>
        <w:trPr>
          <w:trHeight w:val="514" w:hRule="atLeast"/>
        </w:trPr>
        <w:tc>
          <w:tcPr>
            <w:tcW w:w="8166" w:type="dxa"/>
            <w:vAlign w:val="top"/>
            <w:gridSpan w:val="2"/>
            <w:tcBorders>
              <w:left w:val="single" w:color="D9D9D9" w:sz="4" w:space="0"/>
              <w:right w:val="single" w:color="D9D9D9" w:sz="4" w:space="0"/>
              <w:top w:val="single" w:color="D9D9D9" w:sz="2" w:space="0"/>
            </w:tcBorders>
          </w:tcPr>
          <w:p>
            <w:pPr>
              <w:ind w:left="2651"/>
              <w:spacing w:before="184" w:line="224" w:lineRule="auto"/>
              <w:rPr>
                <w:rFonts w:ascii="DengXian" w:hAnsi="DengXian" w:eastAsia="DengXian" w:cs="DengXian"/>
                <w:sz w:val="24"/>
                <w:szCs w:val="24"/>
              </w:rPr>
            </w:pPr>
            <w:r>
              <w:rPr>
                <w:rFonts w:ascii="DengXian" w:hAnsi="DengXian" w:eastAsia="DengXian" w:cs="DengXian"/>
                <w:sz w:val="24"/>
                <w:szCs w:val="24"/>
                <w:color w:val="595959"/>
                <w:spacing w:val="-1"/>
              </w:rPr>
              <w:t>麦肯锡战新产业技术成熟度</w:t>
            </w:r>
          </w:p>
        </w:tc>
      </w:tr>
      <w:tr>
        <w:trPr>
          <w:trHeight w:val="1716" w:hRule="atLeast"/>
        </w:trPr>
        <w:tc>
          <w:tcPr>
            <w:tcW w:w="768" w:type="dxa"/>
            <w:vAlign w:val="top"/>
            <w:tcBorders>
              <w:left w:val="single" w:color="D9D9D9" w:sz="4" w:space="0"/>
            </w:tcBorders>
          </w:tcPr>
          <w:p>
            <w:pPr>
              <w:pStyle w:val="TableText"/>
              <w:ind w:left="452"/>
              <w:spacing w:before="122" w:line="181" w:lineRule="auto"/>
              <w:rPr/>
            </w:pPr>
            <w:r>
              <w:rPr>
                <w:color w:val="595959"/>
                <w:spacing w:val="-1"/>
              </w:rPr>
              <w:t>4.5</w:t>
            </w:r>
          </w:p>
          <w:p>
            <w:pPr>
              <w:pStyle w:val="TableText"/>
              <w:ind w:left="589"/>
              <w:spacing w:line="165" w:lineRule="auto"/>
              <w:rPr/>
            </w:pPr>
            <w:r>
              <w:rPr>
                <w:color w:val="595959"/>
              </w:rPr>
              <w:t>4</w:t>
            </w:r>
          </w:p>
          <w:p>
            <w:pPr>
              <w:pStyle w:val="TableText"/>
              <w:ind w:left="457"/>
              <w:spacing w:line="165" w:lineRule="auto"/>
              <w:rPr/>
            </w:pPr>
            <w:r>
              <w:rPr>
                <w:color w:val="595959"/>
                <w:spacing w:val="-2"/>
              </w:rPr>
              <w:t>3.5</w:t>
            </w:r>
          </w:p>
          <w:p>
            <w:pPr>
              <w:pStyle w:val="TableText"/>
              <w:ind w:left="594"/>
              <w:spacing w:line="166" w:lineRule="auto"/>
              <w:rPr/>
            </w:pPr>
            <w:r>
              <w:rPr>
                <w:color w:val="595959"/>
              </w:rPr>
              <w:t>3</w:t>
            </w:r>
          </w:p>
          <w:p>
            <w:pPr>
              <w:pStyle w:val="TableText"/>
              <w:ind w:left="458"/>
              <w:spacing w:before="1" w:line="165" w:lineRule="auto"/>
              <w:rPr/>
            </w:pPr>
            <w:r>
              <w:rPr>
                <w:color w:val="595959"/>
                <w:spacing w:val="-3"/>
              </w:rPr>
              <w:t>2.5</w:t>
            </w:r>
          </w:p>
          <w:p>
            <w:pPr>
              <w:pStyle w:val="TableText"/>
              <w:ind w:left="595"/>
              <w:spacing w:line="165" w:lineRule="auto"/>
              <w:rPr/>
            </w:pPr>
            <w:r>
              <w:rPr>
                <w:color w:val="595959"/>
              </w:rPr>
              <w:t>2</w:t>
            </w:r>
          </w:p>
          <w:p>
            <w:pPr>
              <w:pStyle w:val="TableText"/>
              <w:ind w:left="464"/>
              <w:spacing w:before="1" w:line="165" w:lineRule="auto"/>
              <w:rPr/>
            </w:pPr>
            <w:r>
              <w:rPr>
                <w:color w:val="595959"/>
                <w:spacing w:val="-4"/>
              </w:rPr>
              <w:t>1.5</w:t>
            </w:r>
          </w:p>
          <w:p>
            <w:pPr>
              <w:pStyle w:val="TableText"/>
              <w:ind w:left="600"/>
              <w:spacing w:line="166" w:lineRule="auto"/>
              <w:rPr/>
            </w:pPr>
            <w:r>
              <w:rPr>
                <w:color w:val="595959"/>
              </w:rPr>
              <w:t>1</w:t>
            </w:r>
          </w:p>
          <w:p>
            <w:pPr>
              <w:pStyle w:val="TableText"/>
              <w:ind w:left="455"/>
              <w:spacing w:before="1" w:line="165" w:lineRule="auto"/>
              <w:rPr/>
            </w:pPr>
            <w:r>
              <w:rPr>
                <w:color w:val="595959"/>
                <w:spacing w:val="-2"/>
              </w:rPr>
              <w:t>0.5</w:t>
            </w:r>
          </w:p>
          <w:p>
            <w:pPr>
              <w:pStyle w:val="TableText"/>
              <w:ind w:left="591"/>
              <w:spacing w:line="221" w:lineRule="auto"/>
              <w:rPr/>
            </w:pPr>
            <w:r>
              <w:rPr>
                <w:color w:val="595959"/>
              </w:rPr>
              <w:t>0</w:t>
            </w:r>
          </w:p>
        </w:tc>
        <w:tc>
          <w:tcPr>
            <w:tcW w:w="7398" w:type="dxa"/>
            <w:vAlign w:val="top"/>
            <w:tcBorders>
              <w:right w:val="single" w:color="D9D9D9" w:sz="4" w:space="0"/>
            </w:tcBorders>
          </w:tcPr>
          <w:p>
            <w:pPr>
              <w:pStyle w:val="TableText"/>
              <w:ind w:left="275"/>
              <w:spacing w:before="83" w:line="229" w:lineRule="exact"/>
              <w:rPr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50164</wp:posOffset>
                  </wp:positionH>
                  <wp:positionV relativeFrom="paragraph">
                    <wp:posOffset>126110</wp:posOffset>
                  </wp:positionV>
                  <wp:extent cx="4507991" cy="877823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7991" cy="87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  <w:position w:val="1"/>
              </w:rPr>
              <w:t>4</w:t>
            </w:r>
            <w:r>
              <w:rPr>
                <w:color w:val="404040"/>
                <w:spacing w:val="2"/>
                <w:position w:val="1"/>
              </w:rPr>
              <w:t xml:space="preserve">         </w:t>
            </w:r>
            <w:r>
              <w:rPr>
                <w:color w:val="404040"/>
                <w:spacing w:val="-3"/>
                <w:position w:val="1"/>
              </w:rPr>
              <w:t>4</w:t>
            </w:r>
            <w:r>
              <w:rPr>
                <w:color w:val="404040"/>
                <w:spacing w:val="2"/>
                <w:position w:val="1"/>
              </w:rPr>
              <w:t xml:space="preserve">         </w:t>
            </w:r>
            <w:r>
              <w:rPr>
                <w:color w:val="404040"/>
                <w:spacing w:val="-3"/>
                <w:position w:val="1"/>
              </w:rPr>
              <w:t>4</w:t>
            </w:r>
          </w:p>
          <w:p>
            <w:pPr>
              <w:pStyle w:val="TableText"/>
              <w:ind w:left="1700"/>
              <w:spacing w:before="75" w:line="227" w:lineRule="exact"/>
              <w:rPr/>
            </w:pPr>
            <w:r>
              <w:rPr>
                <w:color w:val="404040"/>
                <w:spacing w:val="-6"/>
                <w:position w:val="1"/>
              </w:rPr>
              <w:t>3</w:t>
            </w:r>
            <w:r>
              <w:rPr>
                <w:color w:val="404040"/>
                <w:spacing w:val="2"/>
                <w:position w:val="1"/>
              </w:rPr>
              <w:t xml:space="preserve">         </w:t>
            </w:r>
            <w:r>
              <w:rPr>
                <w:color w:val="404040"/>
                <w:spacing w:val="-6"/>
                <w:position w:val="1"/>
              </w:rPr>
              <w:t>3</w:t>
            </w:r>
            <w:r>
              <w:rPr>
                <w:color w:val="404040"/>
                <w:spacing w:val="3"/>
                <w:position w:val="1"/>
              </w:rPr>
              <w:t xml:space="preserve">         </w:t>
            </w:r>
            <w:r>
              <w:rPr>
                <w:color w:val="404040"/>
                <w:spacing w:val="-6"/>
                <w:position w:val="1"/>
              </w:rPr>
              <w:t>3</w:t>
            </w:r>
          </w:p>
          <w:p>
            <w:pPr>
              <w:pStyle w:val="TableText"/>
              <w:ind w:left="3120"/>
              <w:spacing w:before="77" w:line="228" w:lineRule="exact"/>
              <w:rPr/>
            </w:pPr>
            <w:r>
              <w:rPr>
                <w:color w:val="404040"/>
                <w:spacing w:val="-9"/>
                <w:position w:val="1"/>
              </w:rPr>
              <w:t>2</w:t>
            </w:r>
            <w:r>
              <w:rPr>
                <w:color w:val="404040"/>
                <w:spacing w:val="3"/>
                <w:position w:val="1"/>
              </w:rPr>
              <w:t xml:space="preserve">         </w:t>
            </w:r>
            <w:r>
              <w:rPr>
                <w:color w:val="404040"/>
                <w:spacing w:val="-9"/>
                <w:position w:val="1"/>
              </w:rPr>
              <w:t>2</w:t>
            </w:r>
            <w:r>
              <w:rPr>
                <w:color w:val="404040"/>
                <w:spacing w:val="3"/>
                <w:position w:val="1"/>
              </w:rPr>
              <w:t xml:space="preserve">         </w:t>
            </w:r>
            <w:r>
              <w:rPr>
                <w:color w:val="404040"/>
                <w:spacing w:val="-9"/>
                <w:position w:val="1"/>
              </w:rPr>
              <w:t>2</w:t>
            </w:r>
            <w:r>
              <w:rPr>
                <w:color w:val="404040"/>
                <w:spacing w:val="3"/>
                <w:position w:val="1"/>
              </w:rPr>
              <w:t xml:space="preserve">         </w:t>
            </w:r>
            <w:r>
              <w:rPr>
                <w:color w:val="404040"/>
                <w:spacing w:val="-9"/>
                <w:position w:val="1"/>
              </w:rPr>
              <w:t>2</w:t>
            </w:r>
            <w:r>
              <w:rPr>
                <w:color w:val="404040"/>
                <w:spacing w:val="2"/>
                <w:position w:val="1"/>
              </w:rPr>
              <w:t xml:space="preserve">         </w:t>
            </w:r>
            <w:r>
              <w:rPr>
                <w:color w:val="404040"/>
                <w:spacing w:val="-9"/>
                <w:position w:val="1"/>
              </w:rPr>
              <w:t>2</w:t>
            </w:r>
          </w:p>
          <w:p>
            <w:pPr>
              <w:pStyle w:val="TableText"/>
              <w:ind w:left="5492"/>
              <w:spacing w:before="75" w:line="228" w:lineRule="exact"/>
              <w:rPr/>
            </w:pPr>
            <w:r>
              <w:rPr>
                <w:color w:val="404040"/>
                <w:spacing w:val="-11"/>
                <w:position w:val="1"/>
              </w:rPr>
              <w:t>1</w:t>
            </w:r>
            <w:r>
              <w:rPr>
                <w:color w:val="404040"/>
                <w:spacing w:val="3"/>
                <w:position w:val="1"/>
              </w:rPr>
              <w:t xml:space="preserve">         </w:t>
            </w:r>
            <w:r>
              <w:rPr>
                <w:color w:val="404040"/>
                <w:spacing w:val="-11"/>
                <w:position w:val="1"/>
              </w:rPr>
              <w:t>1</w:t>
            </w:r>
            <w:r>
              <w:rPr>
                <w:color w:val="404040"/>
                <w:spacing w:val="4"/>
                <w:position w:val="1"/>
              </w:rPr>
              <w:t xml:space="preserve">         </w:t>
            </w:r>
            <w:r>
              <w:rPr>
                <w:color w:val="404040"/>
                <w:spacing w:val="-11"/>
                <w:position w:val="1"/>
              </w:rPr>
              <w:t>1</w:t>
            </w:r>
          </w:p>
          <w:p>
            <w:pPr>
              <w:pStyle w:val="TableText"/>
              <w:ind w:left="6903"/>
              <w:spacing w:before="75" w:line="227" w:lineRule="exact"/>
              <w:rPr/>
            </w:pPr>
            <w:r>
              <w:rPr>
                <w:color w:val="404040"/>
                <w:position w:val="1"/>
              </w:rPr>
              <w:t>0</w:t>
            </w:r>
          </w:p>
        </w:tc>
      </w:tr>
      <w:tr>
        <w:trPr>
          <w:trHeight w:val="1228" w:hRule="atLeast"/>
        </w:trPr>
        <w:tc>
          <w:tcPr>
            <w:tcW w:w="8166" w:type="dxa"/>
            <w:vAlign w:val="top"/>
            <w:gridSpan w:val="2"/>
            <w:tcBorders>
              <w:left w:val="single" w:color="D9D9D9" w:sz="4" w:space="0"/>
              <w:right w:val="single" w:color="D9D9D9" w:sz="4" w:space="0"/>
            </w:tcBorders>
          </w:tcPr>
          <w:p>
            <w:pPr>
              <w:ind w:firstLine="167"/>
              <w:spacing w:before="7" w:line="121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4803775" cy="76873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3775" cy="76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6" w:hRule="atLeast"/>
        </w:trPr>
        <w:tc>
          <w:tcPr>
            <w:tcW w:w="8166" w:type="dxa"/>
            <w:vAlign w:val="top"/>
            <w:gridSpan w:val="2"/>
            <w:tcBorders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ind w:left="1432"/>
        <w:spacing w:before="312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    </w:t>
      </w:r>
      <w:r>
        <w:rPr>
          <w:rFonts w:ascii="KaiTi" w:hAnsi="KaiTi" w:eastAsia="KaiTi" w:cs="KaiTi"/>
          <w:sz w:val="30"/>
          <w:szCs w:val="30"/>
          <w:spacing w:val="-5"/>
        </w:rPr>
        <w:t>战新产业相关技术成熟度（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0~5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分）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sz w:val="30"/>
          <w:szCs w:val="30"/>
          <w:b/>
          <w:bCs/>
          <w:spacing w:val="-3"/>
        </w:rPr>
        <w:t>．空间维度：基于区域发展战略分类推进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5" w:right="13" w:firstLine="615"/>
        <w:spacing w:before="98" w:line="333" w:lineRule="auto"/>
        <w:jc w:val="both"/>
        <w:rPr>
          <w:sz w:val="30"/>
          <w:szCs w:val="30"/>
        </w:rPr>
      </w:pPr>
      <w:r>
        <w:rPr>
          <w:sz w:val="30"/>
          <w:szCs w:val="30"/>
          <w:spacing w:val="-5"/>
        </w:rPr>
        <w:t>战新产业推进要充分发挥省公司的区域发展战略优势，推动</w:t>
      </w:r>
      <w:r>
        <w:rPr>
          <w:sz w:val="30"/>
          <w:szCs w:val="30"/>
          <w:spacing w:val="-4"/>
        </w:rPr>
        <w:t>省公司全程参与到技术产品研发、大规模商用和产业协同发展的</w:t>
      </w:r>
      <w:r>
        <w:rPr>
          <w:sz w:val="30"/>
          <w:szCs w:val="30"/>
          <w:spacing w:val="-9"/>
        </w:rPr>
        <w:t>关键关节。在技术产品研发阶段， 省公司要发挥“内部客户”的</w:t>
      </w:r>
      <w:r>
        <w:rPr>
          <w:sz w:val="30"/>
          <w:szCs w:val="30"/>
          <w:spacing w:val="-4"/>
        </w:rPr>
        <w:t>角色，成为外部市场需求和内部研发建议的沟通桥梁。在产品规</w:t>
      </w:r>
      <w:r>
        <w:rPr>
          <w:sz w:val="30"/>
          <w:szCs w:val="30"/>
          <w:spacing w:val="-4"/>
        </w:rPr>
        <w:t>模推广阶段，要发挥省公司的“主导作用”，专业公司要全力响</w:t>
      </w:r>
      <w:r>
        <w:rPr>
          <w:sz w:val="30"/>
          <w:szCs w:val="30"/>
          <w:spacing w:val="-14"/>
        </w:rPr>
        <w:t>应市场客户要求。在壮大产业阶段，要发挥省公司“客情优势”，</w:t>
      </w:r>
      <w:r>
        <w:rPr>
          <w:sz w:val="30"/>
          <w:szCs w:val="30"/>
          <w:spacing w:val="-2"/>
        </w:rPr>
        <w:t>充分利用各省产业集群的发展契机，打造区域战新</w:t>
      </w:r>
      <w:r>
        <w:rPr>
          <w:sz w:val="30"/>
          <w:szCs w:val="30"/>
          <w:spacing w:val="-3"/>
        </w:rPr>
        <w:t>生态。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>
        <w:pict>
          <v:shape id="_x0000_s8" style="position:absolute;margin-left:0.72599pt;margin-top:9.5357pt;mso-position-vertical-relative:text;mso-position-horizontal-relative:text;width:144.05pt;height:0.5pt;z-index:251664384;" fillcolor="#000000" filled="true" stroked="false" coordsize="2881,10" coordorigin="0,0" path="m0,9l2880,9l2880,0l0,0l0,9xe"/>
        </w:pict>
      </w:r>
      <w:r/>
    </w:p>
    <w:p>
      <w:pPr>
        <w:pStyle w:val="BodyText"/>
        <w:ind w:left="26" w:right="125" w:hanging="9"/>
        <w:spacing w:before="59" w:line="238" w:lineRule="auto"/>
        <w:rPr>
          <w:sz w:val="18"/>
          <w:szCs w:val="18"/>
        </w:rPr>
      </w:pPr>
      <w:r>
        <w:rPr>
          <w:sz w:val="9"/>
          <w:szCs w:val="9"/>
          <w:spacing w:val="-5"/>
          <w:position w:val="9"/>
        </w:rPr>
        <w:t>4</w:t>
      </w:r>
      <w:r>
        <w:rPr>
          <w:sz w:val="9"/>
          <w:szCs w:val="9"/>
          <w:spacing w:val="6"/>
          <w:position w:val="9"/>
        </w:rPr>
        <w:t xml:space="preserve">  </w:t>
      </w:r>
      <w:r>
        <w:rPr>
          <w:sz w:val="18"/>
          <w:szCs w:val="18"/>
          <w:spacing w:val="-5"/>
        </w:rPr>
        <w:t>2023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5"/>
        </w:rPr>
        <w:t>年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5"/>
        </w:rPr>
        <w:t>7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2"/>
        </w:rPr>
        <w:t>月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2"/>
        </w:rPr>
        <w:t>20 日，麦肯锡公司发布了《McKinsey Technolo</w:t>
      </w:r>
      <w:r>
        <w:rPr>
          <w:sz w:val="18"/>
          <w:szCs w:val="18"/>
          <w:spacing w:val="-3"/>
        </w:rPr>
        <w:t>gy Trends Outlook 2023》，对各项技术按</w:t>
      </w:r>
      <w:r>
        <w:rPr>
          <w:sz w:val="18"/>
          <w:szCs w:val="18"/>
          <w:spacing w:val="-3"/>
        </w:rPr>
        <w:t>照技术成熟度给出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3"/>
        </w:rPr>
        <w:t>0-5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3"/>
        </w:rPr>
        <w:t>分的评级。</w:t>
      </w:r>
    </w:p>
    <w:p>
      <w:pPr>
        <w:spacing w:line="238" w:lineRule="auto"/>
        <w:sectPr>
          <w:headerReference w:type="default" r:id="rId1"/>
          <w:pgSz w:w="11907" w:h="16839"/>
          <w:pgMar w:top="400" w:right="1785" w:bottom="0" w:left="1785" w:header="0" w:footer="0" w:gutter="0"/>
        </w:sectPr>
        <w:rPr>
          <w:sz w:val="18"/>
          <w:szCs w:val="18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095"/>
        <w:spacing w:before="97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    </w:t>
      </w:r>
      <w:r>
        <w:rPr>
          <w:rFonts w:ascii="KaiTi" w:hAnsi="KaiTi" w:eastAsia="KaiTi" w:cs="KaiTi"/>
          <w:sz w:val="30"/>
          <w:szCs w:val="30"/>
          <w:spacing w:val="-2"/>
        </w:rPr>
        <w:t>各战新产业重点发展区域</w:t>
      </w:r>
    </w:p>
    <w:p>
      <w:pPr>
        <w:spacing w:line="75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21"/>
        <w:gridCol w:w="3339"/>
        <w:gridCol w:w="3342"/>
      </w:tblGrid>
      <w:tr>
        <w:trPr>
          <w:trHeight w:val="309" w:hRule="atLeast"/>
        </w:trPr>
        <w:tc>
          <w:tcPr>
            <w:tcW w:w="1621" w:type="dxa"/>
            <w:vAlign w:val="top"/>
          </w:tcPr>
          <w:p>
            <w:pPr>
              <w:ind w:left="346"/>
              <w:spacing w:before="39" w:line="20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战新产业</w:t>
            </w:r>
          </w:p>
        </w:tc>
        <w:tc>
          <w:tcPr>
            <w:tcW w:w="3339" w:type="dxa"/>
            <w:vAlign w:val="top"/>
          </w:tcPr>
          <w:p>
            <w:pPr>
              <w:ind w:left="1190"/>
              <w:spacing w:before="39" w:line="20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评价标准</w:t>
            </w:r>
          </w:p>
        </w:tc>
        <w:tc>
          <w:tcPr>
            <w:tcW w:w="3342" w:type="dxa"/>
            <w:vAlign w:val="top"/>
          </w:tcPr>
          <w:p>
            <w:pPr>
              <w:ind w:left="955"/>
              <w:spacing w:before="39" w:line="20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重点发展省份</w:t>
            </w:r>
          </w:p>
        </w:tc>
      </w:tr>
      <w:tr>
        <w:trPr>
          <w:trHeight w:val="903" w:hRule="atLeast"/>
        </w:trPr>
        <w:tc>
          <w:tcPr>
            <w:tcW w:w="1621" w:type="dxa"/>
            <w:vAlign w:val="top"/>
          </w:tcPr>
          <w:p>
            <w:pPr>
              <w:ind w:left="341"/>
              <w:spacing w:before="33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云计算、</w:t>
            </w:r>
          </w:p>
          <w:p>
            <w:pPr>
              <w:ind w:left="306" w:right="296" w:firstLine="32"/>
              <w:spacing w:before="14" w:line="21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4"/>
              </w:rPr>
              <w:t>大数据、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人工智能</w:t>
            </w: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-4"/>
                <w:position w:val="11"/>
              </w:rPr>
              <w:t>5</w:t>
            </w:r>
          </w:p>
        </w:tc>
        <w:tc>
          <w:tcPr>
            <w:tcW w:w="3339" w:type="dxa"/>
            <w:vAlign w:val="top"/>
          </w:tcPr>
          <w:p>
            <w:pPr>
              <w:ind w:left="130" w:right="125" w:hanging="16"/>
              <w:spacing w:before="185" w:line="23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《国家人工智能创新应用先导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区》名单</w:t>
            </w:r>
          </w:p>
        </w:tc>
        <w:tc>
          <w:tcPr>
            <w:tcW w:w="3342" w:type="dxa"/>
            <w:vAlign w:val="top"/>
          </w:tcPr>
          <w:p>
            <w:pPr>
              <w:ind w:left="137" w:right="229" w:hanging="17"/>
              <w:spacing w:before="184" w:line="23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北京/广东/湖北/湖南/江苏/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山东/上海/四川/天津/浙江</w:t>
            </w:r>
          </w:p>
        </w:tc>
      </w:tr>
      <w:tr>
        <w:trPr>
          <w:trHeight w:val="307" w:hRule="atLeast"/>
        </w:trPr>
        <w:tc>
          <w:tcPr>
            <w:tcW w:w="1621" w:type="dxa"/>
            <w:vAlign w:val="top"/>
          </w:tcPr>
          <w:p>
            <w:pPr>
              <w:ind w:left="342"/>
              <w:spacing w:before="38" w:line="19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空天网络</w:t>
            </w:r>
          </w:p>
        </w:tc>
        <w:tc>
          <w:tcPr>
            <w:tcW w:w="3339" w:type="dxa"/>
            <w:vAlign w:val="top"/>
          </w:tcPr>
          <w:p>
            <w:pPr>
              <w:ind w:left="116"/>
              <w:spacing w:before="38" w:line="19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各省空天产业政策与发展比较</w:t>
            </w:r>
          </w:p>
        </w:tc>
        <w:tc>
          <w:tcPr>
            <w:tcW w:w="3342" w:type="dxa"/>
            <w:vAlign w:val="top"/>
          </w:tcPr>
          <w:p>
            <w:pPr>
              <w:ind w:left="115"/>
              <w:spacing w:before="38" w:line="19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湖北/江苏/河北/福建</w:t>
            </w:r>
          </w:p>
        </w:tc>
      </w:tr>
      <w:tr>
        <w:trPr>
          <w:trHeight w:val="903" w:hRule="atLeast"/>
        </w:trPr>
        <w:tc>
          <w:tcPr>
            <w:tcW w:w="1621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数字化平台</w:t>
            </w:r>
          </w:p>
        </w:tc>
        <w:tc>
          <w:tcPr>
            <w:tcW w:w="3339" w:type="dxa"/>
            <w:vAlign w:val="top"/>
          </w:tcPr>
          <w:p>
            <w:pPr>
              <w:ind w:left="112" w:right="109" w:firstLine="3"/>
              <w:spacing w:before="35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2025</w:t>
            </w:r>
            <w:r>
              <w:rPr>
                <w:rFonts w:ascii="SimSun" w:hAnsi="SimSun" w:eastAsia="SimSun" w:cs="SimSun"/>
                <w:sz w:val="24"/>
                <w:szCs w:val="24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年预期数字经济核心产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业增加值占地区生产总值比重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10%以上</w:t>
            </w:r>
          </w:p>
        </w:tc>
        <w:tc>
          <w:tcPr>
            <w:tcW w:w="3342" w:type="dxa"/>
            <w:vAlign w:val="top"/>
          </w:tcPr>
          <w:p>
            <w:pPr>
              <w:ind w:left="115" w:right="229"/>
              <w:spacing w:before="184" w:line="23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广东/上海/浙江/江苏/天津/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湖南</w:t>
            </w:r>
          </w:p>
        </w:tc>
      </w:tr>
      <w:tr>
        <w:trPr>
          <w:trHeight w:val="304" w:hRule="atLeast"/>
        </w:trPr>
        <w:tc>
          <w:tcPr>
            <w:tcW w:w="1621" w:type="dxa"/>
            <w:vAlign w:val="top"/>
          </w:tcPr>
          <w:p>
            <w:pPr>
              <w:ind w:left="580"/>
              <w:spacing w:before="36" w:line="19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安全</w:t>
            </w:r>
          </w:p>
        </w:tc>
        <w:tc>
          <w:tcPr>
            <w:tcW w:w="3339" w:type="dxa"/>
            <w:vAlign w:val="top"/>
          </w:tcPr>
          <w:p>
            <w:pPr>
              <w:ind w:left="120"/>
              <w:spacing w:before="36" w:line="19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云堤业务各省收入规模与增速</w:t>
            </w:r>
          </w:p>
        </w:tc>
        <w:tc>
          <w:tcPr>
            <w:tcW w:w="3342" w:type="dxa"/>
            <w:vAlign w:val="top"/>
          </w:tcPr>
          <w:p>
            <w:pPr>
              <w:ind w:left="118"/>
              <w:spacing w:before="36" w:line="19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上海/江苏/四川/湖南/河北</w:t>
            </w:r>
          </w:p>
        </w:tc>
      </w:tr>
      <w:tr>
        <w:trPr>
          <w:trHeight w:val="309" w:hRule="atLeast"/>
        </w:trPr>
        <w:tc>
          <w:tcPr>
            <w:tcW w:w="1621" w:type="dxa"/>
            <w:vAlign w:val="top"/>
          </w:tcPr>
          <w:p>
            <w:pPr>
              <w:ind w:left="575"/>
              <w:spacing w:before="39" w:line="20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量子</w:t>
            </w:r>
          </w:p>
        </w:tc>
        <w:tc>
          <w:tcPr>
            <w:tcW w:w="3339" w:type="dxa"/>
            <w:vAlign w:val="top"/>
          </w:tcPr>
          <w:p>
            <w:pPr>
              <w:ind w:left="113"/>
              <w:spacing w:before="39" w:line="20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量子通信节点城市</w:t>
            </w:r>
          </w:p>
        </w:tc>
        <w:tc>
          <w:tcPr>
            <w:tcW w:w="3342" w:type="dxa"/>
            <w:vAlign w:val="top"/>
          </w:tcPr>
          <w:p>
            <w:pPr>
              <w:ind w:left="121"/>
              <w:spacing w:before="39" w:line="20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安徽/北京/上海/山东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76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210083</wp:posOffset>
            </wp:positionH>
            <wp:positionV relativeFrom="paragraph">
              <wp:posOffset>188666</wp:posOffset>
            </wp:positionV>
            <wp:extent cx="716280" cy="296113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80" cy="296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23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郑思源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【15313379583】</w:t>
      </w:r>
    </w:p>
    <w:p>
      <w:pPr>
        <w:ind w:left="2115" w:right="344" w:firstLine="285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二级分析师，硕士，主要从事云网融合、产业</w:t>
      </w:r>
      <w:r>
        <w:rPr>
          <w:rFonts w:ascii="KaiTi" w:hAnsi="KaiTi" w:eastAsia="KaiTi" w:cs="KaiTi"/>
          <w:sz w:val="28"/>
          <w:szCs w:val="28"/>
          <w:spacing w:val="-1"/>
        </w:rPr>
        <w:t>数字化等方向的技术跟踪及行业研究。</w:t>
      </w:r>
    </w:p>
    <w:p>
      <w:pPr>
        <w:ind w:left="2110"/>
        <w:spacing w:before="275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杜晶晶</w:t>
      </w:r>
    </w:p>
    <w:p>
      <w:pPr>
        <w:ind w:left="2115" w:right="344" w:firstLine="297"/>
        <w:spacing w:before="11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副主任分析师，硕士，中级工程师，专注于国</w:t>
      </w:r>
      <w:r>
        <w:rPr>
          <w:rFonts w:ascii="KaiTi" w:hAnsi="KaiTi" w:eastAsia="KaiTi" w:cs="KaiTi"/>
          <w:sz w:val="28"/>
          <w:szCs w:val="28"/>
          <w:spacing w:val="-1"/>
        </w:rPr>
        <w:t>企改革、企业组织管理、人才队伍建设、创新管</w:t>
      </w:r>
      <w:r>
        <w:rPr>
          <w:rFonts w:ascii="KaiTi" w:hAnsi="KaiTi" w:eastAsia="KaiTi" w:cs="KaiTi"/>
          <w:sz w:val="28"/>
          <w:szCs w:val="28"/>
          <w:spacing w:val="-5"/>
        </w:rPr>
        <w:t>理等领域研究。</w:t>
      </w:r>
    </w:p>
    <w:p>
      <w:pPr>
        <w:ind w:left="2133"/>
        <w:spacing w:before="109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吴天慧</w:t>
      </w:r>
    </w:p>
    <w:p>
      <w:pPr>
        <w:ind w:left="2117" w:right="344" w:firstLine="286"/>
        <w:spacing w:before="106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一级分析师，硕士，工程师，主要从事战略规</w:t>
      </w:r>
      <w:r>
        <w:rPr>
          <w:rFonts w:ascii="KaiTi" w:hAnsi="KaiTi" w:eastAsia="KaiTi" w:cs="KaiTi"/>
          <w:sz w:val="28"/>
          <w:szCs w:val="28"/>
          <w:spacing w:val="-1"/>
        </w:rPr>
        <w:t>划相关工作，负责国内通信企业战略演进研究以</w:t>
      </w:r>
      <w:r>
        <w:rPr>
          <w:rFonts w:ascii="KaiTi" w:hAnsi="KaiTi" w:eastAsia="KaiTi" w:cs="KaiTi"/>
          <w:sz w:val="28"/>
          <w:szCs w:val="28"/>
          <w:spacing w:val="-2"/>
        </w:rPr>
        <w:t>及通信业竞争趋势分析等课题研究工作。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shape id="_x0000_s10" style="position:absolute;margin-left:0.72599pt;margin-top:9.68644pt;mso-position-vertical-relative:text;mso-position-horizontal-relative:text;width:144.05pt;height:0.5pt;z-index:251666432;" fillcolor="#000000" filled="true" stroked="false" coordsize="2881,10" coordorigin="0,0" path="m0,9l2880,9l2880,0l0,0l0,9xe"/>
        </w:pict>
      </w:r>
      <w:r/>
    </w:p>
    <w:p>
      <w:pPr>
        <w:ind w:left="20"/>
        <w:spacing w:before="72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4"/>
          <w:position w:val="12"/>
        </w:rPr>
        <w:t>5</w:t>
      </w:r>
      <w:r>
        <w:rPr>
          <w:rFonts w:ascii="DengXian" w:hAnsi="DengXian" w:eastAsia="DengXian" w:cs="DengXian"/>
          <w:sz w:val="11"/>
          <w:szCs w:val="11"/>
          <w:spacing w:val="1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人工智能三要素算力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、算法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、数据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，云计算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、大数据和人工智能高度相关。</w:t>
      </w:r>
    </w:p>
    <w:sectPr>
      <w:headerReference w:type="default" r:id="rId4"/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2023-12-11T14:44:24Z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2025-11-04T15:55:41</vt:filetime>
  </property>
</Properties>
</file>