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27B44">
      <w:pPr>
        <w:spacing w:after="156" w:afterLines="50" w:line="460" w:lineRule="exact"/>
        <w:jc w:val="center"/>
        <w:rPr>
          <w:rFonts w:hint="default" w:ascii="幼圆" w:eastAsia="幼圆"/>
          <w:color w:val="1F4E79"/>
          <w:sz w:val="44"/>
          <w:szCs w:val="44"/>
          <w:highlight w:val="none"/>
          <w:lang w:val="en-US" w:eastAsia="zh-CN"/>
        </w:rPr>
      </w:pPr>
      <w:r>
        <w:rPr>
          <w:rFonts w:hint="eastAsia" w:ascii="幼圆" w:eastAsia="幼圆"/>
          <w:color w:val="1F4E79"/>
          <w:sz w:val="44"/>
          <w:szCs w:val="44"/>
          <w:highlight w:val="none"/>
          <w:lang w:val="en-US" w:eastAsia="zh-CN"/>
        </w:rPr>
        <w:t>公众客户市场竞争现状调研分析报告系列</w:t>
      </w:r>
    </w:p>
    <w:p w14:paraId="72FECC28">
      <w:pPr>
        <w:spacing w:before="312" w:beforeLines="100" w:line="420" w:lineRule="exact"/>
        <w:outlineLvl w:val="0"/>
        <w:rPr>
          <w:rFonts w:hint="default" w:eastAsia="黑体"/>
          <w:sz w:val="28"/>
          <w:szCs w:val="28"/>
          <w:highlight w:val="none"/>
          <w:lang w:val="en-US" w:eastAsia="zh-CN"/>
        </w:rPr>
      </w:pPr>
      <w:bookmarkStart w:id="0" w:name="_Hlk160869418"/>
      <w:r>
        <w:rPr>
          <w:sz w:val="24"/>
          <w:szCs w:val="24"/>
          <w:highlight w:val="none"/>
        </w:rPr>
        <w:t>◇</w:t>
      </w:r>
      <w:r>
        <w:rPr>
          <w:rFonts w:ascii="黑体" w:hAnsi="黑体" w:eastAsia="黑体"/>
          <w:sz w:val="30"/>
          <w:szCs w:val="30"/>
          <w:highlight w:val="none"/>
        </w:rPr>
        <w:t xml:space="preserve"> </w:t>
      </w:r>
      <w:r>
        <w:rPr>
          <w:rFonts w:hint="eastAsia" w:ascii="黑体" w:hAnsi="黑体" w:eastAsia="黑体"/>
          <w:sz w:val="30"/>
          <w:szCs w:val="30"/>
          <w:highlight w:val="none"/>
          <w:lang w:val="en-US" w:eastAsia="zh-CN"/>
        </w:rPr>
        <w:t>调研主题</w:t>
      </w:r>
      <w:bookmarkStart w:id="1" w:name="_GoBack"/>
      <w:bookmarkEnd w:id="1"/>
    </w:p>
    <w:p w14:paraId="6FEE6526">
      <w:pPr>
        <w:spacing w:before="156" w:beforeLines="50" w:line="400" w:lineRule="exact"/>
        <w:ind w:firstLine="560" w:firstLineChars="200"/>
        <w:jc w:val="both"/>
        <w:rPr>
          <w:rFonts w:hint="eastAsia"/>
          <w:sz w:val="28"/>
          <w:szCs w:val="28"/>
          <w:highlight w:val="none"/>
          <w:lang w:val="en-US" w:eastAsia="zh-CN"/>
        </w:rPr>
      </w:pPr>
      <w:r>
        <w:rPr>
          <w:rFonts w:hint="eastAsia"/>
          <w:sz w:val="28"/>
          <w:szCs w:val="28"/>
          <w:highlight w:val="none"/>
          <w:lang w:val="en-US" w:eastAsia="zh-CN"/>
        </w:rPr>
        <w:t>围绕中国电信及中国移动在公众客户市场的发展与竞争策略进行调研，以期发现中移动竞争策略变化及其特点，为后续公众客户市场的政策优化提供参考。</w:t>
      </w:r>
    </w:p>
    <w:p w14:paraId="2749BC3F">
      <w:pPr>
        <w:spacing w:before="312" w:beforeLines="100" w:line="420" w:lineRule="exact"/>
        <w:outlineLvl w:val="0"/>
        <w:rPr>
          <w:rFonts w:hint="default" w:ascii="黑体" w:hAnsi="黑体" w:eastAsia="黑体"/>
          <w:sz w:val="30"/>
          <w:szCs w:val="30"/>
          <w:highlight w:val="none"/>
          <w:lang w:val="en-US" w:eastAsia="zh-CN"/>
        </w:rPr>
      </w:pPr>
      <w:r>
        <w:rPr>
          <w:sz w:val="24"/>
          <w:szCs w:val="24"/>
          <w:highlight w:val="none"/>
        </w:rPr>
        <w:t>◇</w:t>
      </w:r>
      <w:r>
        <w:rPr>
          <w:rFonts w:ascii="黑体" w:hAnsi="黑体" w:eastAsia="黑体"/>
          <w:sz w:val="30"/>
          <w:szCs w:val="30"/>
          <w:highlight w:val="none"/>
        </w:rPr>
        <w:t xml:space="preserve"> </w:t>
      </w:r>
      <w:r>
        <w:rPr>
          <w:rFonts w:hint="eastAsia" w:ascii="黑体" w:hAnsi="黑体" w:eastAsia="黑体"/>
          <w:sz w:val="30"/>
          <w:szCs w:val="30"/>
          <w:highlight w:val="none"/>
          <w:lang w:val="en-US" w:eastAsia="zh-CN"/>
        </w:rPr>
        <w:t>调研与分析框架</w:t>
      </w:r>
    </w:p>
    <w:p w14:paraId="4CC7945B">
      <w:pPr>
        <w:spacing w:before="156" w:beforeLines="50" w:line="400" w:lineRule="exact"/>
        <w:ind w:firstLine="560" w:firstLineChars="200"/>
        <w:jc w:val="both"/>
        <w:rPr>
          <w:rFonts w:hint="default" w:eastAsia="等线"/>
          <w:sz w:val="28"/>
          <w:szCs w:val="28"/>
          <w:highlight w:val="none"/>
          <w:lang w:val="en-US" w:eastAsia="zh-CN"/>
        </w:rPr>
      </w:pPr>
      <w:r>
        <w:rPr>
          <w:rFonts w:hint="eastAsia"/>
          <w:sz w:val="28"/>
          <w:szCs w:val="28"/>
          <w:highlight w:val="none"/>
          <w:lang w:val="en-US" w:eastAsia="zh-CN"/>
        </w:rPr>
        <w:t>基于调研主题，从业务策略、资费策略、渠道策略三个维度进行调研素材的获取与分析，并总结中移动与中电信的整体运营策略差异。</w:t>
      </w:r>
    </w:p>
    <w:p w14:paraId="4609E7AB">
      <w:pPr>
        <w:spacing w:before="312" w:beforeLines="100" w:line="420" w:lineRule="exact"/>
        <w:outlineLvl w:val="0"/>
        <w:rPr>
          <w:rFonts w:hint="default" w:ascii="黑体" w:hAnsi="黑体" w:eastAsia="黑体"/>
          <w:sz w:val="30"/>
          <w:szCs w:val="30"/>
          <w:highlight w:val="none"/>
          <w:lang w:val="en-US" w:eastAsia="zh-CN"/>
        </w:rPr>
      </w:pPr>
      <w:r>
        <w:rPr>
          <w:sz w:val="24"/>
          <w:szCs w:val="24"/>
          <w:highlight w:val="none"/>
        </w:rPr>
        <w:t>◇</w:t>
      </w:r>
      <w:r>
        <w:rPr>
          <w:rFonts w:ascii="黑体" w:hAnsi="黑体" w:eastAsia="黑体"/>
          <w:sz w:val="30"/>
          <w:szCs w:val="30"/>
          <w:highlight w:val="none"/>
        </w:rPr>
        <w:t xml:space="preserve"> </w:t>
      </w:r>
      <w:r>
        <w:rPr>
          <w:rFonts w:hint="eastAsia" w:ascii="黑体" w:hAnsi="黑体" w:eastAsia="黑体"/>
          <w:sz w:val="30"/>
          <w:szCs w:val="30"/>
          <w:highlight w:val="none"/>
          <w:lang w:val="en-US" w:eastAsia="zh-CN"/>
        </w:rPr>
        <w:t>调研方式</w:t>
      </w:r>
    </w:p>
    <w:p w14:paraId="2BA77301">
      <w:pPr>
        <w:spacing w:before="156" w:beforeLines="50" w:line="400" w:lineRule="exact"/>
        <w:ind w:firstLine="560" w:firstLineChars="200"/>
        <w:jc w:val="both"/>
        <w:rPr>
          <w:rFonts w:hint="default" w:eastAsia="等线"/>
          <w:sz w:val="28"/>
          <w:szCs w:val="28"/>
          <w:highlight w:val="none"/>
          <w:lang w:val="en-US" w:eastAsia="zh-CN"/>
        </w:rPr>
      </w:pPr>
      <w:r>
        <w:rPr>
          <w:rFonts w:hint="eastAsia"/>
          <w:sz w:val="28"/>
          <w:szCs w:val="28"/>
          <w:highlight w:val="none"/>
          <w:lang w:val="en-US" w:eastAsia="zh-CN"/>
        </w:rPr>
        <w:t>本次调研采取线上一对一访谈的方式，共计实施21场。面向中国电信南方某大省的地市分公司营销策划人员、存量经营人员、一线人员进行调研，力求覆盖公众客户运营相关的所有重点团队人员。</w:t>
      </w:r>
    </w:p>
    <w:p w14:paraId="5677B9D4">
      <w:pPr>
        <w:jc w:val="center"/>
        <w:rPr>
          <w:rFonts w:hint="eastAsia" w:ascii="微软雅黑" w:hAnsi="微软雅黑" w:eastAsia="微软雅黑" w:cs="微软雅黑"/>
          <w:b/>
          <w:bCs/>
          <w:kern w:val="44"/>
          <w:sz w:val="44"/>
          <w:szCs w:val="44"/>
          <w:highlight w:val="none"/>
          <w:lang w:val="en-US" w:eastAsia="zh-CN" w:bidi="ar-SA"/>
        </w:rPr>
      </w:pPr>
    </w:p>
    <w:p w14:paraId="2EA9A684">
      <w:pPr>
        <w:jc w:val="center"/>
        <w:rPr>
          <w:rFonts w:hint="eastAsia" w:ascii="微软雅黑" w:hAnsi="微软雅黑" w:eastAsia="微软雅黑" w:cs="微软雅黑"/>
          <w:b/>
          <w:bCs/>
          <w:kern w:val="44"/>
          <w:sz w:val="44"/>
          <w:szCs w:val="44"/>
          <w:highlight w:val="none"/>
          <w:lang w:val="en-US" w:eastAsia="zh-CN" w:bidi="ar-SA"/>
        </w:rPr>
      </w:pPr>
      <w:r>
        <w:rPr>
          <w:rFonts w:hint="eastAsia" w:ascii="微软雅黑" w:hAnsi="微软雅黑" w:eastAsia="微软雅黑" w:cs="微软雅黑"/>
          <w:b/>
          <w:bCs/>
          <w:kern w:val="44"/>
          <w:sz w:val="44"/>
          <w:szCs w:val="44"/>
          <w:highlight w:val="none"/>
          <w:lang w:val="en-US" w:eastAsia="zh-CN" w:bidi="ar-SA"/>
        </w:rPr>
        <w:t>系列一：中电信与中移动公众客户市场竞争策略调研分析报告</w:t>
      </w:r>
    </w:p>
    <w:p w14:paraId="38A0F2E1">
      <w:pPr>
        <w:jc w:val="center"/>
        <w:rPr>
          <w:rFonts w:hint="default" w:ascii="微软雅黑" w:hAnsi="微软雅黑" w:eastAsia="微软雅黑" w:cs="微软雅黑"/>
          <w:b/>
          <w:bCs/>
          <w:kern w:val="44"/>
          <w:sz w:val="40"/>
          <w:szCs w:val="40"/>
          <w:highlight w:val="none"/>
          <w:lang w:val="en-US" w:eastAsia="zh-CN" w:bidi="ar-SA"/>
        </w:rPr>
      </w:pPr>
      <w:r>
        <w:rPr>
          <w:rFonts w:hint="eastAsia" w:ascii="华文楷体" w:hAnsi="华文楷体" w:eastAsia="华文楷体" w:cs="微软雅黑"/>
          <w:sz w:val="28"/>
          <w:szCs w:val="28"/>
          <w:highlight w:val="none"/>
          <w:lang w:val="en-US" w:eastAsia="zh-CN"/>
        </w:rPr>
        <w:t>柴雪芳  梁芳</w:t>
      </w:r>
    </w:p>
    <w:p w14:paraId="5000475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0"/>
        <w:rPr>
          <w:rFonts w:hint="eastAsia" w:ascii="黑体" w:hAnsi="黑体" w:eastAsia="黑体" w:cs="黑体"/>
          <w:b/>
          <w:bCs/>
          <w:sz w:val="32"/>
          <w:szCs w:val="24"/>
          <w:highlight w:val="none"/>
          <w:lang w:val="en-US"/>
        </w:rPr>
      </w:pPr>
      <w:r>
        <w:rPr>
          <w:rFonts w:hint="eastAsia" w:ascii="黑体" w:hAnsi="黑体" w:eastAsia="黑体" w:cs="黑体"/>
          <w:b/>
          <w:bCs/>
          <w:sz w:val="32"/>
          <w:szCs w:val="28"/>
          <w:highlight w:val="none"/>
          <w:lang w:val="en-US" w:eastAsia="zh-CN"/>
        </w:rPr>
        <w:t>调研核心发现</w:t>
      </w:r>
    </w:p>
    <w:p w14:paraId="4FD495F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从整体运营发展策略上看，中移动与中电信是两种不同的发展思路与路径，体现在业务策略、资费策略和渠道策略三个方面。</w:t>
      </w:r>
    </w:p>
    <w:p w14:paraId="6CCDF8D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业务策略上：中移动以移动业务为基础实施宽带迎回策略；表现在分段施策——区分高中低移动套餐抓融合套餐，并要求15%-70%不同的宽带渗透率；面向移动所有的手机用户，无差别送宽带。而中电信则以宽带为基础，拓展移动业务。</w:t>
      </w:r>
    </w:p>
    <w:p w14:paraId="4E26C38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资费策略上：中移动低门槛入网，再通过限期产品体验的方式培养用户使用习惯，逐步提高客户价值。中电信在高套策略引导下，高门槛入网，客户对中电信高价格的印象感知更加深刻。</w:t>
      </w:r>
    </w:p>
    <w:p w14:paraId="258B7EB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sz w:val="32"/>
          <w:szCs w:val="28"/>
          <w:highlight w:val="none"/>
          <w:lang w:val="en-US" w:eastAsia="zh-CN"/>
        </w:rPr>
      </w:pPr>
      <w:r>
        <w:rPr>
          <w:rFonts w:hint="eastAsia" w:ascii="仿宋" w:hAnsi="仿宋" w:eastAsia="仿宋_GB2312" w:cs="仿宋"/>
          <w:b w:val="0"/>
          <w:bCs w:val="0"/>
          <w:sz w:val="32"/>
          <w:szCs w:val="28"/>
          <w:highlight w:val="none"/>
          <w:lang w:val="en-US" w:eastAsia="zh-CN"/>
        </w:rPr>
        <w:t>渠道策略的差异表现在三个方面：渠道性质、运营规范性和佣金政策。</w:t>
      </w:r>
    </w:p>
    <w:p w14:paraId="1F38BA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0"/>
        <w:rPr>
          <w:rFonts w:hint="default" w:ascii="黑体" w:hAnsi="黑体" w:eastAsia="黑体" w:cs="黑体"/>
          <w:b/>
          <w:bCs/>
          <w:sz w:val="32"/>
          <w:szCs w:val="28"/>
          <w:highlight w:val="none"/>
          <w:lang w:val="en-US" w:eastAsia="zh-CN"/>
        </w:rPr>
      </w:pPr>
      <w:r>
        <w:rPr>
          <w:rFonts w:hint="eastAsia" w:ascii="黑体" w:hAnsi="黑体" w:eastAsia="黑体" w:cs="黑体"/>
          <w:b/>
          <w:bCs/>
          <w:sz w:val="32"/>
          <w:szCs w:val="28"/>
          <w:highlight w:val="none"/>
          <w:lang w:val="en-US" w:eastAsia="zh-CN"/>
        </w:rPr>
        <w:t>调研详情分析</w:t>
      </w:r>
    </w:p>
    <w:p w14:paraId="02194BF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eastAsia" w:ascii="仿宋" w:hAnsi="仿宋" w:eastAsia="仿宋_GB2312" w:cs="仿宋"/>
          <w:b/>
          <w:bCs/>
          <w:color w:val="auto"/>
          <w:sz w:val="32"/>
          <w:szCs w:val="28"/>
          <w:highlight w:val="none"/>
          <w:lang w:val="en-US" w:eastAsia="zh-CN"/>
        </w:rPr>
        <w:t>从整体运营发展策略上看，中移动与中电信呈现出两种不同的发展思路与路径。</w:t>
      </w:r>
    </w:p>
    <w:p w14:paraId="6409DB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在公众客户市场，中移动有三大竞争策略，与中电信形成明显对比。策略一，以移动业务为基础，通过宽带迎回策略对家庭客户市场进行迂回包抄；而中电信以宽带业务为基础，通过拓展副卡和卡槽占领的方式发展全融合业务，以巩固家庭客户阵地。策略二，以低门槛引客户入网再慢慢拉高客户价值；而中电信则是高门槛锁定客户价值。策略三，以代理渠道为主拓展市场，中电信则以自有渠道为主</w:t>
      </w:r>
      <w:r>
        <w:rPr>
          <w:rFonts w:hint="default" w:ascii="仿宋" w:hAnsi="仿宋" w:eastAsia="仿宋_GB2312" w:cs="仿宋"/>
          <w:b w:val="0"/>
          <w:bCs w:val="0"/>
          <w:sz w:val="32"/>
          <w:szCs w:val="28"/>
          <w:highlight w:val="none"/>
          <w:lang w:val="en-US" w:eastAsia="zh-CN"/>
        </w:rPr>
        <w:t>。</w:t>
      </w:r>
      <w:r>
        <w:rPr>
          <w:rFonts w:hint="eastAsia" w:ascii="仿宋" w:hAnsi="仿宋" w:eastAsia="仿宋_GB2312" w:cs="仿宋"/>
          <w:b w:val="0"/>
          <w:bCs w:val="0"/>
          <w:sz w:val="32"/>
          <w:szCs w:val="28"/>
          <w:highlight w:val="none"/>
          <w:lang w:val="en-US" w:eastAsia="zh-CN"/>
        </w:rPr>
        <w:t>中移动三大策略与中电信对比见表1。</w:t>
      </w:r>
    </w:p>
    <w:p w14:paraId="3CE81A5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center"/>
        <w:textAlignment w:val="auto"/>
        <w:rPr>
          <w:rFonts w:hint="default" w:ascii="楷体" w:hAnsi="楷体" w:eastAsia="楷体" w:cs="楷体"/>
          <w:b/>
          <w:bCs/>
          <w:color w:val="000000" w:themeColor="text1"/>
          <w:sz w:val="28"/>
          <w:szCs w:val="22"/>
          <w:highlight w:val="none"/>
          <w:lang w:val="en-US" w:eastAsia="zh-CN"/>
          <w14:textFill>
            <w14:solidFill>
              <w14:schemeClr w14:val="tx1"/>
            </w14:solidFill>
          </w14:textFill>
        </w:rPr>
      </w:pPr>
      <w:r>
        <w:rPr>
          <w:rFonts w:hint="eastAsia" w:ascii="楷体" w:hAnsi="楷体" w:eastAsia="楷体" w:cs="楷体"/>
          <w:b/>
          <w:bCs/>
          <w:color w:val="000000" w:themeColor="text1"/>
          <w:sz w:val="28"/>
          <w:szCs w:val="22"/>
          <w:highlight w:val="none"/>
          <w:lang w:val="en-US" w:eastAsia="zh-CN"/>
          <w14:textFill>
            <w14:solidFill>
              <w14:schemeClr w14:val="tx1"/>
            </w14:solidFill>
          </w14:textFill>
        </w:rPr>
        <w:t>表1：中移动和中电信公众客户市场发展策略对比</w:t>
      </w:r>
    </w:p>
    <w:tbl>
      <w:tblPr>
        <w:tblStyle w:val="24"/>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2300"/>
        <w:gridCol w:w="2443"/>
        <w:gridCol w:w="2271"/>
      </w:tblGrid>
      <w:tr w14:paraId="23B8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5" w:type="dxa"/>
            <w:shd w:val="clear" w:color="auto" w:fill="BEBEBE" w:themeFill="background1" w:themeFillShade="BF"/>
          </w:tcPr>
          <w:p w14:paraId="7264DF0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textAlignment w:val="auto"/>
              <w:rPr>
                <w:rFonts w:hint="eastAsia" w:ascii="楷体" w:hAnsi="楷体" w:eastAsia="楷体" w:cs="楷体"/>
                <w:b w:val="0"/>
                <w:bCs/>
                <w:sz w:val="28"/>
                <w:szCs w:val="28"/>
                <w:highlight w:val="none"/>
                <w:vertAlign w:val="baseline"/>
                <w:lang w:val="en-US" w:eastAsia="zh-CN"/>
              </w:rPr>
            </w:pPr>
          </w:p>
        </w:tc>
        <w:tc>
          <w:tcPr>
            <w:tcW w:w="2300" w:type="dxa"/>
            <w:shd w:val="clear" w:color="auto" w:fill="BEBEBE" w:themeFill="background1" w:themeFillShade="BF"/>
          </w:tcPr>
          <w:p w14:paraId="780F366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业务策略</w:t>
            </w:r>
          </w:p>
        </w:tc>
        <w:tc>
          <w:tcPr>
            <w:tcW w:w="2443" w:type="dxa"/>
            <w:shd w:val="clear" w:color="auto" w:fill="BEBEBE" w:themeFill="background1" w:themeFillShade="BF"/>
          </w:tcPr>
          <w:p w14:paraId="1210E49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资费策略</w:t>
            </w:r>
          </w:p>
        </w:tc>
        <w:tc>
          <w:tcPr>
            <w:tcW w:w="2271" w:type="dxa"/>
            <w:shd w:val="clear" w:color="auto" w:fill="BEBEBE" w:themeFill="background1" w:themeFillShade="BF"/>
          </w:tcPr>
          <w:p w14:paraId="5722064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渠道策略</w:t>
            </w:r>
          </w:p>
        </w:tc>
      </w:tr>
      <w:tr w14:paraId="0F0A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5" w:type="dxa"/>
            <w:vAlign w:val="center"/>
          </w:tcPr>
          <w:p w14:paraId="6DDB6CB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中国移动</w:t>
            </w:r>
          </w:p>
        </w:tc>
        <w:tc>
          <w:tcPr>
            <w:tcW w:w="2300" w:type="dxa"/>
          </w:tcPr>
          <w:p w14:paraId="4167616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以移动业务为基础，实施宽带迎回策略</w:t>
            </w:r>
          </w:p>
        </w:tc>
        <w:tc>
          <w:tcPr>
            <w:tcW w:w="2443" w:type="dxa"/>
          </w:tcPr>
          <w:p w14:paraId="5E2E7CB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低门槛吸引客户，再逐步拉高客户价值</w:t>
            </w:r>
          </w:p>
        </w:tc>
        <w:tc>
          <w:tcPr>
            <w:tcW w:w="2271" w:type="dxa"/>
          </w:tcPr>
          <w:p w14:paraId="65C5305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代理渠道为主</w:t>
            </w:r>
          </w:p>
        </w:tc>
      </w:tr>
      <w:tr w14:paraId="3EA3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5" w:type="dxa"/>
            <w:vAlign w:val="center"/>
          </w:tcPr>
          <w:p w14:paraId="6FD81C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中国电信</w:t>
            </w:r>
          </w:p>
        </w:tc>
        <w:tc>
          <w:tcPr>
            <w:tcW w:w="2300" w:type="dxa"/>
          </w:tcPr>
          <w:p w14:paraId="50F1719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以宽带为基础，拓展移动业务</w:t>
            </w:r>
          </w:p>
        </w:tc>
        <w:tc>
          <w:tcPr>
            <w:tcW w:w="2443" w:type="dxa"/>
          </w:tcPr>
          <w:p w14:paraId="05F8321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高门槛锁定客户价值</w:t>
            </w:r>
          </w:p>
        </w:tc>
        <w:tc>
          <w:tcPr>
            <w:tcW w:w="2271" w:type="dxa"/>
          </w:tcPr>
          <w:p w14:paraId="3D0EEB5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自有渠道为主</w:t>
            </w:r>
          </w:p>
        </w:tc>
      </w:tr>
    </w:tbl>
    <w:p w14:paraId="05D545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仿宋" w:hAnsi="仿宋" w:eastAsia="仿宋_GB2312" w:cs="仿宋"/>
          <w:b w:val="0"/>
          <w:bCs w:val="0"/>
          <w:sz w:val="32"/>
          <w:szCs w:val="28"/>
          <w:highlight w:val="none"/>
          <w:lang w:val="en-US" w:eastAsia="zh-CN"/>
        </w:rPr>
      </w:pPr>
    </w:p>
    <w:p w14:paraId="08BAA97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eastAsia" w:ascii="仿宋" w:hAnsi="仿宋" w:eastAsia="仿宋_GB2312" w:cs="仿宋"/>
          <w:b/>
          <w:bCs/>
          <w:color w:val="auto"/>
          <w:sz w:val="32"/>
          <w:szCs w:val="28"/>
          <w:highlight w:val="none"/>
          <w:lang w:val="en-US" w:eastAsia="zh-CN"/>
        </w:rPr>
        <w:t>业务策略</w:t>
      </w:r>
    </w:p>
    <w:p w14:paraId="7514BD5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中移动以移动业务为基础实施宽带迎回策略。</w:t>
      </w:r>
    </w:p>
    <w:p w14:paraId="129AB3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首先，中移动加强高价值聚类小区随销上门业务加载，重点面向“电信宽带、移动手机号码”客户做宽带迎回营销。</w:t>
      </w:r>
    </w:p>
    <w:p w14:paraId="0D20E8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其次，分段施策：区分高中低移动套餐抓融合套餐，并要求不同的宽带渗透率。</w:t>
      </w:r>
      <w:r>
        <w:rPr>
          <w:rFonts w:hint="eastAsia" w:ascii="仿宋" w:hAnsi="仿宋" w:eastAsia="仿宋_GB2312" w:cs="仿宋"/>
          <w:b w:val="0"/>
          <w:bCs w:val="0"/>
          <w:sz w:val="32"/>
          <w:szCs w:val="28"/>
          <w:highlight w:val="none"/>
          <w:lang w:val="en-US" w:eastAsia="zh-CN"/>
        </w:rPr>
        <w:t>199+套餐宽带渗透率要求达到70%；重点是以融破融，结合高质量新增五折优惠（199元套餐低至99元/月），抢夺高价值新宽客户。</w:t>
      </w:r>
      <w:r>
        <w:rPr>
          <w:rFonts w:hint="default" w:ascii="仿宋" w:hAnsi="仿宋" w:eastAsia="仿宋_GB2312" w:cs="仿宋"/>
          <w:b w:val="0"/>
          <w:bCs w:val="0"/>
          <w:sz w:val="32"/>
          <w:szCs w:val="28"/>
          <w:highlight w:val="none"/>
          <w:lang w:val="en-US" w:eastAsia="zh-CN"/>
        </w:rPr>
        <w:t>59-199套餐宽带渗透</w:t>
      </w:r>
      <w:r>
        <w:rPr>
          <w:rFonts w:hint="eastAsia" w:ascii="仿宋" w:hAnsi="仿宋" w:eastAsia="仿宋_GB2312" w:cs="仿宋"/>
          <w:b w:val="0"/>
          <w:bCs w:val="0"/>
          <w:sz w:val="32"/>
          <w:szCs w:val="28"/>
          <w:highlight w:val="none"/>
          <w:lang w:val="en-US" w:eastAsia="zh-CN"/>
        </w:rPr>
        <w:t>率要求达到40%；重点是融合扩容，结合客户偏好推广大屏版/咪咕版/组网版全家享礼包。59+套餐宽带渗透率要求达到15%；通过合约捆绑的方式，29-59客户主推全家享礼包，组群加成员；29+客户主推300M/1000M宽带合约，到期自动续约。</w:t>
      </w:r>
    </w:p>
    <w:p w14:paraId="4A3DFAB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面向移动所有的手机用户，无差别送宽带。只要在网三个月、套餐在39元及以上，就免费送300兆的宽带；同时会根据客户移动套餐的价值，在速率上有一定差别，比如有的地市78元套餐以上就可以送1000兆宽带，有的地市138元套餐送1000兆宽带。</w:t>
      </w:r>
    </w:p>
    <w:p w14:paraId="7905202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640" w:firstLineChars="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中电信以宽带为基础，拓展移动业务。</w:t>
      </w:r>
      <w:r>
        <w:rPr>
          <w:rFonts w:hint="eastAsia" w:ascii="仿宋" w:hAnsi="仿宋" w:eastAsia="仿宋_GB2312" w:cs="仿宋"/>
          <w:b w:val="0"/>
          <w:bCs w:val="0"/>
          <w:sz w:val="32"/>
          <w:szCs w:val="28"/>
          <w:highlight w:val="none"/>
          <w:lang w:val="en-US" w:eastAsia="zh-CN"/>
        </w:rPr>
        <w:t>一是重视宽带的稳定性和速率保障，稳固电信宽带在家庭客户心智中的优质宽带网络印象，同时做好装维服务。二是重视副卡拓展，并通过副卡活跃送流量的方式刺激副卡使用。</w:t>
      </w:r>
    </w:p>
    <w:p w14:paraId="417D923D">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eastAsia" w:ascii="仿宋" w:hAnsi="仿宋" w:eastAsia="仿宋_GB2312" w:cs="仿宋"/>
          <w:b/>
          <w:bCs/>
          <w:color w:val="auto"/>
          <w:sz w:val="32"/>
          <w:szCs w:val="28"/>
          <w:highlight w:val="none"/>
          <w:lang w:val="en-US" w:eastAsia="zh-CN"/>
        </w:rPr>
        <w:t>资费</w:t>
      </w:r>
      <w:r>
        <w:rPr>
          <w:rFonts w:hint="default" w:ascii="仿宋" w:hAnsi="仿宋" w:eastAsia="仿宋_GB2312" w:cs="仿宋"/>
          <w:b/>
          <w:bCs/>
          <w:color w:val="auto"/>
          <w:sz w:val="32"/>
          <w:szCs w:val="28"/>
          <w:highlight w:val="none"/>
          <w:lang w:val="en-US" w:eastAsia="zh-CN"/>
        </w:rPr>
        <w:t>策略</w:t>
      </w:r>
    </w:p>
    <w:p w14:paraId="49BBE1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在资费策略上，中移动与中电信则是相向而行的的两种思路：中移动低门槛入网，再通过限期产品体验的方式逐步提高客户价值。中电信在高套策略引导下，高门槛入网，客户对中电信高价格的印象感知更加深刻。</w:t>
      </w:r>
    </w:p>
    <w:p w14:paraId="3BC8E82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中移动在不同细分市场的入网资费均显著低于中电信。</w:t>
      </w:r>
    </w:p>
    <w:p w14:paraId="136ED189">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公众客户市场分为主流社区家庭市场和低端市场。对比中移动和中电信的入网套餐资费，可以看到移动对客户群的划分更细，并通过差异化定价来覆盖。</w:t>
      </w:r>
    </w:p>
    <w:p w14:paraId="42B390DA">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如在流动市场，区分本地流动市场和漫入流动市场，相应地适配不同档位的手机卡套餐；而中电信在低端消费人群的套餐匹配与覆盖明显不足。再如面向老旧小区、城中村等消费力不足的区域市场，灵活设置不同档次的安装调测费；而中电信则相对缺乏变通。在主流社区家庭市场，中移动的入网资费相对低端市场要高出很多；但与中电信相比，在不同地市均显著低于中电信。具体参见表2。</w:t>
      </w:r>
    </w:p>
    <w:p w14:paraId="1639347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center"/>
        <w:textAlignment w:val="auto"/>
        <w:rPr>
          <w:rFonts w:hint="default" w:ascii="楷体" w:hAnsi="楷体" w:eastAsia="楷体" w:cs="楷体"/>
          <w:b/>
          <w:bCs/>
          <w:color w:val="000000" w:themeColor="text1"/>
          <w:sz w:val="28"/>
          <w:szCs w:val="22"/>
          <w:highlight w:val="none"/>
          <w:lang w:val="en-US" w:eastAsia="zh-CN"/>
          <w14:textFill>
            <w14:solidFill>
              <w14:schemeClr w14:val="tx1"/>
            </w14:solidFill>
          </w14:textFill>
        </w:rPr>
      </w:pPr>
      <w:r>
        <w:rPr>
          <w:rFonts w:hint="eastAsia" w:ascii="楷体" w:hAnsi="楷体" w:eastAsia="楷体" w:cs="楷体"/>
          <w:b/>
          <w:bCs/>
          <w:color w:val="000000" w:themeColor="text1"/>
          <w:sz w:val="28"/>
          <w:szCs w:val="22"/>
          <w:highlight w:val="none"/>
          <w:lang w:val="en-US" w:eastAsia="zh-CN"/>
          <w14:textFill>
            <w14:solidFill>
              <w14:schemeClr w14:val="tx1"/>
            </w14:solidFill>
          </w14:textFill>
        </w:rPr>
        <w:t>表2：不同细分市场中移动与中电信入网资费对比</w:t>
      </w:r>
    </w:p>
    <w:tbl>
      <w:tblPr>
        <w:tblStyle w:val="24"/>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3390"/>
        <w:gridCol w:w="1070"/>
        <w:gridCol w:w="2975"/>
      </w:tblGrid>
      <w:tr w14:paraId="13F7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085" w:type="dxa"/>
            <w:shd w:val="clear" w:color="auto" w:fill="BEBEBE" w:themeFill="background1" w:themeFillShade="BF"/>
            <w:vAlign w:val="center"/>
          </w:tcPr>
          <w:p w14:paraId="1EC7F85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用户群</w:t>
            </w:r>
          </w:p>
        </w:tc>
        <w:tc>
          <w:tcPr>
            <w:tcW w:w="3390" w:type="dxa"/>
            <w:tcBorders>
              <w:right w:val="double" w:color="auto" w:sz="4" w:space="0"/>
            </w:tcBorders>
            <w:shd w:val="clear" w:color="auto" w:fill="BEBEBE" w:themeFill="background1" w:themeFillShade="BF"/>
            <w:vAlign w:val="center"/>
          </w:tcPr>
          <w:p w14:paraId="3B3F7A0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低端市场</w:t>
            </w:r>
          </w:p>
        </w:tc>
        <w:tc>
          <w:tcPr>
            <w:tcW w:w="1070" w:type="dxa"/>
            <w:tcBorders>
              <w:left w:val="double" w:color="auto" w:sz="4" w:space="0"/>
            </w:tcBorders>
            <w:shd w:val="clear" w:color="auto" w:fill="BEBEBE" w:themeFill="background1" w:themeFillShade="BF"/>
            <w:vAlign w:val="center"/>
          </w:tcPr>
          <w:p w14:paraId="0329444B">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区域</w:t>
            </w:r>
          </w:p>
        </w:tc>
        <w:tc>
          <w:tcPr>
            <w:tcW w:w="2975" w:type="dxa"/>
            <w:shd w:val="clear" w:color="auto" w:fill="BEBEBE" w:themeFill="background1" w:themeFillShade="BF"/>
            <w:vAlign w:val="center"/>
          </w:tcPr>
          <w:p w14:paraId="29D15B6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主流社区家庭市场</w:t>
            </w:r>
          </w:p>
        </w:tc>
      </w:tr>
      <w:tr w14:paraId="5507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5" w:type="dxa"/>
            <w:vAlign w:val="center"/>
          </w:tcPr>
          <w:p w14:paraId="4A7C62A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流动市场：</w:t>
            </w:r>
          </w:p>
        </w:tc>
        <w:tc>
          <w:tcPr>
            <w:tcW w:w="3390" w:type="dxa"/>
            <w:tcBorders>
              <w:right w:val="double" w:color="auto" w:sz="4" w:space="0"/>
            </w:tcBorders>
          </w:tcPr>
          <w:p w14:paraId="37E45F7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中移动：</w:t>
            </w:r>
          </w:p>
          <w:p w14:paraId="56B7F0E1">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主推29元手机卡；最低套餐卡低至9元/月；</w:t>
            </w:r>
          </w:p>
          <w:p w14:paraId="23E5B034">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在机场、口岸等入境途经点主推39元潮玩青春卡</w:t>
            </w:r>
          </w:p>
          <w:p w14:paraId="5A2E081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中电信：</w:t>
            </w:r>
          </w:p>
          <w:p w14:paraId="199AA261">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主推39元手机卡；集团套餐卡29元/月</w:t>
            </w:r>
          </w:p>
        </w:tc>
        <w:tc>
          <w:tcPr>
            <w:tcW w:w="1070" w:type="dxa"/>
            <w:tcBorders>
              <w:left w:val="double" w:color="auto" w:sz="4" w:space="0"/>
            </w:tcBorders>
            <w:vAlign w:val="center"/>
          </w:tcPr>
          <w:p w14:paraId="59D34F4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sz w:val="24"/>
                <w:szCs w:val="24"/>
                <w:highlight w:val="none"/>
                <w:vertAlign w:val="baseline"/>
                <w:lang w:val="en-US" w:eastAsia="zh-CN"/>
              </w:rPr>
              <w:t>地市1：</w:t>
            </w:r>
          </w:p>
        </w:tc>
        <w:tc>
          <w:tcPr>
            <w:tcW w:w="2975" w:type="dxa"/>
            <w:vAlign w:val="center"/>
          </w:tcPr>
          <w:p w14:paraId="41F6357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中移动：</w:t>
            </w:r>
          </w:p>
          <w:p w14:paraId="15AC5202">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jc w:val="both"/>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主推69元，500兆、80G流量以及300分钟</w:t>
            </w:r>
          </w:p>
          <w:p w14:paraId="58A2370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中电信:</w:t>
            </w:r>
          </w:p>
          <w:p w14:paraId="7DAF7CA0">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jc w:val="both"/>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129元，300兆、20G、300分钟</w:t>
            </w:r>
          </w:p>
        </w:tc>
      </w:tr>
      <w:tr w14:paraId="57D0D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5" w:type="dxa"/>
            <w:vAlign w:val="center"/>
          </w:tcPr>
          <w:p w14:paraId="7D6FAB2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老旧小区、城中村等区域：</w:t>
            </w:r>
          </w:p>
        </w:tc>
        <w:tc>
          <w:tcPr>
            <w:tcW w:w="3390" w:type="dxa"/>
            <w:tcBorders>
              <w:right w:val="double" w:color="auto" w:sz="4" w:space="0"/>
            </w:tcBorders>
          </w:tcPr>
          <w:p w14:paraId="5581789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中移动：</w:t>
            </w:r>
          </w:p>
          <w:p w14:paraId="47C81C48">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360元包年、300M宽带</w:t>
            </w:r>
          </w:p>
          <w:p w14:paraId="53472BE4">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安装调测费：分档设置，分为100/200/300三档</w:t>
            </w:r>
          </w:p>
          <w:p w14:paraId="3D98C75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中电信：</w:t>
            </w:r>
          </w:p>
          <w:p w14:paraId="472007E3">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79/99元、100M套餐，只针对城中村或竞争区域等特定客群</w:t>
            </w:r>
          </w:p>
          <w:p w14:paraId="6EE4C1C7">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安装调测费统一300元</w:t>
            </w:r>
          </w:p>
        </w:tc>
        <w:tc>
          <w:tcPr>
            <w:tcW w:w="1070" w:type="dxa"/>
            <w:tcBorders>
              <w:left w:val="double" w:color="auto" w:sz="4" w:space="0"/>
            </w:tcBorders>
            <w:vAlign w:val="center"/>
          </w:tcPr>
          <w:p w14:paraId="32F1202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sz w:val="24"/>
                <w:szCs w:val="24"/>
                <w:highlight w:val="none"/>
                <w:vertAlign w:val="baseline"/>
                <w:lang w:val="en-US" w:eastAsia="zh-CN"/>
              </w:rPr>
              <w:t>地市2：</w:t>
            </w:r>
          </w:p>
        </w:tc>
        <w:tc>
          <w:tcPr>
            <w:tcW w:w="2975" w:type="dxa"/>
            <w:vAlign w:val="center"/>
          </w:tcPr>
          <w:p w14:paraId="318EC78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中移动：</w:t>
            </w:r>
          </w:p>
          <w:p w14:paraId="04033769">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jc w:val="both"/>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79元千兆</w:t>
            </w:r>
          </w:p>
          <w:p w14:paraId="2BEB5CC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pPr>
            <w:r>
              <w:rPr>
                <w:rFonts w:hint="eastAsia" w:ascii="楷体" w:hAnsi="楷体" w:eastAsia="楷体" w:cs="楷体"/>
                <w:b/>
                <w:bCs w:val="0"/>
                <w:color w:val="000000" w:themeColor="text1"/>
                <w:sz w:val="28"/>
                <w:szCs w:val="28"/>
                <w:highlight w:val="none"/>
                <w:u w:val="single"/>
                <w:vertAlign w:val="baseline"/>
                <w:lang w:val="en-US" w:eastAsia="zh-CN"/>
                <w14:textFill>
                  <w14:solidFill>
                    <w14:schemeClr w14:val="tx1"/>
                  </w14:solidFill>
                </w14:textFill>
              </w:rPr>
              <w:t>中电信：</w:t>
            </w:r>
          </w:p>
          <w:p w14:paraId="3BFD4C23">
            <w:pPr>
              <w:keepNext w:val="0"/>
              <w:keepLines w:val="0"/>
              <w:pageBreakBefore w:val="0"/>
              <w:widowControl w:val="0"/>
              <w:numPr>
                <w:ilvl w:val="0"/>
                <w:numId w:val="9"/>
              </w:numPr>
              <w:suppressLineNumbers w:val="0"/>
              <w:kinsoku/>
              <w:wordWrap/>
              <w:overflowPunct/>
              <w:topLinePunct w:val="0"/>
              <w:autoSpaceDE/>
              <w:autoSpaceDN/>
              <w:bidi w:val="0"/>
              <w:adjustRightInd/>
              <w:snapToGrid/>
              <w:spacing w:before="0" w:beforeAutospacing="0" w:after="0" w:afterAutospacing="0" w:line="240" w:lineRule="auto"/>
              <w:ind w:left="220" w:leftChars="0" w:right="0" w:hanging="220" w:firstLineChars="0"/>
              <w:jc w:val="both"/>
              <w:textAlignment w:val="auto"/>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4"/>
                <w:szCs w:val="24"/>
                <w:highlight w:val="none"/>
                <w:vertAlign w:val="baseline"/>
                <w:lang w:val="en-US" w:eastAsia="zh-CN"/>
                <w14:textFill>
                  <w14:solidFill>
                    <w14:schemeClr w14:val="tx1"/>
                  </w14:solidFill>
                </w14:textFill>
              </w:rPr>
              <w:t>169元千兆</w:t>
            </w:r>
          </w:p>
        </w:tc>
      </w:tr>
    </w:tbl>
    <w:p w14:paraId="76F2FCFF">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p>
    <w:p w14:paraId="7B6AD1B0">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中移动采取限期体验策略，培养客户对其增值应用使用习惯，逐步拉高在网客户价值。</w:t>
      </w:r>
      <w:r>
        <w:rPr>
          <w:rFonts w:hint="eastAsia" w:ascii="仿宋" w:hAnsi="仿宋" w:eastAsia="仿宋_GB2312" w:cs="仿宋"/>
          <w:b w:val="0"/>
          <w:bCs w:val="0"/>
          <w:sz w:val="32"/>
          <w:szCs w:val="28"/>
          <w:highlight w:val="none"/>
          <w:lang w:val="en-US" w:eastAsia="zh-CN"/>
        </w:rPr>
        <w:t>限期体验有两种方式：一是对部分产品免费体验半年，体验期满可续约可取消。二是推出可选低价体验包，如芒果包5折、NBA包10元、足球包10元等，在强化用户权益获得感的同时，培养用户使用习惯。</w:t>
      </w:r>
    </w:p>
    <w:p w14:paraId="3ADF3D10">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20" w:firstLineChars="0"/>
        <w:jc w:val="left"/>
        <w:textAlignment w:val="auto"/>
        <w:outlineLvl w:val="1"/>
        <w:rPr>
          <w:rFonts w:hint="default" w:ascii="仿宋" w:hAnsi="仿宋" w:eastAsia="仿宋_GB2312" w:cs="仿宋"/>
          <w:b/>
          <w:bCs/>
          <w:color w:val="auto"/>
          <w:sz w:val="32"/>
          <w:szCs w:val="28"/>
          <w:highlight w:val="none"/>
          <w:lang w:val="en-US" w:eastAsia="zh-CN"/>
        </w:rPr>
      </w:pPr>
      <w:r>
        <w:rPr>
          <w:rFonts w:hint="eastAsia" w:ascii="仿宋" w:hAnsi="仿宋" w:eastAsia="仿宋_GB2312" w:cs="仿宋"/>
          <w:b/>
          <w:bCs/>
          <w:color w:val="auto"/>
          <w:sz w:val="32"/>
          <w:szCs w:val="28"/>
          <w:highlight w:val="none"/>
          <w:lang w:val="en-US" w:eastAsia="zh-CN"/>
        </w:rPr>
        <w:t>渠道策略</w:t>
      </w:r>
    </w:p>
    <w:p w14:paraId="24A0BC45">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一直以来，中电信的地面渠道力量在三家运营商中是最强的。但近两年，中移动在逐步加大地面渠道的投入：一方面收编了很多合作的地面代理商，如收编铁通的地面代理商，通过成本投入的方式去拉商；另一方面开始重视地面自有渠道的建设，因为代理商不属于“以我为主”的渠道体系。这些措施都使得中电信的地面渠道优势在逐渐弱化。</w:t>
      </w:r>
    </w:p>
    <w:p w14:paraId="0489BFA2">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val="0"/>
          <w:bCs w:val="0"/>
          <w:sz w:val="32"/>
          <w:szCs w:val="28"/>
          <w:highlight w:val="none"/>
          <w:lang w:val="en-US" w:eastAsia="zh-CN"/>
        </w:rPr>
        <w:t>这种背景导致中移动和中电信在渠道运营上的策略存在较大差异。具体表现在三个方面：渠道性质、运营规范性和佣金政策。首先，中移动和中电信都通过代理渠道加强渠道的触点覆盖，但中移动以代理渠道为主而中电信则以自有渠道为主。其次，中移动大量通过第三方代理渠道对中电信在网手机客户进行持续外呼，具体操作过程中的规范性较弱；而中电信囿于规范性要求，基本不会运用代理渠道外呼。第三，中移动在成本支持下，对代理渠道执行10倍的高佣金政策，而中电信的渠道佣金仅3-5倍，远远低于中移动的佣金，一定程度上导致代理商反水。具体内容见表3。</w:t>
      </w:r>
    </w:p>
    <w:p w14:paraId="51E9F1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0" w:leftChars="0" w:firstLine="0" w:firstLineChars="0"/>
        <w:jc w:val="center"/>
        <w:textAlignment w:val="auto"/>
        <w:rPr>
          <w:rFonts w:hint="default" w:ascii="楷体" w:hAnsi="楷体" w:eastAsia="楷体" w:cs="楷体"/>
          <w:b/>
          <w:bCs/>
          <w:color w:val="000000" w:themeColor="text1"/>
          <w:sz w:val="28"/>
          <w:szCs w:val="22"/>
          <w:highlight w:val="none"/>
          <w:lang w:val="en-US" w:eastAsia="zh-CN"/>
          <w14:textFill>
            <w14:solidFill>
              <w14:schemeClr w14:val="tx1"/>
            </w14:solidFill>
          </w14:textFill>
        </w:rPr>
      </w:pPr>
      <w:r>
        <w:rPr>
          <w:rFonts w:hint="eastAsia" w:ascii="楷体" w:hAnsi="楷体" w:eastAsia="楷体" w:cs="楷体"/>
          <w:b/>
          <w:bCs/>
          <w:color w:val="000000" w:themeColor="text1"/>
          <w:sz w:val="28"/>
          <w:szCs w:val="22"/>
          <w:highlight w:val="none"/>
          <w:lang w:val="en-US" w:eastAsia="zh-CN"/>
          <w14:textFill>
            <w14:solidFill>
              <w14:schemeClr w14:val="tx1"/>
            </w14:solidFill>
          </w14:textFill>
        </w:rPr>
        <w:t>表3：中移动和中电信渠道策略对比</w:t>
      </w:r>
    </w:p>
    <w:tbl>
      <w:tblPr>
        <w:tblStyle w:val="24"/>
        <w:tblW w:w="84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2300"/>
        <w:gridCol w:w="2443"/>
        <w:gridCol w:w="2271"/>
      </w:tblGrid>
      <w:tr w14:paraId="302EB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5" w:type="dxa"/>
            <w:shd w:val="clear" w:color="auto" w:fill="BEBEBE" w:themeFill="background1" w:themeFillShade="BF"/>
          </w:tcPr>
          <w:p w14:paraId="1BABE86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textAlignment w:val="auto"/>
              <w:rPr>
                <w:rFonts w:hint="eastAsia" w:ascii="楷体" w:hAnsi="楷体" w:eastAsia="楷体" w:cs="楷体"/>
                <w:b w:val="0"/>
                <w:bCs/>
                <w:sz w:val="28"/>
                <w:szCs w:val="28"/>
                <w:highlight w:val="none"/>
                <w:vertAlign w:val="baseline"/>
                <w:lang w:val="en-US" w:eastAsia="zh-CN"/>
              </w:rPr>
            </w:pPr>
          </w:p>
        </w:tc>
        <w:tc>
          <w:tcPr>
            <w:tcW w:w="2300" w:type="dxa"/>
            <w:shd w:val="clear" w:color="auto" w:fill="BEBEBE" w:themeFill="background1" w:themeFillShade="BF"/>
          </w:tcPr>
          <w:p w14:paraId="1C51F41C">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渠道性质</w:t>
            </w:r>
          </w:p>
        </w:tc>
        <w:tc>
          <w:tcPr>
            <w:tcW w:w="2443" w:type="dxa"/>
            <w:shd w:val="clear" w:color="auto" w:fill="BEBEBE" w:themeFill="background1" w:themeFillShade="BF"/>
          </w:tcPr>
          <w:p w14:paraId="04845A82">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渠道运营规范性</w:t>
            </w:r>
          </w:p>
        </w:tc>
        <w:tc>
          <w:tcPr>
            <w:tcW w:w="2271" w:type="dxa"/>
            <w:shd w:val="clear" w:color="auto" w:fill="BEBEBE" w:themeFill="background1" w:themeFillShade="BF"/>
          </w:tcPr>
          <w:p w14:paraId="54DFDB4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288" w:lineRule="auto"/>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佣金政策</w:t>
            </w:r>
          </w:p>
        </w:tc>
      </w:tr>
      <w:tr w14:paraId="5732E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5" w:type="dxa"/>
            <w:vAlign w:val="center"/>
          </w:tcPr>
          <w:p w14:paraId="2CDA469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中移动</w:t>
            </w:r>
          </w:p>
        </w:tc>
        <w:tc>
          <w:tcPr>
            <w:tcW w:w="2300" w:type="dxa"/>
          </w:tcPr>
          <w:p w14:paraId="07420AA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代理渠道为主；</w:t>
            </w:r>
          </w:p>
          <w:p w14:paraId="1440F91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自有渠道以在网客户存量运营为重点</w:t>
            </w:r>
          </w:p>
        </w:tc>
        <w:tc>
          <w:tcPr>
            <w:tcW w:w="2443" w:type="dxa"/>
          </w:tcPr>
          <w:p w14:paraId="16C679F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通过代理渠道对中电信在网手机客户进行持续外呼骚扰，规范性弱</w:t>
            </w:r>
          </w:p>
        </w:tc>
        <w:tc>
          <w:tcPr>
            <w:tcW w:w="2271" w:type="dxa"/>
          </w:tcPr>
          <w:p w14:paraId="70B4EF7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高佣金政策，10倍佣金</w:t>
            </w:r>
          </w:p>
        </w:tc>
      </w:tr>
      <w:tr w14:paraId="193A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5" w:type="dxa"/>
            <w:vAlign w:val="center"/>
          </w:tcPr>
          <w:p w14:paraId="60DFB70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ascii="楷体" w:hAnsi="楷体" w:eastAsia="楷体" w:cs="楷体"/>
                <w:b/>
                <w:bCs w:val="0"/>
                <w:sz w:val="28"/>
                <w:szCs w:val="28"/>
                <w:highlight w:val="none"/>
                <w:vertAlign w:val="baseline"/>
                <w:lang w:val="en-US" w:eastAsia="zh-CN"/>
              </w:rPr>
            </w:pPr>
            <w:r>
              <w:rPr>
                <w:rFonts w:hint="eastAsia" w:ascii="楷体" w:hAnsi="楷体" w:eastAsia="楷体" w:cs="楷体"/>
                <w:b/>
                <w:bCs w:val="0"/>
                <w:sz w:val="28"/>
                <w:szCs w:val="28"/>
                <w:highlight w:val="none"/>
                <w:vertAlign w:val="baseline"/>
                <w:lang w:val="en-US" w:eastAsia="zh-CN"/>
              </w:rPr>
              <w:t>中电信</w:t>
            </w:r>
          </w:p>
        </w:tc>
        <w:tc>
          <w:tcPr>
            <w:tcW w:w="2300" w:type="dxa"/>
          </w:tcPr>
          <w:p w14:paraId="57316E0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自有渠道为主；</w:t>
            </w:r>
          </w:p>
          <w:p w14:paraId="2E44EB9F">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代理渠道以拓展线下生态触点为目的</w:t>
            </w:r>
          </w:p>
        </w:tc>
        <w:tc>
          <w:tcPr>
            <w:tcW w:w="2443" w:type="dxa"/>
          </w:tcPr>
          <w:p w14:paraId="14D3982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基本不会运用第三方代理渠道进行外呼，规范性强</w:t>
            </w:r>
          </w:p>
        </w:tc>
        <w:tc>
          <w:tcPr>
            <w:tcW w:w="2271" w:type="dxa"/>
          </w:tcPr>
          <w:p w14:paraId="0B740683">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default" w:ascii="楷体" w:hAnsi="楷体" w:eastAsia="楷体" w:cs="楷体"/>
                <w:b w:val="0"/>
                <w:bCs/>
                <w:color w:val="000000" w:themeColor="text1"/>
                <w:sz w:val="28"/>
                <w:szCs w:val="28"/>
                <w:highlight w:val="none"/>
                <w:vertAlign w:val="baseline"/>
                <w:lang w:val="en-US" w:eastAsia="zh-CN"/>
                <w14:textFill>
                  <w14:solidFill>
                    <w14:schemeClr w14:val="tx1"/>
                  </w14:solidFill>
                </w14:textFill>
              </w:rPr>
            </w:pPr>
            <w:r>
              <w:rPr>
                <w:rFonts w:hint="eastAsia" w:ascii="楷体" w:hAnsi="楷体" w:eastAsia="楷体" w:cs="楷体"/>
                <w:b w:val="0"/>
                <w:bCs/>
                <w:color w:val="000000" w:themeColor="text1"/>
                <w:sz w:val="28"/>
                <w:szCs w:val="28"/>
                <w:highlight w:val="none"/>
                <w:vertAlign w:val="baseline"/>
                <w:lang w:val="en-US" w:eastAsia="zh-CN"/>
                <w14:textFill>
                  <w14:solidFill>
                    <w14:schemeClr w14:val="tx1"/>
                  </w14:solidFill>
                </w14:textFill>
              </w:rPr>
              <w:t>佣金较中移动低，3倍-5倍佣金</w:t>
            </w:r>
          </w:p>
        </w:tc>
      </w:tr>
    </w:tbl>
    <w:p w14:paraId="6246D3C6">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p>
    <w:p w14:paraId="1CB028D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20" w:firstLineChars="0"/>
        <w:textAlignment w:val="auto"/>
        <w:outlineLvl w:val="0"/>
        <w:rPr>
          <w:rFonts w:hint="default" w:ascii="黑体" w:hAnsi="黑体" w:eastAsia="黑体" w:cs="黑体"/>
          <w:b/>
          <w:bCs/>
          <w:sz w:val="32"/>
          <w:szCs w:val="28"/>
          <w:highlight w:val="none"/>
          <w:lang w:val="en-US" w:eastAsia="zh-CN"/>
        </w:rPr>
      </w:pPr>
      <w:r>
        <w:rPr>
          <w:rFonts w:hint="eastAsia" w:ascii="黑体" w:hAnsi="黑体" w:eastAsia="黑体" w:cs="黑体"/>
          <w:b/>
          <w:bCs/>
          <w:sz w:val="32"/>
          <w:szCs w:val="28"/>
          <w:highlight w:val="none"/>
          <w:lang w:val="en-US" w:eastAsia="zh-CN"/>
        </w:rPr>
        <w:t>启示与建议</w:t>
      </w:r>
    </w:p>
    <w:p w14:paraId="2E3590A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bCs/>
          <w:sz w:val="32"/>
          <w:szCs w:val="28"/>
          <w:highlight w:val="none"/>
          <w:lang w:val="en-US" w:eastAsia="zh-CN"/>
        </w:rPr>
      </w:pPr>
      <w:r>
        <w:rPr>
          <w:rFonts w:hint="eastAsia" w:ascii="仿宋" w:hAnsi="仿宋" w:eastAsia="仿宋_GB2312" w:cs="仿宋"/>
          <w:b/>
          <w:bCs/>
          <w:sz w:val="32"/>
          <w:szCs w:val="28"/>
          <w:highlight w:val="none"/>
          <w:lang w:val="en-US" w:eastAsia="zh-CN"/>
        </w:rPr>
        <w:t>强化宽带的相对长板优势，持续补足移动业务短板</w:t>
      </w:r>
      <w:r>
        <w:rPr>
          <w:rFonts w:hint="eastAsia" w:ascii="仿宋" w:hAnsi="仿宋" w:eastAsia="仿宋_GB2312" w:cs="仿宋"/>
          <w:b w:val="0"/>
          <w:bCs w:val="0"/>
          <w:sz w:val="32"/>
          <w:szCs w:val="28"/>
          <w:highlight w:val="none"/>
          <w:lang w:val="en-US" w:eastAsia="zh-CN"/>
        </w:rPr>
        <w:t>。中电信目前在宽带稳定性、速率、装维服务等方面的相对优势在逐渐弱化，需要继续强化，打造电信优质宽带品牌；并以宽带为本持续提高在移动市场的份额。</w:t>
      </w:r>
    </w:p>
    <w:p w14:paraId="43103B8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套餐体系上，丰富单品和套餐档位，提高对不同人群的匹配度</w:t>
      </w:r>
      <w:r>
        <w:rPr>
          <w:rFonts w:hint="eastAsia" w:ascii="仿宋" w:hAnsi="仿宋" w:eastAsia="仿宋_GB2312" w:cs="仿宋"/>
          <w:b w:val="0"/>
          <w:bCs w:val="0"/>
          <w:sz w:val="32"/>
          <w:szCs w:val="28"/>
          <w:highlight w:val="none"/>
          <w:lang w:val="en-US" w:eastAsia="zh-CN"/>
        </w:rPr>
        <w:t>，尤其是低端用户群体。但需注意细分市场之间在渠道、场景等方面的区隔，以避免对存量客户造成影响。</w:t>
      </w:r>
    </w:p>
    <w:p w14:paraId="3FCFB66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640" w:firstLineChars="0"/>
        <w:jc w:val="left"/>
        <w:textAlignment w:val="auto"/>
        <w:rPr>
          <w:rFonts w:hint="eastAsia" w:ascii="仿宋" w:hAnsi="仿宋" w:eastAsia="仿宋_GB2312" w:cs="仿宋"/>
          <w:b w:val="0"/>
          <w:bCs w:val="0"/>
          <w:sz w:val="32"/>
          <w:szCs w:val="28"/>
          <w:highlight w:val="none"/>
          <w:lang w:val="en-US" w:eastAsia="zh-CN"/>
        </w:rPr>
      </w:pPr>
      <w:r>
        <w:rPr>
          <w:rFonts w:hint="eastAsia" w:ascii="仿宋" w:hAnsi="仿宋" w:eastAsia="仿宋_GB2312" w:cs="仿宋"/>
          <w:b/>
          <w:bCs/>
          <w:sz w:val="32"/>
          <w:szCs w:val="28"/>
          <w:highlight w:val="none"/>
          <w:lang w:val="en-US" w:eastAsia="zh-CN"/>
        </w:rPr>
        <w:t>进一步拓展线下代理渠道</w:t>
      </w:r>
      <w:r>
        <w:rPr>
          <w:rFonts w:hint="eastAsia" w:ascii="仿宋" w:hAnsi="仿宋" w:eastAsia="仿宋_GB2312" w:cs="仿宋"/>
          <w:b w:val="0"/>
          <w:bCs w:val="0"/>
          <w:sz w:val="32"/>
          <w:szCs w:val="28"/>
          <w:highlight w:val="none"/>
          <w:lang w:val="en-US" w:eastAsia="zh-CN"/>
        </w:rPr>
        <w:t>，一方面扩大生态触点覆盖面，另一方面考虑拓展体系化、触角广泛的社会渠道，以对自有渠道的触客面形成有力补充。</w:t>
      </w:r>
    </w:p>
    <w:p w14:paraId="01E26247">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default" w:ascii="仿宋" w:hAnsi="仿宋" w:eastAsia="仿宋_GB2312" w:cs="仿宋"/>
          <w:b w:val="0"/>
          <w:bCs w:val="0"/>
          <w:sz w:val="32"/>
          <w:szCs w:val="28"/>
          <w:highlight w:val="none"/>
          <w:lang w:val="en-US" w:eastAsia="zh-CN"/>
        </w:rPr>
      </w:pPr>
    </w:p>
    <w:p w14:paraId="2DF4078F">
      <w:pPr>
        <w:adjustRightInd w:val="0"/>
        <w:snapToGrid w:val="0"/>
        <w:spacing w:line="360" w:lineRule="auto"/>
        <w:ind w:firstLine="640" w:firstLineChars="200"/>
        <w:rPr>
          <w:rFonts w:hint="eastAsia" w:ascii="仿宋" w:hAnsi="仿宋" w:eastAsia="仿宋_GB2312" w:cs="仿宋"/>
          <w:color w:val="auto"/>
          <w:sz w:val="32"/>
          <w:szCs w:val="24"/>
          <w:highlight w:val="none"/>
          <w:lang w:val="en-US" w:eastAsia="zh-CN"/>
        </w:rPr>
      </w:pPr>
    </w:p>
    <w:p w14:paraId="5B63EA8D">
      <w:pPr>
        <w:keepNext w:val="0"/>
        <w:keepLines w:val="0"/>
        <w:widowControl/>
        <w:suppressLineNumbers w:val="0"/>
        <w:jc w:val="left"/>
        <w:rPr>
          <w:rFonts w:hint="eastAsia" w:ascii="宋体" w:hAnsi="宋体" w:eastAsia="宋体" w:cs="宋体"/>
          <w:sz w:val="30"/>
          <w:szCs w:val="24"/>
          <w:highlight w:val="none"/>
        </w:rPr>
      </w:pPr>
      <w:r>
        <w:rPr>
          <w:rFonts w:hint="eastAsia" w:ascii="楷体" w:hAnsi="楷体" w:eastAsia="楷体" w:cs="楷体"/>
          <w:b/>
          <w:bCs/>
          <w:color w:val="000000"/>
          <w:kern w:val="0"/>
          <w:sz w:val="30"/>
          <w:szCs w:val="30"/>
          <w:highlight w:val="none"/>
          <w:lang w:val="en-US" w:eastAsia="zh-CN" w:bidi="ar"/>
        </w:rPr>
        <w:t>作者简介：</w:t>
      </w:r>
      <w:r>
        <w:rPr>
          <w:rFonts w:hint="eastAsia" w:ascii="楷体" w:hAnsi="楷体" w:eastAsia="楷体" w:cs="楷体"/>
          <w:color w:val="000000"/>
          <w:kern w:val="0"/>
          <w:sz w:val="30"/>
          <w:szCs w:val="30"/>
          <w:highlight w:val="none"/>
          <w:lang w:val="en-US" w:eastAsia="zh-CN" w:bidi="ar"/>
        </w:rPr>
        <w:t>中国电信股份有限公司研究院/</w:t>
      </w:r>
      <w:r>
        <w:rPr>
          <w:rFonts w:hint="eastAsia" w:ascii="楷体" w:hAnsi="楷体" w:eastAsia="楷体" w:cs="楷体"/>
          <w:color w:val="000000"/>
          <w:kern w:val="0"/>
          <w:sz w:val="30"/>
          <w:szCs w:val="28"/>
          <w:highlight w:val="none"/>
          <w:lang w:val="en-US" w:eastAsia="zh-CN" w:bidi="ar"/>
        </w:rPr>
        <w:t xml:space="preserve">战略发展研究所 </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6560"/>
      </w:tblGrid>
      <w:tr w14:paraId="03E8D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6" w:type="dxa"/>
          </w:tcPr>
          <w:p w14:paraId="310C0B29">
            <w:pPr>
              <w:keepNext w:val="0"/>
              <w:keepLines w:val="0"/>
              <w:widowControl/>
              <w:suppressLineNumbers w:val="0"/>
              <w:spacing w:before="0" w:beforeAutospacing="0" w:after="0" w:afterAutospacing="0"/>
              <w:ind w:left="0" w:right="210"/>
              <w:jc w:val="center"/>
              <w:rPr>
                <w:rFonts w:hint="eastAsia" w:eastAsia="等线"/>
                <w:highlight w:val="none"/>
                <w:lang w:val="en-US" w:eastAsia="zh-CN"/>
              </w:rPr>
            </w:pPr>
            <w:r>
              <w:rPr>
                <w:rFonts w:hint="eastAsia"/>
                <w:color w:val="C00000"/>
                <w:highlight w:val="none"/>
                <w:lang w:val="en-US" w:eastAsia="zh-CN"/>
              </w:rPr>
              <w:t>附上彩色照片</w:t>
            </w:r>
          </w:p>
        </w:tc>
        <w:tc>
          <w:tcPr>
            <w:tcW w:w="6560" w:type="dxa"/>
            <w:shd w:val="clear" w:color="auto" w:fill="auto"/>
            <w:vAlign w:val="center"/>
          </w:tcPr>
          <w:p w14:paraId="754CEB42">
            <w:pPr>
              <w:keepNext w:val="0"/>
              <w:keepLines w:val="0"/>
              <w:widowControl/>
              <w:suppressLineNumbers w:val="0"/>
              <w:spacing w:before="109" w:beforeLines="35" w:beforeAutospacing="0" w:after="0" w:afterAutospacing="0" w:line="340" w:lineRule="exact"/>
              <w:ind w:left="0" w:right="0"/>
              <w:rPr>
                <w:rFonts w:hint="eastAsia" w:ascii="楷体" w:hAnsi="楷体" w:eastAsia="楷体" w:cstheme="minorEastAsia"/>
                <w:b/>
                <w:sz w:val="28"/>
                <w:szCs w:val="28"/>
                <w:highlight w:val="none"/>
              </w:rPr>
            </w:pPr>
            <w:r>
              <w:rPr>
                <w:rFonts w:hint="eastAsia" w:ascii="楷体" w:hAnsi="楷体" w:eastAsia="楷体" w:cstheme="minorEastAsia"/>
                <w:b/>
                <w:sz w:val="28"/>
                <w:szCs w:val="28"/>
                <w:highlight w:val="none"/>
                <w:lang w:val="en-US" w:eastAsia="zh-CN"/>
              </w:rPr>
              <w:t>第一作者</w:t>
            </w:r>
            <w:r>
              <w:rPr>
                <w:rFonts w:hint="eastAsia" w:ascii="楷体" w:hAnsi="楷体" w:eastAsia="楷体" w:cstheme="minorEastAsia"/>
                <w:b/>
                <w:sz w:val="28"/>
                <w:szCs w:val="28"/>
                <w:highlight w:val="none"/>
              </w:rPr>
              <w:t>【18</w:t>
            </w:r>
            <w:r>
              <w:rPr>
                <w:rFonts w:hint="eastAsia" w:ascii="楷体" w:hAnsi="楷体" w:eastAsia="楷体" w:cstheme="minorEastAsia"/>
                <w:b/>
                <w:sz w:val="28"/>
                <w:szCs w:val="28"/>
                <w:highlight w:val="none"/>
                <w:lang w:val="en-US" w:eastAsia="zh-CN"/>
              </w:rPr>
              <w:t>9****</w:t>
            </w:r>
            <w:r>
              <w:rPr>
                <w:rFonts w:hint="eastAsia" w:ascii="楷体" w:hAnsi="楷体" w:eastAsia="楷体" w:cstheme="minorEastAsia"/>
                <w:b/>
                <w:sz w:val="28"/>
                <w:szCs w:val="28"/>
                <w:highlight w:val="none"/>
              </w:rPr>
              <w:t>】</w:t>
            </w:r>
          </w:p>
          <w:p w14:paraId="7778E346">
            <w:pPr>
              <w:keepNext w:val="0"/>
              <w:keepLines w:val="0"/>
              <w:widowControl/>
              <w:suppressLineNumbers w:val="0"/>
              <w:spacing w:before="109" w:beforeLines="35" w:beforeAutospacing="0" w:after="0" w:afterAutospacing="0" w:line="340" w:lineRule="exact"/>
              <w:ind w:left="0" w:right="0"/>
              <w:rPr>
                <w:rFonts w:hint="default" w:ascii="楷体" w:hAnsi="楷体" w:eastAsia="楷体" w:cstheme="minorEastAsia"/>
                <w:sz w:val="28"/>
                <w:szCs w:val="28"/>
                <w:highlight w:val="none"/>
              </w:rPr>
            </w:pPr>
            <w:r>
              <w:rPr>
                <w:rFonts w:hint="eastAsia" w:ascii="楷体" w:hAnsi="楷体" w:eastAsia="楷体" w:cstheme="minorEastAsia"/>
                <w:sz w:val="28"/>
                <w:szCs w:val="28"/>
                <w:highlight w:val="none"/>
              </w:rPr>
              <w:t>长期从事通信行业研究，近年来专注于等领域研究。</w:t>
            </w:r>
          </w:p>
        </w:tc>
      </w:tr>
      <w:tr w14:paraId="31468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46" w:type="dxa"/>
          </w:tcPr>
          <w:p w14:paraId="05B1443F">
            <w:pPr>
              <w:keepNext w:val="0"/>
              <w:keepLines w:val="0"/>
              <w:widowControl/>
              <w:suppressLineNumbers w:val="0"/>
              <w:spacing w:before="0" w:beforeAutospacing="0" w:after="0" w:afterAutospacing="0"/>
              <w:ind w:left="0" w:right="210"/>
              <w:jc w:val="center"/>
              <w:rPr>
                <w:rFonts w:hint="eastAsia" w:ascii="华文宋体" w:hAnsi="华文宋体" w:eastAsia="华文宋体" w:cs="华文宋体"/>
                <w:sz w:val="24"/>
                <w:szCs w:val="24"/>
                <w:highlight w:val="none"/>
                <w:lang w:eastAsia="zh-CN"/>
              </w:rPr>
            </w:pPr>
            <w:r>
              <w:rPr>
                <w:rFonts w:hint="eastAsia"/>
                <w:color w:val="C00000"/>
                <w:highlight w:val="none"/>
                <w:lang w:val="en-US" w:eastAsia="zh-CN"/>
              </w:rPr>
              <w:t>附上彩色照片</w:t>
            </w:r>
          </w:p>
        </w:tc>
        <w:tc>
          <w:tcPr>
            <w:tcW w:w="6560" w:type="dxa"/>
            <w:shd w:val="clear" w:color="auto" w:fill="auto"/>
            <w:vAlign w:val="center"/>
          </w:tcPr>
          <w:p w14:paraId="2F351F85">
            <w:pPr>
              <w:keepNext w:val="0"/>
              <w:keepLines w:val="0"/>
              <w:widowControl/>
              <w:suppressLineNumbers w:val="0"/>
              <w:spacing w:before="109" w:beforeLines="35" w:beforeAutospacing="0" w:after="0" w:afterAutospacing="0" w:line="340" w:lineRule="exact"/>
              <w:ind w:left="0" w:right="0"/>
              <w:rPr>
                <w:rFonts w:hint="default" w:ascii="Calibri" w:hAnsi="Calibri" w:eastAsia="宋体" w:cs="Times New Roman"/>
                <w:kern w:val="2"/>
                <w:sz w:val="24"/>
                <w:szCs w:val="24"/>
                <w:highlight w:val="none"/>
                <w:lang w:val="en-US" w:eastAsia="zh-CN" w:bidi="ar"/>
              </w:rPr>
            </w:pPr>
            <w:r>
              <w:rPr>
                <w:rFonts w:hint="eastAsia" w:ascii="楷体" w:hAnsi="楷体" w:eastAsia="楷体" w:cstheme="minorEastAsia"/>
                <w:b/>
                <w:sz w:val="28"/>
                <w:szCs w:val="28"/>
                <w:highlight w:val="none"/>
                <w:lang w:val="en-US" w:eastAsia="zh-CN"/>
              </w:rPr>
              <w:t>第二作者</w:t>
            </w:r>
          </w:p>
          <w:p w14:paraId="3FDE00CA">
            <w:pPr>
              <w:keepNext w:val="0"/>
              <w:keepLines w:val="0"/>
              <w:widowControl/>
              <w:suppressLineNumbers w:val="0"/>
              <w:spacing w:before="109" w:beforeLines="35" w:beforeAutospacing="0" w:after="0" w:afterAutospacing="0" w:line="340" w:lineRule="exact"/>
              <w:ind w:left="0" w:right="0"/>
              <w:rPr>
                <w:rFonts w:hint="eastAsia" w:ascii="楷体" w:hAnsi="楷体" w:eastAsia="楷体" w:cstheme="minorEastAsia"/>
                <w:sz w:val="28"/>
                <w:szCs w:val="28"/>
                <w:highlight w:val="none"/>
              </w:rPr>
            </w:pPr>
            <w:r>
              <w:rPr>
                <w:rFonts w:hint="eastAsia" w:ascii="楷体" w:hAnsi="楷体" w:eastAsia="楷体" w:cstheme="minorEastAsia"/>
                <w:sz w:val="28"/>
                <w:szCs w:val="28"/>
                <w:highlight w:val="none"/>
                <w:lang w:val="en-US" w:eastAsia="zh-CN"/>
              </w:rPr>
              <w:t>硕士，长期从事**研究，专注于等相关领域研究。</w:t>
            </w:r>
          </w:p>
        </w:tc>
      </w:tr>
      <w:bookmarkEnd w:id="0"/>
    </w:tbl>
    <w:p w14:paraId="60DA0CBA">
      <w:pPr>
        <w:rPr>
          <w:rFonts w:ascii="楷体" w:hAnsi="楷体" w:eastAsia="楷体" w:cs="Times New Roman"/>
          <w:sz w:val="30"/>
          <w:szCs w:val="30"/>
          <w:highlight w:val="none"/>
          <w:shd w:val="clear" w:color="auto" w:fill="FFFFFF"/>
        </w:rPr>
      </w:pPr>
    </w:p>
    <w:sectPr>
      <w:headerReference r:id="rId3" w:type="default"/>
      <w:footerReference r:id="rId4" w:type="default"/>
      <w:footnotePr>
        <w:numFmt w:val="decimal"/>
        <w:numRestart w:val="eachSect"/>
      </w:footnote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幼圆">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7E559">
    <w:pPr>
      <w:pStyle w:val="15"/>
      <w:jc w:val="center"/>
    </w:pPr>
    <w:r>
      <w:fldChar w:fldCharType="begin"/>
    </w:r>
    <w:r>
      <w:instrText xml:space="preserve">PAGE   \* MERGEFORMAT</w:instrText>
    </w:r>
    <w:r>
      <w:fldChar w:fldCharType="separate"/>
    </w:r>
    <w:r>
      <w:rPr>
        <w:lang w:val="zh-CN"/>
      </w:rPr>
      <w:t>3</w:t>
    </w:r>
    <w:r>
      <w:fldChar w:fldCharType="end"/>
    </w:r>
  </w:p>
  <w:p w14:paraId="0AE4CC81">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8B954">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D7418"/>
    <w:multiLevelType w:val="singleLevel"/>
    <w:tmpl w:val="820D7418"/>
    <w:lvl w:ilvl="0" w:tentative="0">
      <w:start w:val="1"/>
      <w:numFmt w:val="decimal"/>
      <w:lvlText w:val="%1."/>
      <w:lvlJc w:val="left"/>
      <w:pPr>
        <w:ind w:left="425" w:hanging="425"/>
      </w:pPr>
      <w:rPr>
        <w:rFonts w:hint="default"/>
      </w:rPr>
    </w:lvl>
  </w:abstractNum>
  <w:abstractNum w:abstractNumId="1">
    <w:nsid w:val="82BA5C35"/>
    <w:multiLevelType w:val="singleLevel"/>
    <w:tmpl w:val="82BA5C35"/>
    <w:lvl w:ilvl="0" w:tentative="0">
      <w:start w:val="1"/>
      <w:numFmt w:val="decimal"/>
      <w:lvlText w:val="%1."/>
      <w:lvlJc w:val="left"/>
      <w:pPr>
        <w:ind w:left="425" w:hanging="425"/>
      </w:pPr>
      <w:rPr>
        <w:rFonts w:hint="default"/>
      </w:rPr>
    </w:lvl>
  </w:abstractNum>
  <w:abstractNum w:abstractNumId="2">
    <w:nsid w:val="A76E41C6"/>
    <w:multiLevelType w:val="singleLevel"/>
    <w:tmpl w:val="A76E41C6"/>
    <w:lvl w:ilvl="0" w:tentative="0">
      <w:start w:val="1"/>
      <w:numFmt w:val="decimal"/>
      <w:lvlText w:val="%1."/>
      <w:lvlJc w:val="left"/>
      <w:pPr>
        <w:ind w:left="425" w:hanging="425"/>
      </w:pPr>
      <w:rPr>
        <w:rFonts w:hint="default"/>
      </w:rPr>
    </w:lvl>
  </w:abstractNum>
  <w:abstractNum w:abstractNumId="3">
    <w:nsid w:val="FBC45B41"/>
    <w:multiLevelType w:val="singleLevel"/>
    <w:tmpl w:val="FBC45B41"/>
    <w:lvl w:ilvl="0" w:tentative="0">
      <w:start w:val="1"/>
      <w:numFmt w:val="chineseCounting"/>
      <w:suff w:val="nothing"/>
      <w:lvlText w:val="%1、"/>
      <w:lvlJc w:val="left"/>
      <w:pPr>
        <w:ind w:left="0" w:firstLine="420"/>
      </w:pPr>
      <w:rPr>
        <w:rFonts w:hint="eastAsia"/>
      </w:rPr>
    </w:lvl>
  </w:abstractNum>
  <w:abstractNum w:abstractNumId="4">
    <w:nsid w:val="0000000E"/>
    <w:multiLevelType w:val="multilevel"/>
    <w:tmpl w:val="0000000E"/>
    <w:lvl w:ilvl="0" w:tentative="0">
      <w:start w:val="1"/>
      <w:numFmt w:val="japaneseCounting"/>
      <w:pStyle w:val="80"/>
      <w:lvlText w:val="%1、"/>
      <w:lvlJc w:val="left"/>
      <w:pPr>
        <w:ind w:left="1360" w:hanging="720"/>
      </w:pPr>
      <w:rPr>
        <w:rFonts w:hint="default"/>
      </w:r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5">
    <w:nsid w:val="00000015"/>
    <w:multiLevelType w:val="multilevel"/>
    <w:tmpl w:val="00000015"/>
    <w:lvl w:ilvl="0" w:tentative="0">
      <w:start w:val="1"/>
      <w:numFmt w:val="decimal"/>
      <w:pStyle w:val="55"/>
      <w:lvlText w:val="图 %1 "/>
      <w:lvlJc w:val="left"/>
      <w:pPr>
        <w:ind w:left="420" w:hanging="4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1D6D98A"/>
    <w:multiLevelType w:val="singleLevel"/>
    <w:tmpl w:val="31D6D98A"/>
    <w:lvl w:ilvl="0" w:tentative="0">
      <w:start w:val="1"/>
      <w:numFmt w:val="decimal"/>
      <w:lvlText w:val="%1."/>
      <w:lvlJc w:val="left"/>
      <w:pPr>
        <w:ind w:left="425" w:hanging="425"/>
      </w:pPr>
      <w:rPr>
        <w:rFonts w:hint="default"/>
      </w:rPr>
    </w:lvl>
  </w:abstractNum>
  <w:abstractNum w:abstractNumId="7">
    <w:nsid w:val="467EFFAA"/>
    <w:multiLevelType w:val="singleLevel"/>
    <w:tmpl w:val="467EFFAA"/>
    <w:lvl w:ilvl="0" w:tentative="0">
      <w:start w:val="1"/>
      <w:numFmt w:val="bullet"/>
      <w:lvlText w:val=""/>
      <w:lvlJc w:val="left"/>
      <w:pPr>
        <w:ind w:left="420" w:hanging="420"/>
      </w:pPr>
      <w:rPr>
        <w:rFonts w:hint="default" w:ascii="Wingdings" w:hAnsi="Wingdings"/>
      </w:rPr>
    </w:lvl>
  </w:abstractNum>
  <w:abstractNum w:abstractNumId="8">
    <w:nsid w:val="4BCB7C0F"/>
    <w:multiLevelType w:val="singleLevel"/>
    <w:tmpl w:val="4BCB7C0F"/>
    <w:lvl w:ilvl="0" w:tentative="0">
      <w:start w:val="3"/>
      <w:numFmt w:val="chineseCounting"/>
      <w:suff w:val="nothing"/>
      <w:lvlText w:val="第%1，"/>
      <w:lvlJc w:val="left"/>
      <w:rPr>
        <w:rFonts w:hint="eastAsia"/>
      </w:rPr>
    </w:lvl>
  </w:abstractNum>
  <w:abstractNum w:abstractNumId="9">
    <w:nsid w:val="6E5C81D8"/>
    <w:multiLevelType w:val="singleLevel"/>
    <w:tmpl w:val="6E5C81D8"/>
    <w:lvl w:ilvl="0" w:tentative="0">
      <w:start w:val="1"/>
      <w:numFmt w:val="chineseCounting"/>
      <w:suff w:val="nothing"/>
      <w:lvlText w:val="（%1）"/>
      <w:lvlJc w:val="left"/>
      <w:pPr>
        <w:ind w:left="0" w:firstLine="420"/>
      </w:pPr>
      <w:rPr>
        <w:rFonts w:hint="eastAsia"/>
      </w:rPr>
    </w:lvl>
  </w:abstractNum>
  <w:num w:numId="1">
    <w:abstractNumId w:val="5"/>
  </w:num>
  <w:num w:numId="2">
    <w:abstractNumId w:val="4"/>
  </w:num>
  <w:num w:numId="3">
    <w:abstractNumId w:val="3"/>
  </w:num>
  <w:num w:numId="4">
    <w:abstractNumId w:val="1"/>
  </w:num>
  <w:num w:numId="5">
    <w:abstractNumId w:val="9"/>
  </w:num>
  <w:num w:numId="6">
    <w:abstractNumId w:val="6"/>
  </w:num>
  <w:num w:numId="7">
    <w:abstractNumId w:val="8"/>
  </w:num>
  <w:num w:numId="8">
    <w:abstractNumId w:val="0"/>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Sect"/>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085"/>
    <w:rsid w:val="00000DB4"/>
    <w:rsid w:val="00001754"/>
    <w:rsid w:val="0000242D"/>
    <w:rsid w:val="00007469"/>
    <w:rsid w:val="00007BC0"/>
    <w:rsid w:val="00007CCB"/>
    <w:rsid w:val="000139A6"/>
    <w:rsid w:val="0002231C"/>
    <w:rsid w:val="0002253F"/>
    <w:rsid w:val="00022E88"/>
    <w:rsid w:val="000242C2"/>
    <w:rsid w:val="00025DFF"/>
    <w:rsid w:val="00026005"/>
    <w:rsid w:val="000314FB"/>
    <w:rsid w:val="00032F84"/>
    <w:rsid w:val="000350AA"/>
    <w:rsid w:val="000369B6"/>
    <w:rsid w:val="00036E9A"/>
    <w:rsid w:val="00040CE7"/>
    <w:rsid w:val="00043CDB"/>
    <w:rsid w:val="00044B2A"/>
    <w:rsid w:val="00050095"/>
    <w:rsid w:val="00051E6F"/>
    <w:rsid w:val="00052322"/>
    <w:rsid w:val="00054ED5"/>
    <w:rsid w:val="00060DD4"/>
    <w:rsid w:val="00060F1A"/>
    <w:rsid w:val="00061427"/>
    <w:rsid w:val="00063CDC"/>
    <w:rsid w:val="00070F7A"/>
    <w:rsid w:val="0007485F"/>
    <w:rsid w:val="00075C48"/>
    <w:rsid w:val="00077B53"/>
    <w:rsid w:val="00080403"/>
    <w:rsid w:val="00082E46"/>
    <w:rsid w:val="00084461"/>
    <w:rsid w:val="00084787"/>
    <w:rsid w:val="00086B18"/>
    <w:rsid w:val="000878D2"/>
    <w:rsid w:val="00090FCC"/>
    <w:rsid w:val="000970AE"/>
    <w:rsid w:val="000973FE"/>
    <w:rsid w:val="00097580"/>
    <w:rsid w:val="000A0BA8"/>
    <w:rsid w:val="000A1928"/>
    <w:rsid w:val="000A1F79"/>
    <w:rsid w:val="000A5650"/>
    <w:rsid w:val="000A6DD6"/>
    <w:rsid w:val="000A72EA"/>
    <w:rsid w:val="000A7B28"/>
    <w:rsid w:val="000A7BE0"/>
    <w:rsid w:val="000A7EC9"/>
    <w:rsid w:val="000B0F27"/>
    <w:rsid w:val="000B2085"/>
    <w:rsid w:val="000B35E2"/>
    <w:rsid w:val="000B42DE"/>
    <w:rsid w:val="000C7860"/>
    <w:rsid w:val="000D276B"/>
    <w:rsid w:val="000D4918"/>
    <w:rsid w:val="000E1240"/>
    <w:rsid w:val="000E1751"/>
    <w:rsid w:val="000E2C6F"/>
    <w:rsid w:val="000E3982"/>
    <w:rsid w:val="000E56F0"/>
    <w:rsid w:val="000E66AC"/>
    <w:rsid w:val="000E67AC"/>
    <w:rsid w:val="000F27F7"/>
    <w:rsid w:val="00102397"/>
    <w:rsid w:val="00103B30"/>
    <w:rsid w:val="00104B3F"/>
    <w:rsid w:val="00104D7C"/>
    <w:rsid w:val="00110244"/>
    <w:rsid w:val="0011206F"/>
    <w:rsid w:val="001145AF"/>
    <w:rsid w:val="001206C7"/>
    <w:rsid w:val="00122AD4"/>
    <w:rsid w:val="00125563"/>
    <w:rsid w:val="001270D0"/>
    <w:rsid w:val="00127A74"/>
    <w:rsid w:val="0013049C"/>
    <w:rsid w:val="00132128"/>
    <w:rsid w:val="00132F26"/>
    <w:rsid w:val="00133F52"/>
    <w:rsid w:val="00136C1F"/>
    <w:rsid w:val="0013768B"/>
    <w:rsid w:val="00137759"/>
    <w:rsid w:val="0014105D"/>
    <w:rsid w:val="001555D0"/>
    <w:rsid w:val="001611E2"/>
    <w:rsid w:val="00166036"/>
    <w:rsid w:val="00173101"/>
    <w:rsid w:val="0017577C"/>
    <w:rsid w:val="00176A23"/>
    <w:rsid w:val="00176CD3"/>
    <w:rsid w:val="00177705"/>
    <w:rsid w:val="00177717"/>
    <w:rsid w:val="00181B7F"/>
    <w:rsid w:val="00181C9C"/>
    <w:rsid w:val="00184617"/>
    <w:rsid w:val="001852BF"/>
    <w:rsid w:val="001861A8"/>
    <w:rsid w:val="00186C54"/>
    <w:rsid w:val="00187891"/>
    <w:rsid w:val="00190CA2"/>
    <w:rsid w:val="00193019"/>
    <w:rsid w:val="00193C9C"/>
    <w:rsid w:val="00193D21"/>
    <w:rsid w:val="00195152"/>
    <w:rsid w:val="001955B3"/>
    <w:rsid w:val="0019654A"/>
    <w:rsid w:val="001B0993"/>
    <w:rsid w:val="001B3ADB"/>
    <w:rsid w:val="001B3DBA"/>
    <w:rsid w:val="001B44EA"/>
    <w:rsid w:val="001B491E"/>
    <w:rsid w:val="001B721B"/>
    <w:rsid w:val="001C33EA"/>
    <w:rsid w:val="001C57BD"/>
    <w:rsid w:val="001C589E"/>
    <w:rsid w:val="001D0EAC"/>
    <w:rsid w:val="001D5A8B"/>
    <w:rsid w:val="001E3A73"/>
    <w:rsid w:val="001E441E"/>
    <w:rsid w:val="001E6E84"/>
    <w:rsid w:val="001E7000"/>
    <w:rsid w:val="001F133A"/>
    <w:rsid w:val="001F2BA8"/>
    <w:rsid w:val="001F400C"/>
    <w:rsid w:val="001F741A"/>
    <w:rsid w:val="0020112D"/>
    <w:rsid w:val="00202332"/>
    <w:rsid w:val="0020337E"/>
    <w:rsid w:val="00211A35"/>
    <w:rsid w:val="00211CCB"/>
    <w:rsid w:val="00217DC8"/>
    <w:rsid w:val="00220305"/>
    <w:rsid w:val="00220342"/>
    <w:rsid w:val="0022093D"/>
    <w:rsid w:val="00220D8C"/>
    <w:rsid w:val="002273E5"/>
    <w:rsid w:val="00230C48"/>
    <w:rsid w:val="00230EC9"/>
    <w:rsid w:val="00233AC4"/>
    <w:rsid w:val="0024099C"/>
    <w:rsid w:val="00243D7A"/>
    <w:rsid w:val="002456CF"/>
    <w:rsid w:val="00250282"/>
    <w:rsid w:val="0025467B"/>
    <w:rsid w:val="00254D91"/>
    <w:rsid w:val="00255AFE"/>
    <w:rsid w:val="0026124A"/>
    <w:rsid w:val="00261AAF"/>
    <w:rsid w:val="00264D93"/>
    <w:rsid w:val="00266097"/>
    <w:rsid w:val="002701E0"/>
    <w:rsid w:val="00277673"/>
    <w:rsid w:val="00277CC5"/>
    <w:rsid w:val="0028210D"/>
    <w:rsid w:val="0028714A"/>
    <w:rsid w:val="00293F65"/>
    <w:rsid w:val="002A5456"/>
    <w:rsid w:val="002A5735"/>
    <w:rsid w:val="002B1BC5"/>
    <w:rsid w:val="002B6F6F"/>
    <w:rsid w:val="002C071C"/>
    <w:rsid w:val="002C214F"/>
    <w:rsid w:val="002C46BF"/>
    <w:rsid w:val="002C7065"/>
    <w:rsid w:val="002D2586"/>
    <w:rsid w:val="002D76CA"/>
    <w:rsid w:val="002E241C"/>
    <w:rsid w:val="002E242D"/>
    <w:rsid w:val="002E51D0"/>
    <w:rsid w:val="002F2A80"/>
    <w:rsid w:val="002F2D37"/>
    <w:rsid w:val="002F55C2"/>
    <w:rsid w:val="002F597B"/>
    <w:rsid w:val="003010C4"/>
    <w:rsid w:val="00304BFC"/>
    <w:rsid w:val="003077FD"/>
    <w:rsid w:val="003103A3"/>
    <w:rsid w:val="00312FD9"/>
    <w:rsid w:val="003135D7"/>
    <w:rsid w:val="00314473"/>
    <w:rsid w:val="00321A14"/>
    <w:rsid w:val="00322AF5"/>
    <w:rsid w:val="003251C1"/>
    <w:rsid w:val="0032692E"/>
    <w:rsid w:val="00327D49"/>
    <w:rsid w:val="00331670"/>
    <w:rsid w:val="00331744"/>
    <w:rsid w:val="00336559"/>
    <w:rsid w:val="00336D4C"/>
    <w:rsid w:val="00337516"/>
    <w:rsid w:val="0034223B"/>
    <w:rsid w:val="00353619"/>
    <w:rsid w:val="0035562C"/>
    <w:rsid w:val="0036137D"/>
    <w:rsid w:val="003625E8"/>
    <w:rsid w:val="00363959"/>
    <w:rsid w:val="003639C8"/>
    <w:rsid w:val="00363BCE"/>
    <w:rsid w:val="003663DE"/>
    <w:rsid w:val="00366611"/>
    <w:rsid w:val="00370D9B"/>
    <w:rsid w:val="00374FDF"/>
    <w:rsid w:val="00377102"/>
    <w:rsid w:val="00377D50"/>
    <w:rsid w:val="00384565"/>
    <w:rsid w:val="00395284"/>
    <w:rsid w:val="0039566D"/>
    <w:rsid w:val="003956D4"/>
    <w:rsid w:val="003958A3"/>
    <w:rsid w:val="003A1001"/>
    <w:rsid w:val="003A37B8"/>
    <w:rsid w:val="003A46FB"/>
    <w:rsid w:val="003A56B3"/>
    <w:rsid w:val="003A5B93"/>
    <w:rsid w:val="003A76F1"/>
    <w:rsid w:val="003B1D10"/>
    <w:rsid w:val="003B54C3"/>
    <w:rsid w:val="003B7C53"/>
    <w:rsid w:val="003C1DB8"/>
    <w:rsid w:val="003C3B52"/>
    <w:rsid w:val="003D1DD7"/>
    <w:rsid w:val="003D6FA5"/>
    <w:rsid w:val="003E233C"/>
    <w:rsid w:val="003E55B2"/>
    <w:rsid w:val="003E79C4"/>
    <w:rsid w:val="003E7F8B"/>
    <w:rsid w:val="003F4F7B"/>
    <w:rsid w:val="003F5524"/>
    <w:rsid w:val="00402C7E"/>
    <w:rsid w:val="00403FC2"/>
    <w:rsid w:val="00405575"/>
    <w:rsid w:val="00407102"/>
    <w:rsid w:val="00407D4B"/>
    <w:rsid w:val="0041564C"/>
    <w:rsid w:val="00416E02"/>
    <w:rsid w:val="00417897"/>
    <w:rsid w:val="0042041E"/>
    <w:rsid w:val="00424171"/>
    <w:rsid w:val="00425916"/>
    <w:rsid w:val="00427CC0"/>
    <w:rsid w:val="004304E7"/>
    <w:rsid w:val="00432495"/>
    <w:rsid w:val="004331EC"/>
    <w:rsid w:val="00435AF9"/>
    <w:rsid w:val="00441596"/>
    <w:rsid w:val="0044407B"/>
    <w:rsid w:val="00445D51"/>
    <w:rsid w:val="00446971"/>
    <w:rsid w:val="00456F10"/>
    <w:rsid w:val="00462F69"/>
    <w:rsid w:val="00463550"/>
    <w:rsid w:val="0046374F"/>
    <w:rsid w:val="004709EA"/>
    <w:rsid w:val="004736D1"/>
    <w:rsid w:val="00473961"/>
    <w:rsid w:val="0047683F"/>
    <w:rsid w:val="00480B04"/>
    <w:rsid w:val="00481240"/>
    <w:rsid w:val="0048618E"/>
    <w:rsid w:val="004909D2"/>
    <w:rsid w:val="00493A70"/>
    <w:rsid w:val="00494944"/>
    <w:rsid w:val="0049631A"/>
    <w:rsid w:val="004978AB"/>
    <w:rsid w:val="004A45BE"/>
    <w:rsid w:val="004B5475"/>
    <w:rsid w:val="004C0293"/>
    <w:rsid w:val="004C4FF8"/>
    <w:rsid w:val="004C622C"/>
    <w:rsid w:val="004D3092"/>
    <w:rsid w:val="004D31A6"/>
    <w:rsid w:val="004D44E3"/>
    <w:rsid w:val="004D4CC5"/>
    <w:rsid w:val="004D5D5F"/>
    <w:rsid w:val="004D7ABB"/>
    <w:rsid w:val="004E134D"/>
    <w:rsid w:val="004E37D0"/>
    <w:rsid w:val="004E52F2"/>
    <w:rsid w:val="004E6610"/>
    <w:rsid w:val="004F4A17"/>
    <w:rsid w:val="004F511C"/>
    <w:rsid w:val="004F725E"/>
    <w:rsid w:val="005014E2"/>
    <w:rsid w:val="005028FD"/>
    <w:rsid w:val="00503FA4"/>
    <w:rsid w:val="00506FD0"/>
    <w:rsid w:val="00510CB4"/>
    <w:rsid w:val="00511515"/>
    <w:rsid w:val="00514F08"/>
    <w:rsid w:val="00516A15"/>
    <w:rsid w:val="00524189"/>
    <w:rsid w:val="00526363"/>
    <w:rsid w:val="0052674D"/>
    <w:rsid w:val="005353CB"/>
    <w:rsid w:val="005429F1"/>
    <w:rsid w:val="00544E0C"/>
    <w:rsid w:val="00544E15"/>
    <w:rsid w:val="00553933"/>
    <w:rsid w:val="00554689"/>
    <w:rsid w:val="00554C59"/>
    <w:rsid w:val="00555078"/>
    <w:rsid w:val="00561B44"/>
    <w:rsid w:val="005704C8"/>
    <w:rsid w:val="0057401A"/>
    <w:rsid w:val="0057755C"/>
    <w:rsid w:val="0058160D"/>
    <w:rsid w:val="005820E9"/>
    <w:rsid w:val="00583649"/>
    <w:rsid w:val="0058383C"/>
    <w:rsid w:val="00584192"/>
    <w:rsid w:val="00584248"/>
    <w:rsid w:val="00584480"/>
    <w:rsid w:val="0058454B"/>
    <w:rsid w:val="00594811"/>
    <w:rsid w:val="00594CB2"/>
    <w:rsid w:val="00596439"/>
    <w:rsid w:val="005A178E"/>
    <w:rsid w:val="005A2837"/>
    <w:rsid w:val="005A388B"/>
    <w:rsid w:val="005B25F1"/>
    <w:rsid w:val="005B3CF7"/>
    <w:rsid w:val="005B6114"/>
    <w:rsid w:val="005B68BC"/>
    <w:rsid w:val="005C232B"/>
    <w:rsid w:val="005C45A5"/>
    <w:rsid w:val="005C51F2"/>
    <w:rsid w:val="005C5EBB"/>
    <w:rsid w:val="005C70BC"/>
    <w:rsid w:val="005C72AC"/>
    <w:rsid w:val="005D00C2"/>
    <w:rsid w:val="005D0FBC"/>
    <w:rsid w:val="005D18AF"/>
    <w:rsid w:val="005D350E"/>
    <w:rsid w:val="005D4A35"/>
    <w:rsid w:val="005E0DA0"/>
    <w:rsid w:val="005E7C21"/>
    <w:rsid w:val="005F17E8"/>
    <w:rsid w:val="005F2941"/>
    <w:rsid w:val="005F2ECE"/>
    <w:rsid w:val="005F3CED"/>
    <w:rsid w:val="005F5504"/>
    <w:rsid w:val="005F614F"/>
    <w:rsid w:val="005F6C90"/>
    <w:rsid w:val="005F6DF1"/>
    <w:rsid w:val="005F7354"/>
    <w:rsid w:val="00603685"/>
    <w:rsid w:val="006048B6"/>
    <w:rsid w:val="00605785"/>
    <w:rsid w:val="006073D3"/>
    <w:rsid w:val="006100F4"/>
    <w:rsid w:val="0061096E"/>
    <w:rsid w:val="006109DE"/>
    <w:rsid w:val="0061264B"/>
    <w:rsid w:val="006142FC"/>
    <w:rsid w:val="006157E1"/>
    <w:rsid w:val="006163FB"/>
    <w:rsid w:val="00620197"/>
    <w:rsid w:val="00620AF0"/>
    <w:rsid w:val="00622B0F"/>
    <w:rsid w:val="00625949"/>
    <w:rsid w:val="00627278"/>
    <w:rsid w:val="00630EBA"/>
    <w:rsid w:val="00633B0A"/>
    <w:rsid w:val="00633C74"/>
    <w:rsid w:val="00634D41"/>
    <w:rsid w:val="00637A29"/>
    <w:rsid w:val="00641816"/>
    <w:rsid w:val="00643059"/>
    <w:rsid w:val="006634A9"/>
    <w:rsid w:val="0066675B"/>
    <w:rsid w:val="00672305"/>
    <w:rsid w:val="00672651"/>
    <w:rsid w:val="006768CE"/>
    <w:rsid w:val="00681F23"/>
    <w:rsid w:val="006821F8"/>
    <w:rsid w:val="006844B4"/>
    <w:rsid w:val="00687739"/>
    <w:rsid w:val="006924F8"/>
    <w:rsid w:val="006A2CD8"/>
    <w:rsid w:val="006A41EC"/>
    <w:rsid w:val="006A5032"/>
    <w:rsid w:val="006B0308"/>
    <w:rsid w:val="006B1B1B"/>
    <w:rsid w:val="006B3105"/>
    <w:rsid w:val="006B3375"/>
    <w:rsid w:val="006B5704"/>
    <w:rsid w:val="006B7211"/>
    <w:rsid w:val="006C1097"/>
    <w:rsid w:val="006C1887"/>
    <w:rsid w:val="006C39BC"/>
    <w:rsid w:val="006C56BA"/>
    <w:rsid w:val="006C6E44"/>
    <w:rsid w:val="006D2A6D"/>
    <w:rsid w:val="006D37AD"/>
    <w:rsid w:val="006D4FCE"/>
    <w:rsid w:val="006D615B"/>
    <w:rsid w:val="006D6F53"/>
    <w:rsid w:val="006E3C5B"/>
    <w:rsid w:val="006E5136"/>
    <w:rsid w:val="006E5DE4"/>
    <w:rsid w:val="006F25ED"/>
    <w:rsid w:val="006F2FEC"/>
    <w:rsid w:val="006F6524"/>
    <w:rsid w:val="006F69DF"/>
    <w:rsid w:val="0070050D"/>
    <w:rsid w:val="00702F7B"/>
    <w:rsid w:val="00705D24"/>
    <w:rsid w:val="00706B7A"/>
    <w:rsid w:val="007211A8"/>
    <w:rsid w:val="00723246"/>
    <w:rsid w:val="007265A7"/>
    <w:rsid w:val="00726A08"/>
    <w:rsid w:val="007332F7"/>
    <w:rsid w:val="007344E5"/>
    <w:rsid w:val="007351BD"/>
    <w:rsid w:val="0074187A"/>
    <w:rsid w:val="0074189D"/>
    <w:rsid w:val="00743DEA"/>
    <w:rsid w:val="0074438F"/>
    <w:rsid w:val="0075123E"/>
    <w:rsid w:val="0075247F"/>
    <w:rsid w:val="00756CD3"/>
    <w:rsid w:val="00756D35"/>
    <w:rsid w:val="00763148"/>
    <w:rsid w:val="0076545F"/>
    <w:rsid w:val="00777628"/>
    <w:rsid w:val="00777BCD"/>
    <w:rsid w:val="00783869"/>
    <w:rsid w:val="00792267"/>
    <w:rsid w:val="007923D4"/>
    <w:rsid w:val="00792C89"/>
    <w:rsid w:val="0079412B"/>
    <w:rsid w:val="007A2B71"/>
    <w:rsid w:val="007A3DB5"/>
    <w:rsid w:val="007A43C7"/>
    <w:rsid w:val="007A53E8"/>
    <w:rsid w:val="007A5629"/>
    <w:rsid w:val="007A69EF"/>
    <w:rsid w:val="007A6C4E"/>
    <w:rsid w:val="007B11A8"/>
    <w:rsid w:val="007B474F"/>
    <w:rsid w:val="007B57B7"/>
    <w:rsid w:val="007B5872"/>
    <w:rsid w:val="007B7F63"/>
    <w:rsid w:val="007C1C3E"/>
    <w:rsid w:val="007C1C8D"/>
    <w:rsid w:val="007C2C54"/>
    <w:rsid w:val="007C4369"/>
    <w:rsid w:val="007C4978"/>
    <w:rsid w:val="007C5338"/>
    <w:rsid w:val="007D09B5"/>
    <w:rsid w:val="007D35DD"/>
    <w:rsid w:val="007D7DA2"/>
    <w:rsid w:val="007F14EC"/>
    <w:rsid w:val="007F1EBF"/>
    <w:rsid w:val="007F3120"/>
    <w:rsid w:val="007F69EF"/>
    <w:rsid w:val="007F730B"/>
    <w:rsid w:val="0080026A"/>
    <w:rsid w:val="00800ECA"/>
    <w:rsid w:val="008012DD"/>
    <w:rsid w:val="00802666"/>
    <w:rsid w:val="0080589A"/>
    <w:rsid w:val="00811D87"/>
    <w:rsid w:val="0081452B"/>
    <w:rsid w:val="00816A1D"/>
    <w:rsid w:val="0082346F"/>
    <w:rsid w:val="00823A91"/>
    <w:rsid w:val="00825554"/>
    <w:rsid w:val="00825831"/>
    <w:rsid w:val="0083779C"/>
    <w:rsid w:val="00840443"/>
    <w:rsid w:val="00840F4B"/>
    <w:rsid w:val="00841662"/>
    <w:rsid w:val="0084387A"/>
    <w:rsid w:val="00845D2A"/>
    <w:rsid w:val="0085672A"/>
    <w:rsid w:val="00857660"/>
    <w:rsid w:val="00857D1D"/>
    <w:rsid w:val="00861673"/>
    <w:rsid w:val="0086583C"/>
    <w:rsid w:val="00866C8B"/>
    <w:rsid w:val="00867F05"/>
    <w:rsid w:val="00873659"/>
    <w:rsid w:val="00874E1B"/>
    <w:rsid w:val="00880D68"/>
    <w:rsid w:val="00886A9D"/>
    <w:rsid w:val="00887A98"/>
    <w:rsid w:val="00891122"/>
    <w:rsid w:val="00891F3D"/>
    <w:rsid w:val="00897B96"/>
    <w:rsid w:val="008A1488"/>
    <w:rsid w:val="008B11B0"/>
    <w:rsid w:val="008B527F"/>
    <w:rsid w:val="008B65FD"/>
    <w:rsid w:val="008B6688"/>
    <w:rsid w:val="008B680A"/>
    <w:rsid w:val="008C446D"/>
    <w:rsid w:val="008C457F"/>
    <w:rsid w:val="008C491A"/>
    <w:rsid w:val="008C4B32"/>
    <w:rsid w:val="008C7B9E"/>
    <w:rsid w:val="008D113C"/>
    <w:rsid w:val="008D15E9"/>
    <w:rsid w:val="008D2FF8"/>
    <w:rsid w:val="008D6390"/>
    <w:rsid w:val="008E2554"/>
    <w:rsid w:val="008E34C6"/>
    <w:rsid w:val="008E3C44"/>
    <w:rsid w:val="008E6F70"/>
    <w:rsid w:val="008E7E85"/>
    <w:rsid w:val="008F08A3"/>
    <w:rsid w:val="008F1418"/>
    <w:rsid w:val="008F445C"/>
    <w:rsid w:val="009024B6"/>
    <w:rsid w:val="009043F5"/>
    <w:rsid w:val="009046AF"/>
    <w:rsid w:val="00910F0D"/>
    <w:rsid w:val="00913D1A"/>
    <w:rsid w:val="00915821"/>
    <w:rsid w:val="009164AA"/>
    <w:rsid w:val="00920786"/>
    <w:rsid w:val="00920C9F"/>
    <w:rsid w:val="00923A17"/>
    <w:rsid w:val="00924B1E"/>
    <w:rsid w:val="009301A3"/>
    <w:rsid w:val="00932162"/>
    <w:rsid w:val="00933FFF"/>
    <w:rsid w:val="00941832"/>
    <w:rsid w:val="00943975"/>
    <w:rsid w:val="00956450"/>
    <w:rsid w:val="009627DA"/>
    <w:rsid w:val="009630BE"/>
    <w:rsid w:val="00965E54"/>
    <w:rsid w:val="00965F9A"/>
    <w:rsid w:val="00967756"/>
    <w:rsid w:val="00971296"/>
    <w:rsid w:val="00973417"/>
    <w:rsid w:val="00974A66"/>
    <w:rsid w:val="00975623"/>
    <w:rsid w:val="0097687C"/>
    <w:rsid w:val="00980C4C"/>
    <w:rsid w:val="00981297"/>
    <w:rsid w:val="00984A4D"/>
    <w:rsid w:val="009859DA"/>
    <w:rsid w:val="00987630"/>
    <w:rsid w:val="00990621"/>
    <w:rsid w:val="00990B22"/>
    <w:rsid w:val="00994D06"/>
    <w:rsid w:val="0099533C"/>
    <w:rsid w:val="00995F29"/>
    <w:rsid w:val="0099608B"/>
    <w:rsid w:val="009A1A69"/>
    <w:rsid w:val="009B3610"/>
    <w:rsid w:val="009B79D3"/>
    <w:rsid w:val="009C1402"/>
    <w:rsid w:val="009C41EC"/>
    <w:rsid w:val="009C4FCA"/>
    <w:rsid w:val="009C58D4"/>
    <w:rsid w:val="009C76BD"/>
    <w:rsid w:val="009D3E5B"/>
    <w:rsid w:val="009E1B03"/>
    <w:rsid w:val="009E2FFC"/>
    <w:rsid w:val="009E508A"/>
    <w:rsid w:val="009F17B9"/>
    <w:rsid w:val="009F302E"/>
    <w:rsid w:val="009F32F0"/>
    <w:rsid w:val="009F6707"/>
    <w:rsid w:val="00A06C27"/>
    <w:rsid w:val="00A111E7"/>
    <w:rsid w:val="00A11F19"/>
    <w:rsid w:val="00A137A3"/>
    <w:rsid w:val="00A13874"/>
    <w:rsid w:val="00A1536D"/>
    <w:rsid w:val="00A1548B"/>
    <w:rsid w:val="00A15E71"/>
    <w:rsid w:val="00A226A8"/>
    <w:rsid w:val="00A23205"/>
    <w:rsid w:val="00A233DB"/>
    <w:rsid w:val="00A266CA"/>
    <w:rsid w:val="00A33B5B"/>
    <w:rsid w:val="00A341DE"/>
    <w:rsid w:val="00A35508"/>
    <w:rsid w:val="00A36869"/>
    <w:rsid w:val="00A37DBD"/>
    <w:rsid w:val="00A4200C"/>
    <w:rsid w:val="00A4700A"/>
    <w:rsid w:val="00A5149E"/>
    <w:rsid w:val="00A52F53"/>
    <w:rsid w:val="00A6406E"/>
    <w:rsid w:val="00A73A49"/>
    <w:rsid w:val="00A758F7"/>
    <w:rsid w:val="00A75ABA"/>
    <w:rsid w:val="00A76111"/>
    <w:rsid w:val="00A80AAC"/>
    <w:rsid w:val="00A820EE"/>
    <w:rsid w:val="00A8368F"/>
    <w:rsid w:val="00A872FC"/>
    <w:rsid w:val="00A92B5A"/>
    <w:rsid w:val="00A94711"/>
    <w:rsid w:val="00A94D79"/>
    <w:rsid w:val="00A95B56"/>
    <w:rsid w:val="00A961A9"/>
    <w:rsid w:val="00AA1B43"/>
    <w:rsid w:val="00AA2FE6"/>
    <w:rsid w:val="00AB2DC4"/>
    <w:rsid w:val="00AB694F"/>
    <w:rsid w:val="00AC3EDB"/>
    <w:rsid w:val="00AC3F38"/>
    <w:rsid w:val="00AC63BB"/>
    <w:rsid w:val="00AD00A9"/>
    <w:rsid w:val="00AE01AC"/>
    <w:rsid w:val="00AE048D"/>
    <w:rsid w:val="00AE256C"/>
    <w:rsid w:val="00AE4887"/>
    <w:rsid w:val="00AE5528"/>
    <w:rsid w:val="00AE6569"/>
    <w:rsid w:val="00AE6F50"/>
    <w:rsid w:val="00AF05B3"/>
    <w:rsid w:val="00AF0708"/>
    <w:rsid w:val="00AF2F78"/>
    <w:rsid w:val="00AF4707"/>
    <w:rsid w:val="00B03E24"/>
    <w:rsid w:val="00B0455E"/>
    <w:rsid w:val="00B07470"/>
    <w:rsid w:val="00B10102"/>
    <w:rsid w:val="00B106D1"/>
    <w:rsid w:val="00B13369"/>
    <w:rsid w:val="00B17807"/>
    <w:rsid w:val="00B20D19"/>
    <w:rsid w:val="00B246BF"/>
    <w:rsid w:val="00B27949"/>
    <w:rsid w:val="00B34FEA"/>
    <w:rsid w:val="00B37B70"/>
    <w:rsid w:val="00B43586"/>
    <w:rsid w:val="00B4660B"/>
    <w:rsid w:val="00B52386"/>
    <w:rsid w:val="00B53CF0"/>
    <w:rsid w:val="00B66DB1"/>
    <w:rsid w:val="00B73180"/>
    <w:rsid w:val="00B8132F"/>
    <w:rsid w:val="00B82028"/>
    <w:rsid w:val="00B85166"/>
    <w:rsid w:val="00B8662B"/>
    <w:rsid w:val="00B87077"/>
    <w:rsid w:val="00B91C8D"/>
    <w:rsid w:val="00B92D4C"/>
    <w:rsid w:val="00B9464A"/>
    <w:rsid w:val="00B94D38"/>
    <w:rsid w:val="00B964C6"/>
    <w:rsid w:val="00BA4FB4"/>
    <w:rsid w:val="00BB09DE"/>
    <w:rsid w:val="00BB7178"/>
    <w:rsid w:val="00BC12E1"/>
    <w:rsid w:val="00BC1CB4"/>
    <w:rsid w:val="00BC3EBF"/>
    <w:rsid w:val="00BC4DB5"/>
    <w:rsid w:val="00BC5B98"/>
    <w:rsid w:val="00BC78EB"/>
    <w:rsid w:val="00BD2D6D"/>
    <w:rsid w:val="00BD6292"/>
    <w:rsid w:val="00BD62DD"/>
    <w:rsid w:val="00BD6866"/>
    <w:rsid w:val="00BE1337"/>
    <w:rsid w:val="00BE36A2"/>
    <w:rsid w:val="00BE37C7"/>
    <w:rsid w:val="00BE56EB"/>
    <w:rsid w:val="00BE5DC8"/>
    <w:rsid w:val="00BF1C16"/>
    <w:rsid w:val="00BF1FF6"/>
    <w:rsid w:val="00BF3ED0"/>
    <w:rsid w:val="00BF6AF9"/>
    <w:rsid w:val="00C05B7C"/>
    <w:rsid w:val="00C16F9F"/>
    <w:rsid w:val="00C242DD"/>
    <w:rsid w:val="00C30535"/>
    <w:rsid w:val="00C31C4B"/>
    <w:rsid w:val="00C321E0"/>
    <w:rsid w:val="00C32B52"/>
    <w:rsid w:val="00C37058"/>
    <w:rsid w:val="00C37397"/>
    <w:rsid w:val="00C47244"/>
    <w:rsid w:val="00C47AAD"/>
    <w:rsid w:val="00C53320"/>
    <w:rsid w:val="00C558F1"/>
    <w:rsid w:val="00C616FC"/>
    <w:rsid w:val="00C624D6"/>
    <w:rsid w:val="00C716D5"/>
    <w:rsid w:val="00C72221"/>
    <w:rsid w:val="00C72788"/>
    <w:rsid w:val="00C73026"/>
    <w:rsid w:val="00C81ADA"/>
    <w:rsid w:val="00C82E4F"/>
    <w:rsid w:val="00C85097"/>
    <w:rsid w:val="00C85884"/>
    <w:rsid w:val="00C91256"/>
    <w:rsid w:val="00C91492"/>
    <w:rsid w:val="00C91A39"/>
    <w:rsid w:val="00C93580"/>
    <w:rsid w:val="00C96522"/>
    <w:rsid w:val="00C96829"/>
    <w:rsid w:val="00CA1977"/>
    <w:rsid w:val="00CA444C"/>
    <w:rsid w:val="00CA4D39"/>
    <w:rsid w:val="00CB0136"/>
    <w:rsid w:val="00CB0D43"/>
    <w:rsid w:val="00CB255F"/>
    <w:rsid w:val="00CB7CC8"/>
    <w:rsid w:val="00CC3C93"/>
    <w:rsid w:val="00CC5EA9"/>
    <w:rsid w:val="00CC7D3E"/>
    <w:rsid w:val="00CD01C7"/>
    <w:rsid w:val="00CD1E00"/>
    <w:rsid w:val="00CD3176"/>
    <w:rsid w:val="00CD6C2F"/>
    <w:rsid w:val="00CE0C9E"/>
    <w:rsid w:val="00CE3216"/>
    <w:rsid w:val="00CE5F5C"/>
    <w:rsid w:val="00CE72B3"/>
    <w:rsid w:val="00CF193E"/>
    <w:rsid w:val="00CF7E70"/>
    <w:rsid w:val="00D014D7"/>
    <w:rsid w:val="00D01651"/>
    <w:rsid w:val="00D01E6C"/>
    <w:rsid w:val="00D03168"/>
    <w:rsid w:val="00D036C2"/>
    <w:rsid w:val="00D07571"/>
    <w:rsid w:val="00D1165B"/>
    <w:rsid w:val="00D12631"/>
    <w:rsid w:val="00D2138C"/>
    <w:rsid w:val="00D217C7"/>
    <w:rsid w:val="00D23608"/>
    <w:rsid w:val="00D25D72"/>
    <w:rsid w:val="00D30F2F"/>
    <w:rsid w:val="00D31A9E"/>
    <w:rsid w:val="00D32590"/>
    <w:rsid w:val="00D337DD"/>
    <w:rsid w:val="00D34E7E"/>
    <w:rsid w:val="00D41140"/>
    <w:rsid w:val="00D41A0D"/>
    <w:rsid w:val="00D43237"/>
    <w:rsid w:val="00D46E59"/>
    <w:rsid w:val="00D50EAE"/>
    <w:rsid w:val="00D5383F"/>
    <w:rsid w:val="00D53AB2"/>
    <w:rsid w:val="00D552F1"/>
    <w:rsid w:val="00D57D59"/>
    <w:rsid w:val="00D60E5D"/>
    <w:rsid w:val="00D61DA0"/>
    <w:rsid w:val="00D645C8"/>
    <w:rsid w:val="00D70C2F"/>
    <w:rsid w:val="00D77D7E"/>
    <w:rsid w:val="00D77F93"/>
    <w:rsid w:val="00D84B97"/>
    <w:rsid w:val="00D87768"/>
    <w:rsid w:val="00D915A1"/>
    <w:rsid w:val="00D92AFB"/>
    <w:rsid w:val="00DA4C3A"/>
    <w:rsid w:val="00DB10D4"/>
    <w:rsid w:val="00DB135C"/>
    <w:rsid w:val="00DB13DE"/>
    <w:rsid w:val="00DB21C4"/>
    <w:rsid w:val="00DB3A00"/>
    <w:rsid w:val="00DB4E1A"/>
    <w:rsid w:val="00DB6786"/>
    <w:rsid w:val="00DC2396"/>
    <w:rsid w:val="00DC3311"/>
    <w:rsid w:val="00DC7C98"/>
    <w:rsid w:val="00DD4FCB"/>
    <w:rsid w:val="00DD5412"/>
    <w:rsid w:val="00DE1C46"/>
    <w:rsid w:val="00DE4725"/>
    <w:rsid w:val="00DE5A52"/>
    <w:rsid w:val="00DE697A"/>
    <w:rsid w:val="00DF195F"/>
    <w:rsid w:val="00DF287D"/>
    <w:rsid w:val="00DF2B1A"/>
    <w:rsid w:val="00DF3F0C"/>
    <w:rsid w:val="00E00E89"/>
    <w:rsid w:val="00E01107"/>
    <w:rsid w:val="00E04636"/>
    <w:rsid w:val="00E06B3E"/>
    <w:rsid w:val="00E110E1"/>
    <w:rsid w:val="00E115D8"/>
    <w:rsid w:val="00E13281"/>
    <w:rsid w:val="00E159B1"/>
    <w:rsid w:val="00E15F37"/>
    <w:rsid w:val="00E210B7"/>
    <w:rsid w:val="00E21FE2"/>
    <w:rsid w:val="00E23EE9"/>
    <w:rsid w:val="00E32B3F"/>
    <w:rsid w:val="00E367BF"/>
    <w:rsid w:val="00E36DCE"/>
    <w:rsid w:val="00E460FD"/>
    <w:rsid w:val="00E502E6"/>
    <w:rsid w:val="00E53FE9"/>
    <w:rsid w:val="00E544CA"/>
    <w:rsid w:val="00E550E5"/>
    <w:rsid w:val="00E57EDE"/>
    <w:rsid w:val="00E62CE4"/>
    <w:rsid w:val="00E62F74"/>
    <w:rsid w:val="00E67F7D"/>
    <w:rsid w:val="00E74C47"/>
    <w:rsid w:val="00E84858"/>
    <w:rsid w:val="00E84EB3"/>
    <w:rsid w:val="00E871AA"/>
    <w:rsid w:val="00E9043D"/>
    <w:rsid w:val="00E91E6A"/>
    <w:rsid w:val="00E9207E"/>
    <w:rsid w:val="00E94C52"/>
    <w:rsid w:val="00E94E02"/>
    <w:rsid w:val="00EA0B24"/>
    <w:rsid w:val="00EA700C"/>
    <w:rsid w:val="00EA7043"/>
    <w:rsid w:val="00EA7117"/>
    <w:rsid w:val="00EB01BC"/>
    <w:rsid w:val="00EB0E02"/>
    <w:rsid w:val="00EB1A97"/>
    <w:rsid w:val="00EB581C"/>
    <w:rsid w:val="00EB5A15"/>
    <w:rsid w:val="00EB62E9"/>
    <w:rsid w:val="00EC087E"/>
    <w:rsid w:val="00EC220E"/>
    <w:rsid w:val="00EC3128"/>
    <w:rsid w:val="00EC3FB9"/>
    <w:rsid w:val="00ED1515"/>
    <w:rsid w:val="00ED1B67"/>
    <w:rsid w:val="00ED76DF"/>
    <w:rsid w:val="00EE1F60"/>
    <w:rsid w:val="00EE6F71"/>
    <w:rsid w:val="00EE7625"/>
    <w:rsid w:val="00EF2223"/>
    <w:rsid w:val="00EF3FB6"/>
    <w:rsid w:val="00EF4585"/>
    <w:rsid w:val="00EF67E1"/>
    <w:rsid w:val="00F019A6"/>
    <w:rsid w:val="00F02E48"/>
    <w:rsid w:val="00F03597"/>
    <w:rsid w:val="00F04284"/>
    <w:rsid w:val="00F07CD3"/>
    <w:rsid w:val="00F1209F"/>
    <w:rsid w:val="00F12CA6"/>
    <w:rsid w:val="00F1302F"/>
    <w:rsid w:val="00F16B6A"/>
    <w:rsid w:val="00F24056"/>
    <w:rsid w:val="00F25852"/>
    <w:rsid w:val="00F26A70"/>
    <w:rsid w:val="00F26E98"/>
    <w:rsid w:val="00F350AC"/>
    <w:rsid w:val="00F40754"/>
    <w:rsid w:val="00F41727"/>
    <w:rsid w:val="00F4244C"/>
    <w:rsid w:val="00F44AB3"/>
    <w:rsid w:val="00F451E9"/>
    <w:rsid w:val="00F46163"/>
    <w:rsid w:val="00F60840"/>
    <w:rsid w:val="00F638CD"/>
    <w:rsid w:val="00F64139"/>
    <w:rsid w:val="00F72590"/>
    <w:rsid w:val="00F72E67"/>
    <w:rsid w:val="00F7316F"/>
    <w:rsid w:val="00F73DF8"/>
    <w:rsid w:val="00F76746"/>
    <w:rsid w:val="00F81AB7"/>
    <w:rsid w:val="00F91DB6"/>
    <w:rsid w:val="00F93277"/>
    <w:rsid w:val="00F9520C"/>
    <w:rsid w:val="00F975FA"/>
    <w:rsid w:val="00FA236D"/>
    <w:rsid w:val="00FA541D"/>
    <w:rsid w:val="00FB021A"/>
    <w:rsid w:val="00FB3ECD"/>
    <w:rsid w:val="00FB43DA"/>
    <w:rsid w:val="00FB68CA"/>
    <w:rsid w:val="00FC086E"/>
    <w:rsid w:val="00FC2F47"/>
    <w:rsid w:val="00FC3F06"/>
    <w:rsid w:val="00FC437B"/>
    <w:rsid w:val="00FC60ED"/>
    <w:rsid w:val="00FD6DCE"/>
    <w:rsid w:val="00FD7833"/>
    <w:rsid w:val="00FE01B9"/>
    <w:rsid w:val="00FE5A54"/>
    <w:rsid w:val="00FE5C8C"/>
    <w:rsid w:val="00FE6336"/>
    <w:rsid w:val="00FE73C1"/>
    <w:rsid w:val="00FF0056"/>
    <w:rsid w:val="00FF0C88"/>
    <w:rsid w:val="00FF206D"/>
    <w:rsid w:val="00FF3E3C"/>
    <w:rsid w:val="00FF4F20"/>
    <w:rsid w:val="00FF77F6"/>
    <w:rsid w:val="011A187A"/>
    <w:rsid w:val="02EA42AE"/>
    <w:rsid w:val="0477011E"/>
    <w:rsid w:val="05E76723"/>
    <w:rsid w:val="06B854E0"/>
    <w:rsid w:val="08325397"/>
    <w:rsid w:val="09BB7D26"/>
    <w:rsid w:val="0ABF3B74"/>
    <w:rsid w:val="0AD749D3"/>
    <w:rsid w:val="0B590A51"/>
    <w:rsid w:val="120E0F45"/>
    <w:rsid w:val="12351D62"/>
    <w:rsid w:val="133566FE"/>
    <w:rsid w:val="1371323C"/>
    <w:rsid w:val="145546DB"/>
    <w:rsid w:val="15397D21"/>
    <w:rsid w:val="15BC5CF3"/>
    <w:rsid w:val="18F328C8"/>
    <w:rsid w:val="195B31D1"/>
    <w:rsid w:val="19C655C9"/>
    <w:rsid w:val="1C27458D"/>
    <w:rsid w:val="1CD36343"/>
    <w:rsid w:val="1EDF6E6C"/>
    <w:rsid w:val="1EE049A0"/>
    <w:rsid w:val="1F3548B6"/>
    <w:rsid w:val="203C3A44"/>
    <w:rsid w:val="228C334C"/>
    <w:rsid w:val="233872DA"/>
    <w:rsid w:val="23C9350A"/>
    <w:rsid w:val="24935BE0"/>
    <w:rsid w:val="25F7376A"/>
    <w:rsid w:val="264E3B92"/>
    <w:rsid w:val="2670658E"/>
    <w:rsid w:val="268B5283"/>
    <w:rsid w:val="27EF32FC"/>
    <w:rsid w:val="28CB65FE"/>
    <w:rsid w:val="28D14891"/>
    <w:rsid w:val="297216B5"/>
    <w:rsid w:val="29764B7C"/>
    <w:rsid w:val="2A6932D3"/>
    <w:rsid w:val="2C6B5F28"/>
    <w:rsid w:val="2E02535B"/>
    <w:rsid w:val="2F0C0EB0"/>
    <w:rsid w:val="2F527F07"/>
    <w:rsid w:val="2F8C08F6"/>
    <w:rsid w:val="30644D8D"/>
    <w:rsid w:val="31847C39"/>
    <w:rsid w:val="31B50523"/>
    <w:rsid w:val="33DC0C17"/>
    <w:rsid w:val="35A453EE"/>
    <w:rsid w:val="35B72F03"/>
    <w:rsid w:val="35E144AB"/>
    <w:rsid w:val="35F5776A"/>
    <w:rsid w:val="36BF20CE"/>
    <w:rsid w:val="37D93B45"/>
    <w:rsid w:val="388D68D4"/>
    <w:rsid w:val="390C1109"/>
    <w:rsid w:val="39A2724B"/>
    <w:rsid w:val="39E813E7"/>
    <w:rsid w:val="3A021752"/>
    <w:rsid w:val="3A254AC0"/>
    <w:rsid w:val="3A786510"/>
    <w:rsid w:val="3B782017"/>
    <w:rsid w:val="3C8B74F6"/>
    <w:rsid w:val="3F3C3113"/>
    <w:rsid w:val="40B01F51"/>
    <w:rsid w:val="415E1BCB"/>
    <w:rsid w:val="415E2B94"/>
    <w:rsid w:val="424E75E6"/>
    <w:rsid w:val="42BA6E3A"/>
    <w:rsid w:val="445F1C12"/>
    <w:rsid w:val="44963C7A"/>
    <w:rsid w:val="46F25927"/>
    <w:rsid w:val="483416BA"/>
    <w:rsid w:val="48825CBB"/>
    <w:rsid w:val="49144DDF"/>
    <w:rsid w:val="492762F4"/>
    <w:rsid w:val="493A76FF"/>
    <w:rsid w:val="4AD6621E"/>
    <w:rsid w:val="4B02751C"/>
    <w:rsid w:val="4CDB65A8"/>
    <w:rsid w:val="567F1F77"/>
    <w:rsid w:val="56B60D4D"/>
    <w:rsid w:val="5A8C71CB"/>
    <w:rsid w:val="5C3A74CA"/>
    <w:rsid w:val="5C5838BB"/>
    <w:rsid w:val="5C5D4D2D"/>
    <w:rsid w:val="5D9D42DC"/>
    <w:rsid w:val="5F3902E0"/>
    <w:rsid w:val="62726724"/>
    <w:rsid w:val="62E55633"/>
    <w:rsid w:val="650A3343"/>
    <w:rsid w:val="65DA5DC2"/>
    <w:rsid w:val="66271B71"/>
    <w:rsid w:val="68D6608F"/>
    <w:rsid w:val="6A2A54D8"/>
    <w:rsid w:val="6D4971D5"/>
    <w:rsid w:val="6E3F7761"/>
    <w:rsid w:val="70C76378"/>
    <w:rsid w:val="70E84743"/>
    <w:rsid w:val="711B15BF"/>
    <w:rsid w:val="71861688"/>
    <w:rsid w:val="72CE7355"/>
    <w:rsid w:val="73521A2E"/>
    <w:rsid w:val="73927DA8"/>
    <w:rsid w:val="73D65325"/>
    <w:rsid w:val="75302DC9"/>
    <w:rsid w:val="75786DFE"/>
    <w:rsid w:val="76420899"/>
    <w:rsid w:val="76F105F2"/>
    <w:rsid w:val="782E7321"/>
    <w:rsid w:val="79D4072E"/>
    <w:rsid w:val="7CD5749D"/>
    <w:rsid w:val="7D47127E"/>
    <w:rsid w:val="7D987E8E"/>
    <w:rsid w:val="7E5A5758"/>
    <w:rsid w:val="7E857566"/>
    <w:rsid w:val="7E9C1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qFormat="1" w:unhideWhenUsed="0" w:uiPriority="0"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等线" w:hAnsi="等线" w:eastAsia="等线" w:cs="宋体"/>
      <w:kern w:val="2"/>
      <w:sz w:val="21"/>
      <w:szCs w:val="22"/>
      <w:lang w:val="en-US" w:eastAsia="zh-CN" w:bidi="ar-SA"/>
    </w:rPr>
  </w:style>
  <w:style w:type="paragraph" w:styleId="2">
    <w:name w:val="heading 1"/>
    <w:basedOn w:val="1"/>
    <w:next w:val="1"/>
    <w:link w:val="3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4"/>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35"/>
    <w:qFormat/>
    <w:uiPriority w:val="9"/>
    <w:pPr>
      <w:keepNext/>
      <w:keepLines/>
      <w:spacing w:before="260" w:after="260" w:line="416" w:lineRule="auto"/>
      <w:outlineLvl w:val="2"/>
    </w:pPr>
    <w:rPr>
      <w:b/>
      <w:bCs/>
      <w:sz w:val="32"/>
      <w:szCs w:val="32"/>
    </w:rPr>
  </w:style>
  <w:style w:type="paragraph" w:styleId="5">
    <w:name w:val="heading 4"/>
    <w:basedOn w:val="1"/>
    <w:next w:val="1"/>
    <w:link w:val="59"/>
    <w:qFormat/>
    <w:uiPriority w:val="9"/>
    <w:pPr>
      <w:keepNext/>
      <w:keepLines/>
      <w:spacing w:before="280" w:after="290" w:line="376" w:lineRule="auto"/>
      <w:outlineLvl w:val="3"/>
    </w:pPr>
    <w:rPr>
      <w:rFonts w:ascii="等线 Light" w:hAnsi="等线 Light" w:eastAsia="等线 Light"/>
      <w:b/>
      <w:bCs/>
      <w:sz w:val="28"/>
      <w:szCs w:val="28"/>
    </w:rPr>
  </w:style>
  <w:style w:type="paragraph" w:styleId="6">
    <w:name w:val="heading 5"/>
    <w:basedOn w:val="1"/>
    <w:next w:val="1"/>
    <w:link w:val="60"/>
    <w:qFormat/>
    <w:uiPriority w:val="9"/>
    <w:pPr>
      <w:keepNext/>
      <w:keepLines/>
      <w:spacing w:before="280" w:after="290" w:line="376" w:lineRule="auto"/>
      <w:outlineLvl w:val="4"/>
    </w:pPr>
    <w:rPr>
      <w:b/>
      <w:bCs/>
      <w:sz w:val="28"/>
      <w:szCs w:val="28"/>
    </w:rPr>
  </w:style>
  <w:style w:type="character" w:default="1" w:styleId="25">
    <w:name w:val="Default Paragraph Font"/>
    <w:unhideWhenUsed/>
    <w:qFormat/>
    <w:uiPriority w:val="1"/>
  </w:style>
  <w:style w:type="table" w:default="1" w:styleId="2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7">
    <w:name w:val="table of authorities"/>
    <w:basedOn w:val="1"/>
    <w:next w:val="1"/>
    <w:qFormat/>
    <w:uiPriority w:val="0"/>
    <w:pPr>
      <w:widowControl w:val="0"/>
      <w:spacing w:before="240"/>
      <w:ind w:left="210" w:hanging="210"/>
    </w:pPr>
    <w:rPr>
      <w:b/>
      <w:szCs w:val="24"/>
    </w:rPr>
  </w:style>
  <w:style w:type="paragraph" w:styleId="8">
    <w:name w:val="caption"/>
    <w:basedOn w:val="1"/>
    <w:next w:val="1"/>
    <w:link w:val="56"/>
    <w:qFormat/>
    <w:uiPriority w:val="35"/>
    <w:pPr>
      <w:widowControl w:val="0"/>
      <w:jc w:val="both"/>
    </w:pPr>
    <w:rPr>
      <w:rFonts w:ascii="等线 Light" w:hAnsi="等线 Light" w:eastAsia="黑体"/>
      <w:sz w:val="20"/>
      <w:szCs w:val="20"/>
    </w:rPr>
  </w:style>
  <w:style w:type="paragraph" w:styleId="9">
    <w:name w:val="annotation text"/>
    <w:basedOn w:val="1"/>
    <w:link w:val="65"/>
    <w:qFormat/>
    <w:uiPriority w:val="0"/>
    <w:pPr>
      <w:widowControl w:val="0"/>
    </w:pPr>
    <w:rPr>
      <w:szCs w:val="24"/>
    </w:rPr>
  </w:style>
  <w:style w:type="paragraph" w:styleId="10">
    <w:name w:val="Body Text"/>
    <w:basedOn w:val="1"/>
    <w:link w:val="69"/>
    <w:qFormat/>
    <w:uiPriority w:val="1"/>
    <w:pPr>
      <w:widowControl w:val="0"/>
      <w:autoSpaceDE w:val="0"/>
      <w:autoSpaceDN w:val="0"/>
    </w:pPr>
    <w:rPr>
      <w:rFonts w:ascii="宋体" w:hAnsi="宋体" w:eastAsia="宋体"/>
      <w:kern w:val="0"/>
      <w:sz w:val="30"/>
      <w:szCs w:val="30"/>
    </w:rPr>
  </w:style>
  <w:style w:type="paragraph" w:styleId="11">
    <w:name w:val="toc 3"/>
    <w:basedOn w:val="1"/>
    <w:next w:val="1"/>
    <w:qFormat/>
    <w:uiPriority w:val="39"/>
    <w:pPr>
      <w:spacing w:after="100" w:line="259" w:lineRule="auto"/>
      <w:ind w:left="440"/>
    </w:pPr>
    <w:rPr>
      <w:rFonts w:cs="Times New Roman"/>
      <w:kern w:val="0"/>
      <w:sz w:val="22"/>
    </w:rPr>
  </w:style>
  <w:style w:type="paragraph" w:styleId="12">
    <w:name w:val="Date"/>
    <w:basedOn w:val="1"/>
    <w:next w:val="1"/>
    <w:link w:val="83"/>
    <w:qFormat/>
    <w:uiPriority w:val="0"/>
    <w:pPr>
      <w:widowControl w:val="0"/>
      <w:jc w:val="both"/>
    </w:pPr>
    <w:rPr>
      <w:rFonts w:ascii="Times New Roman" w:hAnsi="Times New Roman" w:eastAsia="宋体" w:cs="Times New Roman"/>
      <w:b/>
      <w:sz w:val="24"/>
      <w:szCs w:val="20"/>
    </w:rPr>
  </w:style>
  <w:style w:type="paragraph" w:styleId="13">
    <w:name w:val="endnote text"/>
    <w:basedOn w:val="1"/>
    <w:link w:val="64"/>
    <w:qFormat/>
    <w:uiPriority w:val="99"/>
    <w:pPr>
      <w:widowControl w:val="0"/>
      <w:snapToGrid w:val="0"/>
    </w:pPr>
  </w:style>
  <w:style w:type="paragraph" w:styleId="14">
    <w:name w:val="Balloon Text"/>
    <w:basedOn w:val="1"/>
    <w:link w:val="49"/>
    <w:qFormat/>
    <w:uiPriority w:val="99"/>
    <w:pPr>
      <w:widowControl w:val="0"/>
      <w:jc w:val="both"/>
    </w:pPr>
    <w:rPr>
      <w:sz w:val="18"/>
      <w:szCs w:val="18"/>
    </w:rPr>
  </w:style>
  <w:style w:type="paragraph" w:styleId="15">
    <w:name w:val="footer"/>
    <w:basedOn w:val="1"/>
    <w:link w:val="36"/>
    <w:qFormat/>
    <w:uiPriority w:val="99"/>
    <w:pPr>
      <w:tabs>
        <w:tab w:val="center" w:pos="4153"/>
        <w:tab w:val="right" w:pos="8306"/>
      </w:tabs>
      <w:snapToGrid w:val="0"/>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after="100" w:line="259" w:lineRule="auto"/>
    </w:pPr>
    <w:rPr>
      <w:rFonts w:cs="Times New Roman"/>
      <w:kern w:val="0"/>
      <w:sz w:val="22"/>
    </w:rPr>
  </w:style>
  <w:style w:type="paragraph" w:styleId="18">
    <w:name w:val="footnote text"/>
    <w:basedOn w:val="1"/>
    <w:link w:val="51"/>
    <w:qFormat/>
    <w:uiPriority w:val="0"/>
    <w:pPr>
      <w:widowControl w:val="0"/>
      <w:snapToGrid w:val="0"/>
    </w:pPr>
    <w:rPr>
      <w:sz w:val="18"/>
      <w:szCs w:val="18"/>
    </w:rPr>
  </w:style>
  <w:style w:type="paragraph" w:styleId="19">
    <w:name w:val="toc 2"/>
    <w:basedOn w:val="1"/>
    <w:next w:val="1"/>
    <w:qFormat/>
    <w:uiPriority w:val="39"/>
    <w:pPr>
      <w:spacing w:after="100" w:line="259" w:lineRule="auto"/>
      <w:ind w:left="220"/>
    </w:pPr>
    <w:rPr>
      <w:rFonts w:cs="Times New Roman"/>
      <w:kern w:val="0"/>
      <w:sz w:val="22"/>
    </w:rPr>
  </w:style>
  <w:style w:type="paragraph" w:styleId="20">
    <w:name w:val="Normal (Web)"/>
    <w:basedOn w:val="1"/>
    <w:qFormat/>
    <w:uiPriority w:val="0"/>
    <w:pPr>
      <w:spacing w:before="100" w:beforeAutospacing="1" w:after="100" w:afterAutospacing="1"/>
      <w:ind w:firstLine="200" w:firstLineChars="200"/>
    </w:pPr>
    <w:rPr>
      <w:rFonts w:ascii="宋体" w:hAnsi="宋体" w:eastAsia="宋体"/>
      <w:kern w:val="0"/>
      <w:sz w:val="24"/>
      <w:szCs w:val="24"/>
    </w:rPr>
  </w:style>
  <w:style w:type="paragraph" w:styleId="21">
    <w:name w:val="Title"/>
    <w:basedOn w:val="1"/>
    <w:next w:val="1"/>
    <w:link w:val="38"/>
    <w:qFormat/>
    <w:uiPriority w:val="10"/>
    <w:pPr>
      <w:spacing w:before="240" w:after="60"/>
      <w:jc w:val="center"/>
      <w:outlineLvl w:val="0"/>
    </w:pPr>
    <w:rPr>
      <w:rFonts w:ascii="等线 Light" w:hAnsi="等线 Light" w:eastAsia="等线 Light"/>
      <w:b/>
      <w:bCs/>
      <w:sz w:val="32"/>
      <w:szCs w:val="32"/>
    </w:rPr>
  </w:style>
  <w:style w:type="paragraph" w:styleId="22">
    <w:name w:val="annotation subject"/>
    <w:basedOn w:val="9"/>
    <w:next w:val="9"/>
    <w:link w:val="67"/>
    <w:qFormat/>
    <w:uiPriority w:val="99"/>
    <w:pPr>
      <w:widowControl/>
    </w:pPr>
    <w:rPr>
      <w:b/>
      <w:bCs/>
      <w:szCs w:val="22"/>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rPr>
  </w:style>
  <w:style w:type="character" w:styleId="27">
    <w:name w:val="endnote reference"/>
    <w:basedOn w:val="25"/>
    <w:qFormat/>
    <w:uiPriority w:val="99"/>
    <w:rPr>
      <w:vertAlign w:val="superscript"/>
    </w:rPr>
  </w:style>
  <w:style w:type="character" w:styleId="28">
    <w:name w:val="FollowedHyperlink"/>
    <w:basedOn w:val="25"/>
    <w:qFormat/>
    <w:uiPriority w:val="99"/>
    <w:rPr>
      <w:color w:val="954F72"/>
      <w:u w:val="single"/>
    </w:rPr>
  </w:style>
  <w:style w:type="character" w:styleId="29">
    <w:name w:val="Emphasis"/>
    <w:basedOn w:val="25"/>
    <w:qFormat/>
    <w:uiPriority w:val="20"/>
    <w:rPr>
      <w:i/>
      <w:iCs/>
    </w:rPr>
  </w:style>
  <w:style w:type="character" w:styleId="30">
    <w:name w:val="Hyperlink"/>
    <w:basedOn w:val="25"/>
    <w:qFormat/>
    <w:uiPriority w:val="99"/>
    <w:rPr>
      <w:color w:val="0563C1"/>
      <w:u w:val="single"/>
    </w:rPr>
  </w:style>
  <w:style w:type="character" w:styleId="31">
    <w:name w:val="annotation reference"/>
    <w:basedOn w:val="25"/>
    <w:qFormat/>
    <w:uiPriority w:val="0"/>
    <w:rPr>
      <w:sz w:val="21"/>
      <w:szCs w:val="21"/>
    </w:rPr>
  </w:style>
  <w:style w:type="character" w:styleId="32">
    <w:name w:val="footnote reference"/>
    <w:basedOn w:val="25"/>
    <w:qFormat/>
    <w:uiPriority w:val="0"/>
    <w:rPr>
      <w:vertAlign w:val="superscript"/>
    </w:rPr>
  </w:style>
  <w:style w:type="character" w:customStyle="1" w:styleId="33">
    <w:name w:val="标题 1 字符"/>
    <w:basedOn w:val="25"/>
    <w:link w:val="2"/>
    <w:qFormat/>
    <w:uiPriority w:val="9"/>
    <w:rPr>
      <w:b/>
      <w:bCs/>
      <w:kern w:val="44"/>
      <w:sz w:val="44"/>
      <w:szCs w:val="44"/>
    </w:rPr>
  </w:style>
  <w:style w:type="character" w:customStyle="1" w:styleId="34">
    <w:name w:val="标题 2 字符"/>
    <w:basedOn w:val="25"/>
    <w:link w:val="3"/>
    <w:qFormat/>
    <w:uiPriority w:val="9"/>
    <w:rPr>
      <w:rFonts w:ascii="等线 Light" w:hAnsi="等线 Light" w:eastAsia="等线 Light" w:cs="宋体"/>
      <w:b/>
      <w:bCs/>
      <w:sz w:val="32"/>
      <w:szCs w:val="32"/>
    </w:rPr>
  </w:style>
  <w:style w:type="character" w:customStyle="1" w:styleId="35">
    <w:name w:val="标题 3 字符"/>
    <w:basedOn w:val="25"/>
    <w:link w:val="4"/>
    <w:qFormat/>
    <w:uiPriority w:val="9"/>
    <w:rPr>
      <w:b/>
      <w:bCs/>
      <w:sz w:val="32"/>
      <w:szCs w:val="32"/>
    </w:rPr>
  </w:style>
  <w:style w:type="character" w:customStyle="1" w:styleId="36">
    <w:name w:val="页脚 字符"/>
    <w:basedOn w:val="25"/>
    <w:link w:val="15"/>
    <w:qFormat/>
    <w:uiPriority w:val="99"/>
    <w:rPr>
      <w:sz w:val="18"/>
      <w:szCs w:val="18"/>
    </w:rPr>
  </w:style>
  <w:style w:type="character" w:customStyle="1" w:styleId="37">
    <w:name w:val="页眉 字符"/>
    <w:basedOn w:val="25"/>
    <w:link w:val="16"/>
    <w:qFormat/>
    <w:uiPriority w:val="99"/>
    <w:rPr>
      <w:sz w:val="18"/>
      <w:szCs w:val="18"/>
    </w:rPr>
  </w:style>
  <w:style w:type="character" w:customStyle="1" w:styleId="38">
    <w:name w:val="标题 字符"/>
    <w:basedOn w:val="25"/>
    <w:link w:val="21"/>
    <w:qFormat/>
    <w:uiPriority w:val="10"/>
    <w:rPr>
      <w:rFonts w:ascii="等线 Light" w:hAnsi="等线 Light" w:eastAsia="等线 Light" w:cs="宋体"/>
      <w:b/>
      <w:bCs/>
      <w:sz w:val="32"/>
      <w:szCs w:val="32"/>
    </w:rPr>
  </w:style>
  <w:style w:type="paragraph" w:styleId="39">
    <w:name w:val="No Spacing"/>
    <w:link w:val="40"/>
    <w:qFormat/>
    <w:uiPriority w:val="1"/>
    <w:rPr>
      <w:rFonts w:ascii="等线" w:hAnsi="等线" w:eastAsia="等线" w:cs="宋体"/>
      <w:sz w:val="22"/>
      <w:szCs w:val="22"/>
      <w:lang w:val="en-US" w:eastAsia="zh-CN" w:bidi="ar-SA"/>
    </w:rPr>
  </w:style>
  <w:style w:type="character" w:customStyle="1" w:styleId="40">
    <w:name w:val="无间隔 字符"/>
    <w:basedOn w:val="25"/>
    <w:link w:val="39"/>
    <w:qFormat/>
    <w:uiPriority w:val="1"/>
    <w:rPr>
      <w:kern w:val="0"/>
      <w:sz w:val="22"/>
    </w:rPr>
  </w:style>
  <w:style w:type="table" w:customStyle="1" w:styleId="41">
    <w:name w:val="无格式表格 21"/>
    <w:basedOn w:val="23"/>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42">
    <w:name w:val="font01"/>
    <w:basedOn w:val="25"/>
    <w:qFormat/>
    <w:uiPriority w:val="0"/>
    <w:rPr>
      <w:rFonts w:hint="eastAsia" w:ascii="等线" w:hAnsi="等线" w:eastAsia="等线" w:cs="等线"/>
      <w:color w:val="000000"/>
      <w:sz w:val="22"/>
      <w:szCs w:val="22"/>
      <w:u w:val="none"/>
    </w:rPr>
  </w:style>
  <w:style w:type="character" w:customStyle="1" w:styleId="43">
    <w:name w:val="font41"/>
    <w:basedOn w:val="25"/>
    <w:qFormat/>
    <w:uiPriority w:val="0"/>
    <w:rPr>
      <w:rFonts w:hint="eastAsia" w:ascii="等线" w:hAnsi="等线" w:eastAsia="等线" w:cs="等线"/>
      <w:color w:val="000000"/>
      <w:sz w:val="20"/>
      <w:szCs w:val="20"/>
      <w:u w:val="none"/>
    </w:rPr>
  </w:style>
  <w:style w:type="paragraph" w:customStyle="1" w:styleId="44">
    <w:name w:val="TOC 标题1"/>
    <w:basedOn w:val="2"/>
    <w:next w:val="1"/>
    <w:qFormat/>
    <w:uiPriority w:val="39"/>
    <w:pPr>
      <w:spacing w:before="240" w:after="0" w:line="259" w:lineRule="auto"/>
      <w:outlineLvl w:val="9"/>
    </w:pPr>
    <w:rPr>
      <w:rFonts w:ascii="等线 Light" w:hAnsi="等线 Light" w:eastAsia="等线 Light"/>
      <w:b w:val="0"/>
      <w:bCs w:val="0"/>
      <w:color w:val="2E74B5"/>
      <w:kern w:val="0"/>
      <w:sz w:val="32"/>
      <w:szCs w:val="32"/>
    </w:rPr>
  </w:style>
  <w:style w:type="table" w:customStyle="1" w:styleId="45">
    <w:name w:val="网格型1"/>
    <w:basedOn w:val="23"/>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无格式表格 22"/>
    <w:basedOn w:val="23"/>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47">
    <w:name w:val="无格式表格 23"/>
    <w:basedOn w:val="23"/>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48">
    <w:name w:val="List Paragraph"/>
    <w:basedOn w:val="1"/>
    <w:link w:val="77"/>
    <w:qFormat/>
    <w:uiPriority w:val="34"/>
    <w:pPr>
      <w:ind w:firstLine="420" w:firstLineChars="200"/>
    </w:pPr>
  </w:style>
  <w:style w:type="character" w:customStyle="1" w:styleId="49">
    <w:name w:val="批注框文本 字符"/>
    <w:basedOn w:val="25"/>
    <w:link w:val="14"/>
    <w:qFormat/>
    <w:uiPriority w:val="99"/>
    <w:rPr>
      <w:kern w:val="2"/>
      <w:sz w:val="18"/>
      <w:szCs w:val="18"/>
    </w:rPr>
  </w:style>
  <w:style w:type="character" w:customStyle="1" w:styleId="50">
    <w:name w:val="translated-span"/>
    <w:basedOn w:val="25"/>
    <w:qFormat/>
    <w:uiPriority w:val="0"/>
  </w:style>
  <w:style w:type="character" w:customStyle="1" w:styleId="51">
    <w:name w:val="脚注文本 字符"/>
    <w:basedOn w:val="25"/>
    <w:link w:val="18"/>
    <w:qFormat/>
    <w:uiPriority w:val="99"/>
    <w:rPr>
      <w:kern w:val="2"/>
      <w:sz w:val="18"/>
      <w:szCs w:val="18"/>
    </w:rPr>
  </w:style>
  <w:style w:type="character" w:customStyle="1" w:styleId="52">
    <w:name w:val="bjh-p"/>
    <w:basedOn w:val="25"/>
    <w:qFormat/>
    <w:uiPriority w:val="0"/>
  </w:style>
  <w:style w:type="paragraph" w:customStyle="1" w:styleId="53">
    <w:name w:val="Default"/>
    <w:qFormat/>
    <w:uiPriority w:val="0"/>
    <w:pPr>
      <w:widowControl w:val="0"/>
      <w:autoSpaceDE w:val="0"/>
      <w:autoSpaceDN w:val="0"/>
      <w:adjustRightInd w:val="0"/>
    </w:pPr>
    <w:rPr>
      <w:rFonts w:ascii="微软雅黑" w:hAnsi="等线" w:eastAsia="微软雅黑" w:cs="微软雅黑"/>
      <w:color w:val="000000"/>
      <w:sz w:val="24"/>
      <w:szCs w:val="24"/>
      <w:lang w:val="en-US" w:eastAsia="zh-CN" w:bidi="ar-SA"/>
    </w:rPr>
  </w:style>
  <w:style w:type="paragraph" w:customStyle="1" w:styleId="54">
    <w:name w:val="列出段落1"/>
    <w:basedOn w:val="1"/>
    <w:qFormat/>
    <w:uiPriority w:val="34"/>
    <w:pPr>
      <w:widowControl w:val="0"/>
      <w:ind w:firstLine="420" w:firstLineChars="200"/>
      <w:jc w:val="both"/>
    </w:pPr>
  </w:style>
  <w:style w:type="paragraph" w:customStyle="1" w:styleId="55">
    <w:name w:val="样式1"/>
    <w:basedOn w:val="8"/>
    <w:link w:val="57"/>
    <w:qFormat/>
    <w:uiPriority w:val="0"/>
    <w:pPr>
      <w:numPr>
        <w:ilvl w:val="0"/>
        <w:numId w:val="1"/>
      </w:numPr>
      <w:jc w:val="center"/>
    </w:pPr>
  </w:style>
  <w:style w:type="character" w:customStyle="1" w:styleId="56">
    <w:name w:val="题注 字符"/>
    <w:basedOn w:val="25"/>
    <w:link w:val="8"/>
    <w:qFormat/>
    <w:uiPriority w:val="35"/>
    <w:rPr>
      <w:rFonts w:ascii="等线 Light" w:hAnsi="等线 Light" w:eastAsia="黑体" w:cs="宋体"/>
      <w:kern w:val="2"/>
    </w:rPr>
  </w:style>
  <w:style w:type="character" w:customStyle="1" w:styleId="57">
    <w:name w:val="样式1 字符"/>
    <w:basedOn w:val="56"/>
    <w:link w:val="55"/>
    <w:qFormat/>
    <w:uiPriority w:val="0"/>
    <w:rPr>
      <w:rFonts w:ascii="等线 Light" w:hAnsi="等线 Light" w:eastAsia="黑体" w:cs="宋体"/>
      <w:kern w:val="2"/>
    </w:rPr>
  </w:style>
  <w:style w:type="paragraph" w:customStyle="1" w:styleId="58">
    <w:name w:val="图表"/>
    <w:next w:val="1"/>
    <w:link w:val="81"/>
    <w:qFormat/>
    <w:uiPriority w:val="12"/>
    <w:pPr>
      <w:jc w:val="center"/>
    </w:pPr>
    <w:rPr>
      <w:rFonts w:ascii="Times New Roman" w:hAnsi="Times New Roman" w:eastAsia="仿宋" w:cs="Times New Roman"/>
      <w:bCs/>
      <w:kern w:val="44"/>
      <w:sz w:val="24"/>
      <w:szCs w:val="44"/>
      <w:lang w:val="en-US" w:eastAsia="zh-CN" w:bidi="ar-SA"/>
    </w:rPr>
  </w:style>
  <w:style w:type="character" w:customStyle="1" w:styleId="59">
    <w:name w:val="标题 4 字符"/>
    <w:basedOn w:val="25"/>
    <w:link w:val="5"/>
    <w:qFormat/>
    <w:uiPriority w:val="9"/>
    <w:rPr>
      <w:rFonts w:ascii="等线 Light" w:hAnsi="等线 Light" w:eastAsia="等线 Light" w:cs="宋体"/>
      <w:b/>
      <w:bCs/>
      <w:kern w:val="2"/>
      <w:sz w:val="28"/>
      <w:szCs w:val="28"/>
    </w:rPr>
  </w:style>
  <w:style w:type="character" w:customStyle="1" w:styleId="60">
    <w:name w:val="标题 5 字符"/>
    <w:basedOn w:val="25"/>
    <w:link w:val="6"/>
    <w:qFormat/>
    <w:uiPriority w:val="9"/>
    <w:rPr>
      <w:b/>
      <w:bCs/>
      <w:kern w:val="2"/>
      <w:sz w:val="28"/>
      <w:szCs w:val="28"/>
    </w:rPr>
  </w:style>
  <w:style w:type="character" w:customStyle="1" w:styleId="61">
    <w:name w:val="Table caption_"/>
    <w:basedOn w:val="25"/>
    <w:link w:val="62"/>
    <w:qFormat/>
    <w:uiPriority w:val="0"/>
    <w:rPr>
      <w:rFonts w:ascii="宋体" w:hAnsi="宋体" w:eastAsia="宋体" w:cs="宋体"/>
      <w:sz w:val="30"/>
      <w:szCs w:val="30"/>
    </w:rPr>
  </w:style>
  <w:style w:type="paragraph" w:customStyle="1" w:styleId="62">
    <w:name w:val="Table caption"/>
    <w:basedOn w:val="1"/>
    <w:link w:val="61"/>
    <w:qFormat/>
    <w:uiPriority w:val="0"/>
    <w:pPr>
      <w:widowControl w:val="0"/>
    </w:pPr>
    <w:rPr>
      <w:rFonts w:ascii="宋体" w:hAnsi="宋体" w:eastAsia="宋体"/>
      <w:kern w:val="0"/>
      <w:sz w:val="30"/>
      <w:szCs w:val="30"/>
    </w:rPr>
  </w:style>
  <w:style w:type="character" w:customStyle="1" w:styleId="63">
    <w:name w:val="页脚 Char"/>
    <w:qFormat/>
    <w:uiPriority w:val="99"/>
    <w:rPr>
      <w:sz w:val="18"/>
      <w:szCs w:val="18"/>
    </w:rPr>
  </w:style>
  <w:style w:type="character" w:customStyle="1" w:styleId="64">
    <w:name w:val="尾注文本 字符"/>
    <w:basedOn w:val="25"/>
    <w:link w:val="13"/>
    <w:qFormat/>
    <w:uiPriority w:val="99"/>
    <w:rPr>
      <w:kern w:val="2"/>
      <w:sz w:val="21"/>
      <w:szCs w:val="22"/>
    </w:rPr>
  </w:style>
  <w:style w:type="character" w:customStyle="1" w:styleId="65">
    <w:name w:val="批注文字 字符"/>
    <w:basedOn w:val="25"/>
    <w:link w:val="9"/>
    <w:qFormat/>
    <w:uiPriority w:val="0"/>
    <w:rPr>
      <w:kern w:val="2"/>
      <w:sz w:val="21"/>
      <w:szCs w:val="24"/>
    </w:rPr>
  </w:style>
  <w:style w:type="paragraph" w:customStyle="1" w:styleId="66">
    <w:name w:val="paragraph"/>
    <w:basedOn w:val="1"/>
    <w:qFormat/>
    <w:uiPriority w:val="0"/>
    <w:pPr>
      <w:spacing w:before="100" w:beforeAutospacing="1" w:after="100" w:afterAutospacing="1"/>
    </w:pPr>
    <w:rPr>
      <w:rFonts w:ascii="宋体" w:hAnsi="宋体" w:eastAsia="宋体"/>
      <w:kern w:val="0"/>
      <w:sz w:val="24"/>
      <w:szCs w:val="24"/>
    </w:rPr>
  </w:style>
  <w:style w:type="character" w:customStyle="1" w:styleId="67">
    <w:name w:val="批注主题 字符"/>
    <w:basedOn w:val="65"/>
    <w:link w:val="22"/>
    <w:qFormat/>
    <w:uiPriority w:val="99"/>
    <w:rPr>
      <w:b/>
      <w:bCs/>
      <w:kern w:val="2"/>
      <w:sz w:val="21"/>
      <w:szCs w:val="22"/>
    </w:rPr>
  </w:style>
  <w:style w:type="table" w:customStyle="1" w:styleId="68">
    <w:name w:val="网格表 4 - 着色 11"/>
    <w:basedOn w:val="23"/>
    <w:qFormat/>
    <w:uiPriority w:val="49"/>
    <w:rPr>
      <w:kern w:val="2"/>
      <w:sz w:val="21"/>
      <w:szCs w:val="22"/>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character" w:customStyle="1" w:styleId="69">
    <w:name w:val="正文文本 字符"/>
    <w:basedOn w:val="25"/>
    <w:link w:val="10"/>
    <w:qFormat/>
    <w:uiPriority w:val="1"/>
    <w:rPr>
      <w:rFonts w:ascii="宋体" w:hAnsi="宋体" w:eastAsia="宋体" w:cs="宋体"/>
      <w:sz w:val="30"/>
      <w:szCs w:val="30"/>
    </w:rPr>
  </w:style>
  <w:style w:type="table" w:customStyle="1" w:styleId="70">
    <w:name w:val="网格表 4 - 着色 51"/>
    <w:basedOn w:val="23"/>
    <w:qFormat/>
    <w:uiPriority w:val="49"/>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71">
    <w:name w:val="报告正文"/>
    <w:basedOn w:val="1"/>
    <w:qFormat/>
    <w:uiPriority w:val="0"/>
    <w:pPr>
      <w:widowControl w:val="0"/>
      <w:ind w:firstLine="200" w:firstLineChars="200"/>
      <w:jc w:val="both"/>
    </w:pPr>
    <w:rPr>
      <w:rFonts w:ascii="仿宋_GB2312" w:hAnsi="仿宋_GB2312" w:eastAsia="仿宋_GB2312"/>
      <w:sz w:val="32"/>
      <w:szCs w:val="20"/>
      <w:u w:color="000000"/>
    </w:rPr>
  </w:style>
  <w:style w:type="paragraph" w:customStyle="1" w:styleId="72">
    <w:name w:val="重大专项字体"/>
    <w:basedOn w:val="1"/>
    <w:qFormat/>
    <w:uiPriority w:val="0"/>
    <w:pPr>
      <w:widowControl w:val="0"/>
      <w:spacing w:before="120" w:line="360" w:lineRule="auto"/>
      <w:ind w:firstLine="200" w:firstLineChars="200"/>
      <w:jc w:val="both"/>
    </w:pPr>
    <w:rPr>
      <w:rFonts w:ascii="仿宋_GB2312" w:hAnsi="Arial" w:eastAsia="仿宋_GB2312"/>
      <w:color w:val="000000"/>
      <w:sz w:val="24"/>
      <w:szCs w:val="20"/>
    </w:rPr>
  </w:style>
  <w:style w:type="paragraph" w:customStyle="1" w:styleId="73">
    <w:name w:val="正文分点"/>
    <w:next w:val="1"/>
    <w:qFormat/>
    <w:uiPriority w:val="9"/>
    <w:pPr>
      <w:spacing w:line="360" w:lineRule="auto"/>
      <w:ind w:left="425" w:hanging="425"/>
      <w:textAlignment w:val="center"/>
      <w:outlineLvl w:val="2"/>
    </w:pPr>
    <w:rPr>
      <w:rFonts w:ascii="Times New Roman" w:hAnsi="Times New Roman" w:eastAsia="仿宋" w:cs="宋体"/>
      <w:bCs/>
      <w:kern w:val="2"/>
      <w:sz w:val="24"/>
      <w:szCs w:val="28"/>
      <w:lang w:val="en-US" w:eastAsia="zh-CN" w:bidi="ar-SA"/>
    </w:rPr>
  </w:style>
  <w:style w:type="paragraph" w:styleId="74">
    <w:name w:val="Quote"/>
    <w:basedOn w:val="1"/>
    <w:next w:val="1"/>
    <w:link w:val="75"/>
    <w:qFormat/>
    <w:uiPriority w:val="29"/>
    <w:pPr>
      <w:widowControl w:val="0"/>
      <w:spacing w:line="360" w:lineRule="auto"/>
      <w:ind w:firstLine="420" w:firstLineChars="200"/>
      <w:jc w:val="right"/>
      <w:textAlignment w:val="center"/>
    </w:pPr>
    <w:rPr>
      <w:rFonts w:ascii="Times New Roman" w:hAnsi="Times New Roman" w:eastAsia="仿宋" w:cs="Times New Roman"/>
      <w:iCs/>
      <w:color w:val="000000"/>
      <w:sz w:val="18"/>
      <w:szCs w:val="20"/>
    </w:rPr>
  </w:style>
  <w:style w:type="character" w:customStyle="1" w:styleId="75">
    <w:name w:val="引用 字符"/>
    <w:basedOn w:val="25"/>
    <w:link w:val="74"/>
    <w:qFormat/>
    <w:uiPriority w:val="29"/>
    <w:rPr>
      <w:rFonts w:ascii="Times New Roman" w:hAnsi="Times New Roman" w:eastAsia="仿宋" w:cs="Times New Roman"/>
      <w:iCs/>
      <w:color w:val="000000"/>
      <w:kern w:val="2"/>
      <w:sz w:val="18"/>
    </w:rPr>
  </w:style>
  <w:style w:type="table" w:customStyle="1" w:styleId="76">
    <w:name w:val="网格表 1 浅色1"/>
    <w:basedOn w:val="23"/>
    <w:qFormat/>
    <w:uiPriority w:val="46"/>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character" w:customStyle="1" w:styleId="77">
    <w:name w:val="列出段落 字符"/>
    <w:link w:val="48"/>
    <w:qFormat/>
    <w:uiPriority w:val="34"/>
    <w:rPr>
      <w:kern w:val="2"/>
      <w:sz w:val="21"/>
      <w:szCs w:val="22"/>
    </w:rPr>
  </w:style>
  <w:style w:type="table" w:customStyle="1" w:styleId="78">
    <w:name w:val="网格表 5 深色 - 着色 11"/>
    <w:basedOn w:val="23"/>
    <w:qFormat/>
    <w:uiPriority w:val="50"/>
    <w:rPr>
      <w:rFonts w:cs="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character" w:customStyle="1" w:styleId="79">
    <w:name w:val="font11"/>
    <w:basedOn w:val="25"/>
    <w:qFormat/>
    <w:uiPriority w:val="0"/>
    <w:rPr>
      <w:rFonts w:hint="eastAsia" w:ascii="宋体" w:hAnsi="宋体" w:eastAsia="宋体" w:cs="宋体"/>
      <w:color w:val="000000"/>
      <w:sz w:val="20"/>
      <w:szCs w:val="20"/>
      <w:u w:val="none"/>
    </w:rPr>
  </w:style>
  <w:style w:type="paragraph" w:customStyle="1" w:styleId="80">
    <w:name w:val="一级标题"/>
    <w:basedOn w:val="48"/>
    <w:qFormat/>
    <w:uiPriority w:val="0"/>
    <w:pPr>
      <w:widowControl w:val="0"/>
      <w:numPr>
        <w:ilvl w:val="0"/>
        <w:numId w:val="2"/>
      </w:numPr>
      <w:autoSpaceDE w:val="0"/>
      <w:spacing w:line="520" w:lineRule="atLeast"/>
      <w:ind w:firstLine="0" w:firstLineChars="0"/>
      <w:jc w:val="both"/>
      <w:outlineLvl w:val="0"/>
    </w:pPr>
    <w:rPr>
      <w:rFonts w:ascii="黑体" w:hAnsi="黑体" w:eastAsia="黑体"/>
      <w:sz w:val="32"/>
      <w:szCs w:val="32"/>
    </w:rPr>
  </w:style>
  <w:style w:type="character" w:customStyle="1" w:styleId="81">
    <w:name w:val="图表 字符"/>
    <w:basedOn w:val="25"/>
    <w:link w:val="58"/>
    <w:qFormat/>
    <w:uiPriority w:val="0"/>
    <w:rPr>
      <w:rFonts w:ascii="Times New Roman" w:hAnsi="Times New Roman" w:eastAsia="仿宋" w:cs="Times New Roman"/>
      <w:bCs/>
      <w:kern w:val="44"/>
      <w:sz w:val="24"/>
      <w:szCs w:val="44"/>
    </w:rPr>
  </w:style>
  <w:style w:type="paragraph" w:customStyle="1" w:styleId="82">
    <w:name w:val="ql-align-justify"/>
    <w:basedOn w:val="1"/>
    <w:qFormat/>
    <w:uiPriority w:val="0"/>
    <w:pPr>
      <w:spacing w:before="100" w:beforeAutospacing="1" w:after="100" w:afterAutospacing="1"/>
    </w:pPr>
    <w:rPr>
      <w:rFonts w:ascii="宋体" w:hAnsi="宋体" w:eastAsia="宋体"/>
      <w:kern w:val="0"/>
      <w:sz w:val="24"/>
      <w:szCs w:val="24"/>
    </w:rPr>
  </w:style>
  <w:style w:type="character" w:customStyle="1" w:styleId="83">
    <w:name w:val="日期 字符"/>
    <w:basedOn w:val="25"/>
    <w:link w:val="12"/>
    <w:qFormat/>
    <w:uiPriority w:val="0"/>
    <w:rPr>
      <w:rFonts w:ascii="Times New Roman" w:hAnsi="Times New Roman" w:eastAsia="宋体" w:cs="Times New Roman"/>
      <w:b/>
      <w:kern w:val="2"/>
      <w:sz w:val="24"/>
    </w:rPr>
  </w:style>
  <w:style w:type="paragraph" w:customStyle="1" w:styleId="84">
    <w:name w:val="参考文献（吴）"/>
    <w:basedOn w:val="1"/>
    <w:next w:val="1"/>
    <w:qFormat/>
    <w:uiPriority w:val="0"/>
    <w:pPr>
      <w:widowControl w:val="0"/>
      <w:spacing w:before="50" w:beforeLines="50" w:after="50" w:afterLines="50"/>
      <w:jc w:val="center"/>
    </w:pPr>
    <w:rPr>
      <w:rFonts w:ascii="Arial" w:hAnsi="Arial" w:eastAsia="黑体" w:cs="Times New Roman"/>
      <w:sz w:val="28"/>
      <w:szCs w:val="28"/>
    </w:rPr>
  </w:style>
  <w:style w:type="paragraph" w:customStyle="1" w:styleId="85">
    <w:name w:val="参考文献内容（吴）"/>
    <w:basedOn w:val="84"/>
    <w:next w:val="1"/>
    <w:qFormat/>
    <w:uiPriority w:val="0"/>
    <w:pPr>
      <w:spacing w:before="0" w:after="0"/>
      <w:jc w:val="both"/>
    </w:pPr>
    <w:rPr>
      <w:rFonts w:ascii="Times New Roman" w:hAnsi="Times New Roman" w:eastAsia="宋体"/>
      <w:sz w:val="18"/>
    </w:rPr>
  </w:style>
  <w:style w:type="paragraph" w:customStyle="1" w:styleId="86">
    <w:name w:val="脚注"/>
    <w:qFormat/>
    <w:uiPriority w:val="3"/>
    <w:pPr>
      <w:jc w:val="both"/>
    </w:pPr>
    <w:rPr>
      <w:rFonts w:ascii="Times New Roman" w:hAnsi="Times New Roman" w:eastAsia="宋体" w:cs="Times New Roman"/>
      <w:bCs/>
      <w:kern w:val="44"/>
      <w:sz w:val="21"/>
      <w:szCs w:val="44"/>
      <w:lang w:val="en-US" w:eastAsia="zh-CN" w:bidi="ar-SA"/>
    </w:rPr>
  </w:style>
  <w:style w:type="character" w:customStyle="1" w:styleId="87">
    <w:name w:val="font51"/>
    <w:basedOn w:val="25"/>
    <w:qFormat/>
    <w:uiPriority w:val="0"/>
    <w:rPr>
      <w:rFonts w:hint="eastAsia" w:ascii="宋体" w:hAnsi="宋体" w:eastAsia="宋体" w:cs="宋体"/>
      <w:b/>
      <w:bCs/>
      <w:color w:val="000000"/>
      <w:sz w:val="20"/>
      <w:szCs w:val="20"/>
      <w:u w:val="none"/>
    </w:rPr>
  </w:style>
  <w:style w:type="character" w:customStyle="1" w:styleId="88">
    <w:name w:val="font21"/>
    <w:basedOn w:val="25"/>
    <w:qFormat/>
    <w:uiPriority w:val="0"/>
    <w:rPr>
      <w:rFonts w:hint="eastAsia" w:ascii="仿宋" w:hAnsi="仿宋" w:eastAsia="仿宋" w:cs="仿宋"/>
      <w:color w:val="000000"/>
      <w:sz w:val="24"/>
      <w:szCs w:val="24"/>
      <w:u w:val="none"/>
    </w:rPr>
  </w:style>
  <w:style w:type="character" w:customStyle="1" w:styleId="89">
    <w:name w:val="font31"/>
    <w:basedOn w:val="25"/>
    <w:qFormat/>
    <w:uiPriority w:val="0"/>
    <w:rPr>
      <w:rFonts w:hint="eastAsia" w:ascii="仿宋" w:hAnsi="仿宋" w:eastAsia="仿宋" w:cs="仿宋"/>
      <w:b/>
      <w:bCs/>
      <w:color w:val="000000"/>
      <w:sz w:val="28"/>
      <w:szCs w:val="28"/>
      <w:u w:val="none"/>
    </w:rPr>
  </w:style>
  <w:style w:type="table" w:customStyle="1" w:styleId="90">
    <w:name w:val="浅色底纹1"/>
    <w:basedOn w:val="23"/>
    <w:qFormat/>
    <w:uiPriority w:val="60"/>
    <w:rPr>
      <w:rFonts w:asciiTheme="minorHAnsi" w:hAnsiTheme="minorHAnsi" w:eastAsiaTheme="minorEastAsia" w:cstheme="minorBidi"/>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91">
    <w:name w:val="Grid Table 4 Accent 1"/>
    <w:basedOn w:val="23"/>
    <w:qFormat/>
    <w:uiPriority w:val="49"/>
    <w:rPr>
      <w:rFonts w:asciiTheme="minorHAnsi" w:hAnsiTheme="minorHAnsi" w:eastAsiaTheme="minorEastAsia" w:cstheme="minorBidi"/>
      <w:kern w:val="2"/>
      <w:sz w:val="21"/>
      <w:szCs w:val="22"/>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92">
    <w:name w:val="网格表 21"/>
    <w:basedOn w:val="23"/>
    <w:qFormat/>
    <w:uiPriority w:val="47"/>
    <w:rPr>
      <w:rFonts w:asciiTheme="minorHAnsi" w:hAnsiTheme="minorHAnsi" w:eastAsiaTheme="minorEastAsia" w:cstheme="minorBidi"/>
    </w:r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93">
    <w:name w:val="List Table 6 Colorful Accent 3"/>
    <w:basedOn w:val="23"/>
    <w:qFormat/>
    <w:uiPriority w:val="51"/>
    <w:rPr>
      <w:rFonts w:asciiTheme="minorHAnsi" w:hAnsiTheme="minorHAnsi" w:eastAsiaTheme="minorEastAsia" w:cstheme="minorBidi"/>
      <w:color w:val="77933C" w:themeColor="accent3" w:themeShade="BF"/>
      <w:kern w:val="2"/>
      <w:sz w:val="21"/>
      <w:szCs w:val="22"/>
    </w:rPr>
    <w:tblPr>
      <w:tblBorders>
        <w:top w:val="single" w:color="9BBB59" w:themeColor="accent3" w:sz="4" w:space="0"/>
        <w:bottom w:val="single" w:color="9BBB59" w:themeColor="accent3" w:sz="4" w:space="0"/>
      </w:tblBorders>
    </w:tblPr>
    <w:tblStylePr w:type="firstRow">
      <w:rPr>
        <w:b/>
        <w:bCs/>
      </w:rPr>
      <w:tcPr>
        <w:tcBorders>
          <w:bottom w:val="single" w:color="9BBB59" w:themeColor="accent3" w:sz="4" w:space="0"/>
        </w:tcBorders>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paragraph" w:customStyle="1" w:styleId="94">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3A23A-BF28-49A3-947C-7773F56D05BE}">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7</Pages>
  <Words>1563</Words>
  <Characters>1616</Characters>
  <Lines>178</Lines>
  <Paragraphs>50</Paragraphs>
  <TotalTime>12</TotalTime>
  <ScaleCrop>false</ScaleCrop>
  <LinksUpToDate>false</LinksUpToDate>
  <CharactersWithSpaces>1621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2025-03-24T01:24:00Z</dcterms:created>
  <dc:creator>谢婷婷</dc:creator>
  <cp:lastModifiedBy>Cathy</cp:lastModifiedBy>
  <cp:lastPrinted>2025-03-25T01:47:00Z</cp:lastPrinted>
  <dcterms:modified xsi:type="dcterms:W3CDTF">2025-07-01T08:52:05Z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y fmtid="{D5CDD505-2E9C-101B-9397-08002B2CF9AE}" pid="3" name="KSOProductBuildVer">
    <vt:lpwstr>2052-12.1.0.21541</vt:lpwstr>
  </property>
  <property fmtid="{D5CDD505-2E9C-101B-9397-08002B2CF9AE}" pid="4" name="ICV">
    <vt:lpwstr>0B55CEB15C404583B4574A327DA81DF2_13</vt:lpwstr>
  </property>
  <property fmtid="{D5CDD505-2E9C-101B-9397-08002B2CF9AE}" pid="5" name="KSOTemplateDocerSaveRecord">
    <vt:lpwstr>eyJoZGlkIjoiMDA2YTFjZTQ2ZDYwZDUxMTg0YjQ0MTA1YmRmZDg4ZmEiLCJ1c2VySWQiOiIzMDA5NTUxMzUifQ==</vt:lpwstr>
  </property>
</Properties>
</file>