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30B6E">
      <w:pPr>
        <w:widowControl/>
        <w:spacing w:after="156" w:afterLines="50"/>
        <w:jc w:val="center"/>
        <w:rPr>
          <w:rFonts w:hint="eastAsia" w:ascii="微软雅黑" w:hAnsi="微软雅黑" w:eastAsia="微软雅黑" w:cs="微软雅黑"/>
          <w:b/>
          <w:bCs/>
          <w:kern w:val="44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kern w:val="44"/>
          <w:sz w:val="36"/>
          <w:szCs w:val="36"/>
        </w:rPr>
        <w:t>中移动宽带核心策略重新审视及竞争</w:t>
      </w:r>
      <w:r>
        <w:rPr>
          <w:rFonts w:hint="eastAsia" w:ascii="微软雅黑" w:hAnsi="微软雅黑" w:eastAsia="微软雅黑" w:cs="微软雅黑"/>
          <w:b/>
          <w:bCs/>
          <w:kern w:val="44"/>
          <w:sz w:val="36"/>
          <w:szCs w:val="36"/>
          <w:lang w:val="en-US" w:eastAsia="zh-CN"/>
        </w:rPr>
        <w:t>应对</w:t>
      </w:r>
      <w:r>
        <w:rPr>
          <w:rFonts w:hint="eastAsia" w:ascii="微软雅黑" w:hAnsi="微软雅黑" w:eastAsia="微软雅黑" w:cs="微软雅黑"/>
          <w:b/>
          <w:bCs/>
          <w:kern w:val="44"/>
          <w:sz w:val="36"/>
          <w:szCs w:val="36"/>
        </w:rPr>
        <w:t>建议</w:t>
      </w:r>
    </w:p>
    <w:p w14:paraId="3340A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firstLine="560" w:firstLineChars="200"/>
        <w:jc w:val="left"/>
        <w:textAlignment w:val="auto"/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随着中移动宽带业务份额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达到47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%，其发展重心转向用户价值深耕和政企宽带扩张，预期此举将加剧对中电信宽带业务的竞争压力。中电信亟需针对中移动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策略特点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实施差异化应对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建议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围绕“用户保有、场景提值、技术筑壁垒”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三方面协同构建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“防守 - 进攻 - 赋能”闭环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策略实现破局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。</w:t>
      </w:r>
    </w:p>
    <w:p w14:paraId="7B30C6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sz w:val="32"/>
          <w:szCs w:val="28"/>
          <w:highlight w:val="none"/>
        </w:rPr>
        <w:t>中移动宽带业务核心策略解析</w:t>
      </w:r>
    </w:p>
    <w:p w14:paraId="1F7D07E4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一）三阶段战略递进实现跨越发展</w:t>
      </w:r>
    </w:p>
    <w:p w14:paraId="38068EDC">
      <w:pPr>
        <w:spacing w:line="360" w:lineRule="auto"/>
        <w:ind w:firstLine="560" w:firstLineChars="200"/>
        <w:jc w:val="left"/>
        <w:rPr>
          <w:rFonts w:ascii="仿宋" w:hAnsi="仿宋" w:eastAsia="仿宋_GB2312" w:cs="仿宋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中国移动宽带业务依托“低价扩张→质量提升→存量运营”三阶段战略实现份额逆袭，形成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清晰的“战略递进”模式（见表1），在用户规模、网络能力和生态价值三个方面实现了跨越。</w:t>
      </w:r>
    </w:p>
    <w:p w14:paraId="20CEB446">
      <w:pPr>
        <w:spacing w:line="360" w:lineRule="auto"/>
        <w:ind w:firstLine="562" w:firstLineChars="200"/>
        <w:jc w:val="left"/>
        <w:rPr>
          <w:rFonts w:ascii="仿宋" w:hAnsi="仿宋" w:eastAsia="仿宋_GB2312" w:cs="仿宋"/>
          <w:sz w:val="28"/>
          <w:szCs w:val="28"/>
          <w:highlight w:val="none"/>
        </w:rPr>
      </w:pPr>
      <w:r>
        <w:rPr>
          <w:rFonts w:hint="eastAsia" w:ascii="仿宋" w:hAnsi="仿宋" w:eastAsia="仿宋_GB2312" w:cs="仿宋"/>
          <w:b/>
          <w:bCs/>
          <w:sz w:val="28"/>
          <w:szCs w:val="28"/>
          <w:highlight w:val="none"/>
        </w:rPr>
        <w:t>在用户规模层面，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中移动通过激进的价格策略（2017-2019年免费赠送光猫/机顶盒、宽带实行一折甚至零折优惠）实现用户基数跨越式增长，为后续价值运营奠定了坚实基础。2025年Q1数据显示，其有线宽带用户总数已达3.20亿户，季度净增548万户，家庭宽带用户达2.82亿户，接近电信与联通宽带用户总和。</w:t>
      </w:r>
    </w:p>
    <w:p w14:paraId="7DF88D4D">
      <w:pPr>
        <w:spacing w:line="360" w:lineRule="auto"/>
        <w:ind w:firstLine="562" w:firstLineChars="200"/>
        <w:jc w:val="left"/>
        <w:rPr>
          <w:rFonts w:ascii="仿宋" w:hAnsi="仿宋" w:eastAsia="仿宋_GB2312" w:cs="仿宋"/>
          <w:sz w:val="28"/>
          <w:szCs w:val="28"/>
          <w:highlight w:val="none"/>
        </w:rPr>
      </w:pPr>
      <w:r>
        <w:rPr>
          <w:rFonts w:hint="eastAsia" w:ascii="仿宋" w:hAnsi="仿宋" w:eastAsia="仿宋_GB2312" w:cs="仿宋"/>
          <w:b/>
          <w:bCs/>
          <w:sz w:val="28"/>
          <w:szCs w:val="28"/>
          <w:highlight w:val="none"/>
        </w:rPr>
        <w:t>在网络能力层面，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自2020年起，中移动将策略重点转向宽带质量提升，投入大量成本改善网络质量，并委托杭州研究院负责宽带业务端到端质量监测和提升工作。其后，中移动实施双轨并行的技术升级策略：一方面通过FTTR补强基础质量，如山东移动2025年专项投入20亿元推进FTTR普及；另一方面超前布局万兆光网，在工信部2025年4月公布的全国168个万兆试点中，中移动承接超70%项目（如襄阳、昆明、临沧），采用50G PON技术实现上下行超10Gbps、时延1毫秒的超高性能，支撑8K/VR、工业互联网等场景。江苏移动更在万兆小区、工厂、园区三类场景同步试点，通过FTTR+Wi-Fi7实现全屋微米级覆盖。</w:t>
      </w:r>
    </w:p>
    <w:p w14:paraId="701D7E30">
      <w:pPr>
        <w:spacing w:line="360" w:lineRule="auto"/>
        <w:ind w:firstLine="562" w:firstLineChars="200"/>
        <w:jc w:val="left"/>
        <w:rPr>
          <w:rFonts w:hint="eastAsia" w:ascii="仿宋" w:hAnsi="仿宋" w:eastAsia="仿宋_GB2312" w:cs="仿宋"/>
          <w:sz w:val="28"/>
          <w:szCs w:val="28"/>
          <w:highlight w:val="none"/>
        </w:rPr>
      </w:pPr>
      <w:r>
        <w:rPr>
          <w:rFonts w:hint="eastAsia" w:ascii="仿宋" w:hAnsi="仿宋" w:eastAsia="仿宋_GB2312" w:cs="仿宋"/>
          <w:b/>
          <w:bCs/>
          <w:sz w:val="28"/>
          <w:szCs w:val="28"/>
          <w:highlight w:val="none"/>
        </w:rPr>
        <w:t>在生态运营层面，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中移动构建了“生态捆绑+数据驱动”的双重壁垒。一方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val="en-US" w:eastAsia="zh-CN"/>
        </w:rPr>
        <w:t>面，推动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移动用户基数有效转化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eastAsia="zh-CN"/>
        </w:rPr>
        <w:t>，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val="en-US" w:eastAsia="zh-CN"/>
        </w:rPr>
        <w:t>利用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手机号导流与宽带深度绑定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eastAsia="zh-CN"/>
        </w:rPr>
        <w:t>，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val="en-US" w:eastAsia="zh-CN"/>
        </w:rPr>
        <w:t>提升用户离网成本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。此外，构建权益生态壁垒，如北京移动“49元爱优腾四屏会员”要求用户必须是中移动宽带客户，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val="en-US" w:eastAsia="zh-CN"/>
        </w:rPr>
        <w:t>使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内容权益成为宽带附加值的核心筹码。另一方面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eastAsia="zh-CN"/>
        </w:rPr>
        <w:t>，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val="en-US" w:eastAsia="zh-CN"/>
        </w:rPr>
        <w:t>积极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推进数据驱动运营，如在光猫中嵌入探针，采集用户行为数据，构建场景化标签体系，为定制化宽带服务（如直播宽带、游戏宽带）提供支撑，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val="en-US" w:eastAsia="zh-CN"/>
        </w:rPr>
        <w:t>从而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显著提升ARPU值。</w:t>
      </w:r>
      <w:r>
        <w:rPr>
          <w:rFonts w:hint="eastAsia" w:ascii="仿宋" w:hAnsi="仿宋" w:eastAsia="仿宋_GB2312" w:cs="仿宋"/>
          <w:sz w:val="28"/>
          <w:szCs w:val="28"/>
          <w:highlight w:val="none"/>
          <w:lang w:val="en-US" w:eastAsia="zh-CN"/>
        </w:rPr>
        <w:t>截至</w:t>
      </w:r>
      <w:r>
        <w:rPr>
          <w:rFonts w:hint="eastAsia" w:ascii="仿宋" w:hAnsi="仿宋" w:eastAsia="仿宋_GB2312" w:cs="仿宋"/>
          <w:sz w:val="28"/>
          <w:szCs w:val="28"/>
          <w:highlight w:val="none"/>
        </w:rPr>
        <w:t>2025年Q1中移动家庭宽带客户综合ARPU达40.8元，同比增长2.3%。</w:t>
      </w:r>
    </w:p>
    <w:p w14:paraId="6EB9A464">
      <w:pPr>
        <w:spacing w:line="360" w:lineRule="auto"/>
        <w:ind w:firstLine="482" w:firstLineChars="200"/>
        <w:jc w:val="center"/>
        <w:rPr>
          <w:rFonts w:ascii="仿宋" w:hAnsi="仿宋" w:eastAsia="仿宋_GB2312" w:cs="仿宋"/>
          <w:b/>
          <w:bCs/>
          <w:sz w:val="24"/>
          <w:highlight w:val="none"/>
        </w:rPr>
      </w:pPr>
      <w:r>
        <w:rPr>
          <w:rFonts w:hint="eastAsia" w:ascii="仿宋" w:hAnsi="仿宋" w:eastAsia="仿宋_GB2312" w:cs="仿宋"/>
          <w:b/>
          <w:bCs/>
          <w:sz w:val="24"/>
          <w:highlight w:val="none"/>
        </w:rPr>
        <w:t>表1：中移动宽带业务发展三阶段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445"/>
        <w:gridCol w:w="1982"/>
        <w:gridCol w:w="3537"/>
      </w:tblGrid>
      <w:tr w14:paraId="2DAA8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4874CB" w:themeFill="accent1"/>
          </w:tcPr>
          <w:p w14:paraId="3BDCB983">
            <w:pPr>
              <w:jc w:val="center"/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  <w:t>阶段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09D365A2">
            <w:pPr>
              <w:jc w:val="center"/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  <w:t>时间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01096B28">
            <w:pPr>
              <w:jc w:val="center"/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  <w:t>核心策略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5E156637">
            <w:pPr>
              <w:jc w:val="center"/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FFFF"/>
                <w:szCs w:val="21"/>
                <w:highlight w:val="none"/>
              </w:rPr>
              <w:t>关键举措</w:t>
            </w:r>
          </w:p>
        </w:tc>
      </w:tr>
      <w:tr w14:paraId="2156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2A0007">
            <w:pPr>
              <w:jc w:val="center"/>
              <w:rPr>
                <w:rFonts w:hint="eastAsia" w:ascii="仿宋" w:hAnsi="仿宋" w:eastAsia="仿宋" w:cs="仿宋"/>
                <w:b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Cs w:val="21"/>
                <w:highlight w:val="none"/>
              </w:rPr>
              <w:t>低价扩张期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9F5E7">
            <w:pPr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2017-2019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F9BDC">
            <w:pPr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牺牲利润抢占用户入口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F5939">
            <w:pPr>
              <w:numPr>
                <w:ilvl w:val="0"/>
                <w:numId w:val="2"/>
              </w:numPr>
              <w:ind w:left="221" w:hanging="221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考核新增用户数</w:t>
            </w:r>
          </w:p>
          <w:p w14:paraId="01585737">
            <w:pPr>
              <w:numPr>
                <w:ilvl w:val="0"/>
                <w:numId w:val="2"/>
              </w:numPr>
              <w:ind w:left="221" w:hanging="221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光猫/机顶盒免费松，宽带一折甚至零元</w:t>
            </w:r>
          </w:p>
        </w:tc>
      </w:tr>
      <w:tr w14:paraId="0450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68AF7AB">
            <w:pPr>
              <w:jc w:val="center"/>
              <w:rPr>
                <w:rFonts w:hint="eastAsia" w:ascii="仿宋" w:hAnsi="仿宋" w:eastAsia="仿宋" w:cs="仿宋"/>
                <w:b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Cs w:val="21"/>
                <w:highlight w:val="none"/>
              </w:rPr>
              <w:t>质量提升期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89DA71">
            <w:pPr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2020-2022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94AF68D">
            <w:pPr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弥补质量短板，布局增值业务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71C87542">
            <w:pPr>
              <w:numPr>
                <w:ilvl w:val="0"/>
                <w:numId w:val="2"/>
              </w:numPr>
              <w:ind w:left="220" w:hanging="220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优化端到端质量，在考核新增用户数基础上，开始考核用户满意度</w:t>
            </w:r>
          </w:p>
          <w:p w14:paraId="5546872E">
            <w:pPr>
              <w:numPr>
                <w:ilvl w:val="0"/>
                <w:numId w:val="2"/>
              </w:numPr>
              <w:ind w:left="220" w:hanging="220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推出FTTR组网、家庭安防服务</w:t>
            </w:r>
          </w:p>
          <w:p w14:paraId="7AA6950C">
            <w:pPr>
              <w:numPr>
                <w:ilvl w:val="0"/>
                <w:numId w:val="2"/>
              </w:numPr>
              <w:ind w:left="220" w:hanging="220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联合百度等打造智能生态</w:t>
            </w:r>
          </w:p>
        </w:tc>
      </w:tr>
      <w:tr w14:paraId="75AA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FB71776">
            <w:pPr>
              <w:jc w:val="center"/>
              <w:rPr>
                <w:rFonts w:hint="eastAsia" w:ascii="仿宋" w:hAnsi="仿宋" w:eastAsia="仿宋" w:cs="仿宋"/>
                <w:b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Cs w:val="21"/>
                <w:highlight w:val="none"/>
              </w:rPr>
              <w:t>存量运营期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6B258DAB">
            <w:pPr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2023至今</w:t>
            </w:r>
          </w:p>
        </w:tc>
        <w:tc>
          <w:tcPr>
            <w:tcW w:w="198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2E14D09">
            <w:pPr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用户保有+价值挖掘</w:t>
            </w:r>
          </w:p>
        </w:tc>
        <w:tc>
          <w:tcPr>
            <w:tcW w:w="3537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</w:tcPr>
          <w:p w14:paraId="012AABD4">
            <w:pPr>
              <w:numPr>
                <w:ilvl w:val="0"/>
                <w:numId w:val="2"/>
              </w:numPr>
              <w:ind w:left="220" w:hanging="220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考核指标转向净增用户数+用户满意度+售后服务</w:t>
            </w:r>
          </w:p>
          <w:p w14:paraId="53F75C5B">
            <w:pPr>
              <w:numPr>
                <w:ilvl w:val="0"/>
                <w:numId w:val="2"/>
              </w:numPr>
              <w:ind w:left="220" w:hanging="220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推广定制化宽带</w:t>
            </w:r>
          </w:p>
          <w:p w14:paraId="445FA03C">
            <w:pPr>
              <w:numPr>
                <w:ilvl w:val="0"/>
                <w:numId w:val="2"/>
              </w:numPr>
              <w:ind w:left="220" w:hanging="220"/>
              <w:jc w:val="left"/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highlight w:val="none"/>
              </w:rPr>
              <w:t>强化大数据画像与权益捆绑</w:t>
            </w:r>
          </w:p>
        </w:tc>
      </w:tr>
    </w:tbl>
    <w:p w14:paraId="5E54B572">
      <w:pPr>
        <w:spacing w:line="360" w:lineRule="auto"/>
        <w:jc w:val="left"/>
        <w:rPr>
          <w:rFonts w:hint="eastAsia" w:ascii="仿宋" w:hAnsi="仿宋" w:eastAsia="仿宋_GB2312" w:cs="仿宋"/>
          <w:sz w:val="28"/>
          <w:szCs w:val="28"/>
          <w:highlight w:val="none"/>
          <w:lang w:eastAsia="zh-CN"/>
        </w:rPr>
      </w:pPr>
    </w:p>
    <w:p w14:paraId="73DC055B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仿宋" w:hAnsi="仿宋" w:eastAsia="仿宋_GB2312" w:cs="仿宋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二）策略重心转向存量提值和政企市场</w:t>
      </w:r>
    </w:p>
    <w:p w14:paraId="4C0749BB">
      <w:pPr>
        <w:spacing w:line="360" w:lineRule="auto"/>
        <w:ind w:firstLine="562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宽带业务的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发力点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转向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价值经营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根据</w:t>
      </w:r>
      <w:r>
        <w:rPr>
          <w:rFonts w:hint="eastAsia" w:ascii="仿宋" w:hAnsi="仿宋" w:eastAsia="仿宋" w:cs="仿宋"/>
          <w:sz w:val="28"/>
          <w:szCs w:val="28"/>
        </w:rPr>
        <w:t>调研，中移动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宽带业务正逐步从“规模扩张”转向“价值经营”，一方面倡导</w:t>
      </w:r>
      <w:r>
        <w:rPr>
          <w:rFonts w:hint="eastAsia" w:ascii="仿宋" w:hAnsi="仿宋" w:eastAsia="仿宋" w:cs="仿宋"/>
          <w:sz w:val="28"/>
          <w:szCs w:val="28"/>
        </w:rPr>
        <w:t>“反内卷”、推动提高实收门槛，减缓低价扩张势头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另一方面，从集团层面明确传递出竞争策略调整，</w:t>
      </w:r>
      <w:r>
        <w:rPr>
          <w:rFonts w:hint="eastAsia" w:ascii="仿宋" w:hAnsi="仿宋" w:eastAsia="仿宋" w:cs="仿宋"/>
          <w:sz w:val="28"/>
          <w:szCs w:val="28"/>
        </w:rPr>
        <w:t>从“抢份额”转向“提价值”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并清晰阐述</w:t>
      </w:r>
      <w:r>
        <w:rPr>
          <w:rFonts w:hint="eastAsia" w:ascii="仿宋" w:hAnsi="仿宋" w:eastAsia="仿宋" w:cs="仿宋"/>
          <w:sz w:val="28"/>
          <w:szCs w:val="28"/>
        </w:rPr>
        <w:t>提值经营策略。</w:t>
      </w:r>
    </w:p>
    <w:p w14:paraId="55F25FF5">
      <w:pPr>
        <w:spacing w:line="360" w:lineRule="auto"/>
        <w:ind w:firstLine="562" w:firstLineChars="200"/>
        <w:jc w:val="left"/>
        <w:rPr>
          <w:rFonts w:hint="eastAsia" w:ascii="仿宋" w:hAnsi="仿宋" w:eastAsia="仿宋_GB2312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提高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在政企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市场竞争的战略优先级。</w:t>
      </w: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家庭宽带</w:t>
      </w:r>
      <w:r>
        <w:rPr>
          <w:rFonts w:hint="eastAsia" w:ascii="仿宋" w:hAnsi="仿宋" w:eastAsia="仿宋" w:cs="仿宋"/>
          <w:sz w:val="28"/>
          <w:szCs w:val="28"/>
        </w:rPr>
        <w:t>市场充分竞争的“红海”形势下，规模近亿条的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企业宽带</w:t>
      </w:r>
      <w:r>
        <w:rPr>
          <w:rFonts w:hint="eastAsia" w:ascii="仿宋" w:hAnsi="仿宋" w:eastAsia="仿宋" w:cs="仿宋"/>
          <w:sz w:val="28"/>
          <w:szCs w:val="28"/>
        </w:rPr>
        <w:t>市场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展</w:t>
      </w:r>
      <w:r>
        <w:rPr>
          <w:rFonts w:hint="eastAsia" w:ascii="仿宋" w:hAnsi="仿宋" w:eastAsia="仿宋" w:cs="仿宋"/>
          <w:sz w:val="28"/>
          <w:szCs w:val="28"/>
        </w:rPr>
        <w:t>现出价值高、规模大的“蓝海”属性。中移动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已</w:t>
      </w:r>
      <w:r>
        <w:rPr>
          <w:rFonts w:hint="eastAsia" w:ascii="仿宋" w:hAnsi="仿宋" w:eastAsia="仿宋" w:cs="仿宋"/>
          <w:sz w:val="28"/>
          <w:szCs w:val="28"/>
        </w:rPr>
        <w:t>明确将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企业宽带</w:t>
      </w:r>
      <w:r>
        <w:rPr>
          <w:rFonts w:hint="eastAsia" w:ascii="仿宋" w:hAnsi="仿宋" w:eastAsia="仿宋" w:cs="仿宋"/>
          <w:sz w:val="28"/>
          <w:szCs w:val="28"/>
        </w:rPr>
        <w:t>视为重要的新增“蓝海”战场。以南方移动大省为例，连续三年将企宽目标增幅设在10%以上，超前配置5倍的端口资源，灵活匹配产品和营销资源。</w:t>
      </w:r>
    </w:p>
    <w:p w14:paraId="6B13B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sz w:val="32"/>
          <w:szCs w:val="28"/>
          <w:highlight w:val="none"/>
        </w:rPr>
        <w:t>二、中移动策略优劣势分析</w:t>
      </w:r>
    </w:p>
    <w:p w14:paraId="54081F61">
      <w:pPr>
        <w:spacing w:line="360" w:lineRule="auto"/>
        <w:ind w:firstLine="560" w:firstLineChars="200"/>
        <w:jc w:val="left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除具备完全掌握价格竞争策略的主动权之外，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中移动的核心优势在于用户转化效率和生态控制力。其10亿移动用户成为宽带业务的天然流量池，通过“手机套餐+宽带免费”模式实现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52.3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%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的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融合套餐转化率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（2023年12月数据）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政企市场协同效应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强化了用户转化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，如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在商务楼宇宽带市场占有率高达68%，通过“云网融合”套餐（企业需用移动云服务才允许接入宽带）实现政企收入突破2000亿元。生态控制力持续增强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通过终端集采降低成本，并构建内容权益壁垒，提升用户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忠诚度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EE71703">
      <w:pPr>
        <w:spacing w:line="360" w:lineRule="auto"/>
        <w:ind w:firstLine="560" w:firstLineChars="200"/>
        <w:jc w:val="left"/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中移动虽然优势明显，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但在近年发展中也逐步暴露出以下问题：</w:t>
      </w:r>
      <w:r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一是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早期低价策略圈占大量价格敏感型用户，此类用户稳定性不足，存在较大流失风险；二是宽带新增用户边际成本呈上升态势，数据显示，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2024年中移动家宽净增和新增比率已由早期的1/3降至1/10以下，意味着后续通过激进策略实现规模扩展的成本翻倍上涨，边际收益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会大幅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下降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三是经调研发现，部分移动公司为了冲量，采取不合规手段发展大量虚假低质用户，导致用户质量不高且无实质收益；四是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属地响应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相对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滞后，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在高校、高端小区等战略资源的争夺中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优势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并不突出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。</w:t>
      </w:r>
    </w:p>
    <w:p w14:paraId="6B6D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60" w:lineRule="auto"/>
        <w:ind w:firstLine="560" w:firstLineChars="200"/>
        <w:jc w:val="left"/>
        <w:textAlignment w:val="auto"/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此外，三大运营商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目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前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均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面临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技术应用断层的挑战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，中移动也不例外。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500M-1000M宽带已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满足绝大多数家庭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需求，而VR/云游戏等“杀手级应用”尚未普及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导致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“有技术无场景”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困境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在缺乏刚性需求支撑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的情况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下，万兆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等新型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光网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产品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可能重蹈投入回报率低的覆辙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。如当前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万兆光网部署成本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较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高（单户FTTR设备超1000元），而江苏移动试点显示5000M套餐用户渗透率不足0.5%，规模效益难以释放。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其次，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工信部测评显示，三家宽带满意度差异已不足3%，单纯带宽提升难以触动用户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体验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升级。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再次，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生态构建层面，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运营商与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内容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提供商的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合作陷入“分成比例陷阱”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，如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爱优腾要求运营商分成比例≤40%，导致优质内容捆绑难以落地。</w:t>
      </w:r>
    </w:p>
    <w:p w14:paraId="1827C891">
      <w:pPr>
        <w:numPr>
          <w:ilvl w:val="0"/>
          <w:numId w:val="3"/>
        </w:numPr>
        <w:spacing w:line="360" w:lineRule="auto"/>
        <w:jc w:val="left"/>
        <w:rPr>
          <w:rFonts w:hint="eastAsia" w:ascii="黑体" w:hAnsi="黑体" w:eastAsia="黑体" w:cs="黑体"/>
          <w:b/>
          <w:bCs/>
          <w:sz w:val="32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sz w:val="32"/>
          <w:szCs w:val="28"/>
          <w:highlight w:val="none"/>
        </w:rPr>
        <w:t>中电信竞争应对策略建议</w:t>
      </w:r>
    </w:p>
    <w:p w14:paraId="30F1DE92">
      <w:pPr>
        <w:spacing w:line="360" w:lineRule="auto"/>
        <w:ind w:firstLine="560" w:firstLineChars="200"/>
        <w:jc w:val="left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综上所述，针对中移动在用户留存、属地灵活性、生态博弈以及行业共性瓶颈等方面的不足，可通过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“用户保有、场景提值、技术筑壁垒”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三大策略，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形成“防守 - 进攻 - 赋能”闭环，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从而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构建差异化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竞争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优势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bookmarkStart w:id="0" w:name="_GoBack"/>
      <w:bookmarkEnd w:id="0"/>
    </w:p>
    <w:p w14:paraId="12A9DB7A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（一）防守反击：</w:t>
      </w:r>
      <w:r>
        <w:rPr>
          <w:rFonts w:hint="default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精准稳固基本盘，强化“质量口碑”护城河</w:t>
      </w:r>
    </w:p>
    <w:p w14:paraId="1EC68AAE">
      <w:pPr>
        <w:spacing w:after="156" w:afterLines="50" w:line="360" w:lineRule="auto"/>
        <w:ind w:firstLine="560" w:firstLineChars="200"/>
        <w:jc w:val="left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一是强化到期用户预警，精准识别中移动折扣到期用户，推送专属优惠套餐；二是着力提升质量口碑，推出装维超时赔付、游戏时延赔付等新举措，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将服务质量转化为可感知承诺；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在智慧社区项目中优先部署OLT设备，提升居民区网络密度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优化高带宽需求用户体验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。三是政企市场协同反哺家庭宽带，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针对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中移动政企市场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的进攻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对中小微企业推出“专线送家宽”套餐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企业办理100M专线赠送家庭千兆宽带）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可根据企业规模和类型，推出阶梯式赠送方案，提升套餐吸引力。</w:t>
      </w:r>
    </w:p>
    <w:p w14:paraId="3E96A90F">
      <w:pPr>
        <w:spacing w:after="156" w:afterLines="50" w:line="360" w:lineRule="auto"/>
        <w:jc w:val="left"/>
        <w:rPr>
          <w:rFonts w:hint="default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（二）差异化进攻：场景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化深耕，实现“通用服务”到“专属价值”</w:t>
      </w:r>
    </w:p>
    <w:p w14:paraId="54616280">
      <w:pPr>
        <w:spacing w:after="156" w:afterLines="50" w:line="360" w:lineRule="auto"/>
        <w:ind w:firstLine="560" w:firstLineChars="200"/>
        <w:jc w:val="left"/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电信虽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一直在推进</w:t>
      </w:r>
      <w:r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场景化宽带，但教育/游戏专线未能解决用户实质痛点，功能溢价接受度低。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建议：一是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通过绑定内容生态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抢占Z世代市场，与B站/抖音等合作定向免流套餐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叠加 “会员权益包”（如购套餐送月度大会员），提升溢价能力；二是垂直场景深挖，如为电竞酒店提供“帧率保障专线”（时延≤5ms），为直播基地配备上行加速通道（上行带宽≥500M）；三是银发市场开拓，可借鉴联通依托北方社区营业厅改造适老化服务中心，推出“宽带+远程问诊”套餐，绑定卫健部门合作。</w:t>
      </w:r>
    </w:p>
    <w:p w14:paraId="443C2B46">
      <w:pPr>
        <w:spacing w:after="156" w:afterLines="50" w:line="360" w:lineRule="auto"/>
        <w:jc w:val="left"/>
        <w:rPr>
          <w:rFonts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（三）AI驱动增效：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修炼内功，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重构技术壁垒</w:t>
      </w:r>
    </w:p>
    <w:p w14:paraId="1CE7D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一是AI 重构用户体验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从“标准化服务”到“千人千面”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如通过部署智能带宽动态调度和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 xml:space="preserve"> AI 流量感知引擎，实时分析家庭内设备类型（如电竞电脑、4K 电视、智能冰箱）和应用场景（如直播、网课、IoT 联动），自动分配带宽资源。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同时，基于用户行为标签库（如日均在线时长、设备连接数、高频应用类型），利用AI算法智能推荐个性化套餐，生成定制化套餐方案</w:t>
      </w:r>
      <w:r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二是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AI 升级网络效能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实现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从“被动响应”到“主动进化”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的转变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如实现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预测性网络优化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通过 AI 分析历史数据（如天气、节假日、区域人口流动），提前预判网络拥塞风险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在现有 AI 故障预判系统基础上，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实现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故障自愈与根因定位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利用 AI 分析区域用户密度和业务需求，优化边缘计算节点的布局。</w:t>
      </w:r>
    </w:p>
    <w:p w14:paraId="4D58AF6E">
      <w:pPr>
        <w:spacing w:after="156" w:afterLines="50" w:line="360" w:lineRule="auto"/>
        <w:ind w:firstLine="560" w:firstLineChars="200"/>
        <w:jc w:val="left"/>
        <w:rPr>
          <w:rFonts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此外，还需要加强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前沿技术卡位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抢占未来赛道。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如6G通感一体试点，在海南/云南等旅游省份试点低空经济专网，同步服务旅游区无人机物流（带宽保障）与游客宽带。打造FTTR开放平台，联合设备厂商向开发者开放光猫API接口，吸引智能家居厂商开发适老/育儿定制插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584A47"/>
    <w:multiLevelType w:val="singleLevel"/>
    <w:tmpl w:val="EA584A4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3E2F4BF"/>
    <w:multiLevelType w:val="singleLevel"/>
    <w:tmpl w:val="43E2F4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BFDAFCA"/>
    <w:multiLevelType w:val="singleLevel"/>
    <w:tmpl w:val="5BFDAFC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B2D40"/>
    <w:rsid w:val="00263C8B"/>
    <w:rsid w:val="006D4723"/>
    <w:rsid w:val="007B03DF"/>
    <w:rsid w:val="008979B9"/>
    <w:rsid w:val="008C6B7A"/>
    <w:rsid w:val="00A15985"/>
    <w:rsid w:val="00AB3865"/>
    <w:rsid w:val="00BF283B"/>
    <w:rsid w:val="00C7536E"/>
    <w:rsid w:val="00E23E15"/>
    <w:rsid w:val="00FA34B2"/>
    <w:rsid w:val="0142001A"/>
    <w:rsid w:val="04255E58"/>
    <w:rsid w:val="06882B65"/>
    <w:rsid w:val="09F67174"/>
    <w:rsid w:val="114E2471"/>
    <w:rsid w:val="14D7514B"/>
    <w:rsid w:val="165B65E9"/>
    <w:rsid w:val="17885FB1"/>
    <w:rsid w:val="1A8E38DF"/>
    <w:rsid w:val="1B6A234B"/>
    <w:rsid w:val="206C0DC9"/>
    <w:rsid w:val="21C943EB"/>
    <w:rsid w:val="23A92C44"/>
    <w:rsid w:val="251470D6"/>
    <w:rsid w:val="28AD63E1"/>
    <w:rsid w:val="2A8E16D9"/>
    <w:rsid w:val="2BD17788"/>
    <w:rsid w:val="2D8C4C27"/>
    <w:rsid w:val="32CB2D40"/>
    <w:rsid w:val="36094DEC"/>
    <w:rsid w:val="36BE01D6"/>
    <w:rsid w:val="3BD553B9"/>
    <w:rsid w:val="3C666012"/>
    <w:rsid w:val="3D073351"/>
    <w:rsid w:val="400D4916"/>
    <w:rsid w:val="40347C30"/>
    <w:rsid w:val="41E063BC"/>
    <w:rsid w:val="426F4C2B"/>
    <w:rsid w:val="429559CF"/>
    <w:rsid w:val="46CB3641"/>
    <w:rsid w:val="4B30160F"/>
    <w:rsid w:val="4CA82062"/>
    <w:rsid w:val="4E3D26EE"/>
    <w:rsid w:val="51A54122"/>
    <w:rsid w:val="54232D0E"/>
    <w:rsid w:val="551E0533"/>
    <w:rsid w:val="5908151E"/>
    <w:rsid w:val="5DEB6071"/>
    <w:rsid w:val="600E4BCD"/>
    <w:rsid w:val="64942E6C"/>
    <w:rsid w:val="66B75538"/>
    <w:rsid w:val="677A0A3F"/>
    <w:rsid w:val="6858454E"/>
    <w:rsid w:val="69B62443"/>
    <w:rsid w:val="6FB25BCF"/>
    <w:rsid w:val="6FC4636E"/>
    <w:rsid w:val="706A31E5"/>
    <w:rsid w:val="72C05852"/>
    <w:rsid w:val="757321C6"/>
    <w:rsid w:val="75AB08F1"/>
    <w:rsid w:val="76426BCC"/>
    <w:rsid w:val="76D417EE"/>
    <w:rsid w:val="77BA6B31"/>
    <w:rsid w:val="7A772BBC"/>
    <w:rsid w:val="7ED7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7"/>
    <w:qFormat/>
    <w:uiPriority w:val="0"/>
    <w:pPr>
      <w:jc w:val="left"/>
    </w:p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annotation subject"/>
    <w:basedOn w:val="4"/>
    <w:next w:val="4"/>
    <w:link w:val="18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annotation reference"/>
    <w:basedOn w:val="11"/>
    <w:qFormat/>
    <w:uiPriority w:val="0"/>
    <w:rPr>
      <w:sz w:val="21"/>
      <w:szCs w:val="21"/>
    </w:rPr>
  </w:style>
  <w:style w:type="character" w:customStyle="1" w:styleId="14">
    <w:name w:val="页眉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6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7">
    <w:name w:val="批注文字 字符"/>
    <w:basedOn w:val="11"/>
    <w:link w:val="4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8">
    <w:name w:val="批注主题 字符"/>
    <w:basedOn w:val="17"/>
    <w:link w:val="8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2751</Words>
  <Characters>2931</Characters>
  <Lines>18</Lines>
  <Paragraphs>5</Paragraphs>
  <TotalTime>10</TotalTime>
  <ScaleCrop>false</ScaleCrop>
  <LinksUpToDate>false</LinksUpToDate>
  <CharactersWithSpaces>2953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2025-07-21T03:02:00Z</dcterms:created>
  <dc:creator>麦麦</dc:creator>
  <cp:lastModifiedBy>麦麦</cp:lastModifiedBy>
  <dcterms:modified xsi:type="dcterms:W3CDTF">2025-07-28T02:22:37Z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695BBCDE750C49148D364740F625A1D4_13</vt:lpwstr>
  </property>
  <property fmtid="{D5CDD505-2E9C-101B-9397-08002B2CF9AE}" pid="4" name="KSOTemplateDocerSaveRecord">
    <vt:lpwstr>eyJoZGlkIjoiNjJjODY2MmFjYTk3YmYzYzRjMzU5Yzg3NmExODU3NTQiLCJ1c2VySWQiOiI3NTg1OTI4NjcifQ==</vt:lpwstr>
  </property>
</Properties>
</file>