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E4CAD">
      <w:pPr>
        <w:pStyle w:val="16"/>
        <w:rPr>
          <w:rFonts w:hint="eastAsia" w:ascii="微软雅黑" w:hAnsi="微软雅黑" w:eastAsia="微软雅黑"/>
          <w:sz w:val="44"/>
          <w:szCs w:val="44"/>
        </w:rPr>
      </w:pPr>
      <w:bookmarkStart w:id="0" w:name="_GoBack"/>
      <w:r>
        <w:rPr>
          <w:rFonts w:hint="eastAsia" w:ascii="微软雅黑" w:hAnsi="微软雅黑" w:eastAsia="微软雅黑"/>
          <w:b/>
          <w:bCs/>
          <w:sz w:val="44"/>
          <w:szCs w:val="44"/>
        </w:rPr>
        <w:t>中美AI产品收入差距背后：三大根因分析与启示建议</w:t>
      </w:r>
    </w:p>
    <w:bookmarkEnd w:id="0"/>
    <w:p w14:paraId="7BDFD0B5">
      <w:pPr>
        <w:ind w:firstLine="480" w:firstLineChars="200"/>
        <w:rPr>
          <w:rFonts w:hint="eastAsia" w:ascii="微软雅黑" w:hAnsi="微软雅黑" w:eastAsia="微软雅黑"/>
          <w:sz w:val="24"/>
          <w:szCs w:val="28"/>
        </w:rPr>
      </w:pPr>
      <w:r>
        <w:rPr>
          <w:rFonts w:hint="eastAsia" w:ascii="微软雅黑" w:hAnsi="微软雅黑" w:eastAsia="微软雅黑"/>
          <w:sz w:val="24"/>
          <w:szCs w:val="28"/>
        </w:rPr>
        <w:t>全球AI应用市场持续高速增长，2025年上半年生成式AI应用全球下载量接近17亿，同比增长67%</w:t>
      </w:r>
      <w:r>
        <w:rPr>
          <w:rStyle w:val="22"/>
          <w:rFonts w:hint="eastAsia" w:ascii="微软雅黑" w:hAnsi="微软雅黑" w:eastAsia="微软雅黑"/>
          <w:sz w:val="24"/>
          <w:szCs w:val="28"/>
        </w:rPr>
        <w:footnoteReference w:id="0"/>
      </w:r>
      <w:r>
        <w:rPr>
          <w:rFonts w:hint="eastAsia" w:ascii="微软雅黑" w:hAnsi="微软雅黑" w:eastAsia="微软雅黑"/>
          <w:sz w:val="24"/>
          <w:szCs w:val="28"/>
        </w:rPr>
        <w:t>。美国凭借技术领先优势与成熟的用户付费生态，在收入层面占据主导地位，ChatGPT移动端累计收入达20亿美元，其7月收入占比接近全球Top 100 AI应用内购总收入的半壁江山。而中国应用虽凭借场景创新与</w:t>
      </w:r>
      <w:r>
        <w:rPr>
          <w:rFonts w:hint="eastAsia" w:ascii="微软雅黑" w:hAnsi="微软雅黑" w:eastAsia="微软雅黑"/>
          <w:sz w:val="24"/>
          <w:szCs w:val="28"/>
          <w:lang w:val="en-US" w:eastAsia="zh-CN"/>
        </w:rPr>
        <w:t>普惠</w:t>
      </w:r>
      <w:r>
        <w:rPr>
          <w:rFonts w:hint="eastAsia" w:ascii="微软雅黑" w:hAnsi="微软雅黑" w:eastAsia="微软雅黑"/>
          <w:sz w:val="24"/>
          <w:szCs w:val="28"/>
        </w:rPr>
        <w:t>策略快速获取用户</w:t>
      </w:r>
      <w:r>
        <w:rPr>
          <w:rFonts w:hint="eastAsia" w:ascii="微软雅黑" w:hAnsi="微软雅黑" w:eastAsia="微软雅黑"/>
          <w:sz w:val="24"/>
          <w:szCs w:val="28"/>
          <w:lang w:val="en-US" w:eastAsia="zh-CN"/>
        </w:rPr>
        <w:t>增长</w:t>
      </w:r>
      <w:r>
        <w:rPr>
          <w:rFonts w:hint="eastAsia" w:ascii="微软雅黑" w:hAnsi="微软雅黑" w:eastAsia="微软雅黑"/>
          <w:sz w:val="24"/>
          <w:szCs w:val="28"/>
        </w:rPr>
        <w:t>，但在</w:t>
      </w:r>
      <w:r>
        <w:rPr>
          <w:rFonts w:hint="eastAsia" w:ascii="微软雅黑" w:hAnsi="微软雅黑" w:eastAsia="微软雅黑"/>
          <w:sz w:val="24"/>
          <w:szCs w:val="28"/>
          <w:lang w:val="en-US" w:eastAsia="zh-CN"/>
        </w:rPr>
        <w:t>商业化水平</w:t>
      </w:r>
      <w:r>
        <w:rPr>
          <w:rFonts w:hint="eastAsia" w:ascii="微软雅黑" w:hAnsi="微软雅黑" w:eastAsia="微软雅黑"/>
          <w:sz w:val="24"/>
          <w:szCs w:val="28"/>
        </w:rPr>
        <w:t>上仍面临挑战。</w:t>
      </w:r>
    </w:p>
    <w:p w14:paraId="6016DC67">
      <w:pPr>
        <w:pStyle w:val="3"/>
        <w:numPr>
          <w:ilvl w:val="0"/>
          <w:numId w:val="1"/>
        </w:numPr>
        <w:rPr>
          <w:rFonts w:hint="eastAsia" w:ascii="微软雅黑" w:hAnsi="微软雅黑" w:eastAsia="微软雅黑"/>
          <w:b/>
          <w:bCs/>
          <w:color w:val="auto"/>
          <w:sz w:val="32"/>
          <w:szCs w:val="32"/>
        </w:rPr>
      </w:pPr>
      <w:r>
        <w:rPr>
          <w:rFonts w:hint="eastAsia" w:ascii="微软雅黑" w:hAnsi="微软雅黑" w:eastAsia="微软雅黑"/>
          <w:b/>
          <w:bCs/>
          <w:color w:val="auto"/>
          <w:sz w:val="32"/>
          <w:szCs w:val="32"/>
        </w:rPr>
        <w:t>中美AI产品收入版图：美国AI产品占据绝对优势地位</w:t>
      </w:r>
    </w:p>
    <w:p w14:paraId="03671981">
      <w:pPr>
        <w:ind w:firstLine="480" w:firstLineChars="200"/>
        <w:rPr>
          <w:rFonts w:hint="eastAsia" w:ascii="微软雅黑" w:hAnsi="微软雅黑" w:eastAsia="微软雅黑"/>
          <w:sz w:val="24"/>
          <w:szCs w:val="28"/>
        </w:rPr>
      </w:pPr>
      <w:r>
        <w:rPr>
          <w:rFonts w:hint="eastAsia" w:ascii="微软雅黑" w:hAnsi="微软雅黑" w:eastAsia="微软雅黑"/>
          <w:b/>
          <w:bCs/>
          <w:sz w:val="24"/>
          <w:szCs w:val="28"/>
        </w:rPr>
        <w:t>从收入排名来看，美国AI产品占据明显优势。</w:t>
      </w:r>
      <w:r>
        <w:rPr>
          <w:rFonts w:hint="eastAsia" w:ascii="微软雅黑" w:hAnsi="微软雅黑" w:eastAsia="微软雅黑"/>
          <w:sz w:val="24"/>
          <w:szCs w:val="28"/>
        </w:rPr>
        <w:t>在2025年7月全球AI App产品内购收入Top3中，美国占据2位，中国暂无；在Top 20中，美国产品占据8位，中国产品占据6位，且美国AI产品收入排名普遍靠前；在Top 30中，美国占据14位，中国占据8位，优势更为明显。</w:t>
      </w:r>
    </w:p>
    <w:p w14:paraId="30C91D42">
      <w:pPr>
        <w:ind w:firstLine="480" w:firstLineChars="200"/>
        <w:rPr>
          <w:rFonts w:hint="eastAsia" w:ascii="微软雅黑" w:hAnsi="微软雅黑" w:eastAsia="微软雅黑"/>
          <w:sz w:val="24"/>
          <w:szCs w:val="28"/>
        </w:rPr>
      </w:pPr>
      <w:r>
        <w:rPr>
          <w:rFonts w:hint="eastAsia" w:ascii="微软雅黑" w:hAnsi="微软雅黑" w:eastAsia="微软雅黑"/>
          <w:b/>
          <w:bCs/>
          <w:sz w:val="24"/>
          <w:szCs w:val="28"/>
        </w:rPr>
        <w:t>从收入结构来看，美国AI产品粘性与复购优势显著。</w:t>
      </w:r>
      <w:r>
        <w:rPr>
          <w:rFonts w:hint="eastAsia" w:ascii="微软雅黑" w:hAnsi="微软雅黑" w:eastAsia="微软雅黑"/>
          <w:sz w:val="24"/>
          <w:szCs w:val="28"/>
        </w:rPr>
        <w:t>全球AI APP产品内购收入呈“强头部、长尾弱”的典型订阅市场分布，2025年7月，Top 100 AI APP内购总收入约为4.71亿美元，其中ChatGPT收入约2.22亿美元，占比47.1%，收入体量碾压同行；Top 3收入合计约2.6亿美元，占比55.4%，超过一半，其中两个产品来自美国，一个来自英国；Top 10收入合计约3.3亿美金，占比约70.1%。</w:t>
      </w:r>
    </w:p>
    <w:p w14:paraId="6106E89F">
      <w:pPr>
        <w:ind w:firstLine="480" w:firstLineChars="200"/>
        <w:rPr>
          <w:rFonts w:hint="eastAsia" w:ascii="微软雅黑" w:hAnsi="微软雅黑" w:eastAsia="微软雅黑"/>
          <w:sz w:val="24"/>
          <w:szCs w:val="28"/>
        </w:rPr>
      </w:pPr>
      <w:r>
        <w:rPr>
          <w:rFonts w:hint="eastAsia" w:ascii="微软雅黑" w:hAnsi="微软雅黑" w:eastAsia="微软雅黑"/>
          <w:b/>
          <w:bCs/>
          <w:sz w:val="24"/>
          <w:szCs w:val="28"/>
        </w:rPr>
        <w:t>从收入增速来看，美国AI产品呈高速增长态势。</w:t>
      </w:r>
      <w:r>
        <w:rPr>
          <w:rFonts w:hint="eastAsia" w:ascii="微软雅黑" w:hAnsi="微软雅黑" w:eastAsia="微软雅黑"/>
          <w:sz w:val="24"/>
          <w:szCs w:val="28"/>
        </w:rPr>
        <w:t>Grok、Claude、Chai、Gemini等美国AI产品在2025年7月环比增速显著增长，如Grok环比增长142%，Gemini环比增长57%，展现出强大的增长动能。相比之下，中国产品如美图秀秀、夸克等产品环比增长普遍较为缓慢。</w:t>
      </w:r>
    </w:p>
    <w:p w14:paraId="05FA32D1">
      <w:pPr>
        <w:jc w:val="center"/>
        <w:rPr>
          <w:rFonts w:hint="eastAsia"/>
          <w:sz w:val="20"/>
          <w:szCs w:val="21"/>
        </w:rPr>
      </w:pPr>
      <w:r>
        <w:rPr>
          <w:rFonts w:hint="eastAsia" w:ascii="微软雅黑" w:hAnsi="微软雅黑" w:eastAsia="微软雅黑"/>
          <w:sz w:val="22"/>
          <w:szCs w:val="24"/>
        </w:rPr>
        <w:t>表1 全球AI APP内购收入（2025年7月）</w:t>
      </w:r>
    </w:p>
    <w:p w14:paraId="27E26078">
      <w:pPr>
        <w:jc w:val="center"/>
        <w:rPr>
          <w:rFonts w:hint="eastAsia"/>
        </w:rPr>
      </w:pPr>
      <w:r>
        <w:drawing>
          <wp:inline distT="0" distB="0" distL="0" distR="0">
            <wp:extent cx="3575050" cy="5052060"/>
            <wp:effectExtent l="0" t="0" r="6350" b="0"/>
            <wp:docPr id="1450693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9314" name="图片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9531" cy="505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16BE">
      <w:pPr>
        <w:jc w:val="right"/>
        <w:rPr>
          <w:rFonts w:hint="eastAsia" w:ascii="微软雅黑" w:hAnsi="微软雅黑" w:eastAsia="微软雅黑"/>
          <w:sz w:val="18"/>
          <w:szCs w:val="20"/>
        </w:rPr>
      </w:pPr>
      <w:r>
        <w:rPr>
          <w:rFonts w:hint="eastAsia" w:ascii="微软雅黑" w:hAnsi="微软雅黑" w:eastAsia="微软雅黑"/>
          <w:sz w:val="18"/>
          <w:szCs w:val="20"/>
        </w:rPr>
        <w:t>数据来源：非凡产研</w:t>
      </w:r>
    </w:p>
    <w:p w14:paraId="40A5CD83">
      <w:pPr>
        <w:pStyle w:val="3"/>
        <w:numPr>
          <w:ilvl w:val="0"/>
          <w:numId w:val="2"/>
        </w:numPr>
        <w:rPr>
          <w:rFonts w:hint="eastAsia" w:ascii="微软雅黑" w:hAnsi="微软雅黑" w:eastAsia="微软雅黑"/>
          <w:b/>
          <w:bCs/>
          <w:color w:val="auto"/>
          <w:sz w:val="32"/>
          <w:szCs w:val="32"/>
        </w:rPr>
      </w:pPr>
      <w:r>
        <w:rPr>
          <w:rFonts w:hint="eastAsia" w:ascii="微软雅黑" w:hAnsi="微软雅黑" w:eastAsia="微软雅黑"/>
          <w:b/>
          <w:bCs/>
          <w:color w:val="auto"/>
          <w:sz w:val="32"/>
          <w:szCs w:val="32"/>
        </w:rPr>
        <w:t>中美AI产品收入差距背后：付费文化、技术壁垒与价值定位的三重分化</w:t>
      </w:r>
    </w:p>
    <w:p w14:paraId="0A3EC938">
      <w:pPr>
        <w:pStyle w:val="4"/>
        <w:rPr>
          <w:rFonts w:hint="eastAsia" w:ascii="微软雅黑" w:hAnsi="微软雅黑" w:eastAsia="微软雅黑"/>
          <w:b/>
          <w:bCs/>
          <w:color w:val="auto"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color w:val="auto"/>
          <w:sz w:val="28"/>
          <w:szCs w:val="28"/>
        </w:rPr>
        <w:t>1、付费文化差异：市场成熟度决定变现基础</w:t>
      </w:r>
    </w:p>
    <w:p w14:paraId="308B5E56">
      <w:pPr>
        <w:ind w:firstLine="480" w:firstLineChars="200"/>
        <w:rPr>
          <w:rFonts w:hint="eastAsia" w:ascii="微软雅黑" w:hAnsi="微软雅黑" w:eastAsia="微软雅黑"/>
          <w:sz w:val="24"/>
          <w:szCs w:val="28"/>
        </w:rPr>
      </w:pPr>
      <w:r>
        <w:rPr>
          <w:rFonts w:hint="eastAsia" w:ascii="微软雅黑" w:hAnsi="微软雅黑" w:eastAsia="微软雅黑"/>
          <w:b/>
          <w:bCs/>
          <w:sz w:val="24"/>
          <w:szCs w:val="28"/>
        </w:rPr>
        <w:t>美国经过几十年发展建立了成熟的软件付费生态，从Microsoft Office到Netflix、Spotify，用户普遍接受"优质服务需要付费"理念，对月费订阅模式具有高度认知和接受度。</w:t>
      </w:r>
      <w:r>
        <w:rPr>
          <w:rFonts w:hint="eastAsia" w:ascii="微软雅黑" w:hAnsi="微软雅黑" w:eastAsia="微软雅黑"/>
          <w:sz w:val="24"/>
          <w:szCs w:val="28"/>
        </w:rPr>
        <w:t>美国用户评估AI产品时更关注其能否提升工作效率、解决实际问题，而非纠结价格高低。从ChatGPT移动端收入表现来看，2025年前7个月收入13.5亿美元，同比暴增673%，其中美国用户贡献了38%的全球收入，远超德国（贡献5.3%）等市场；美国用户平均每下载支出10美元，也远高于全球均值2.91美元</w:t>
      </w:r>
      <w:r>
        <w:rPr>
          <w:rStyle w:val="22"/>
          <w:rFonts w:hint="eastAsia" w:ascii="微软雅黑" w:hAnsi="微软雅黑" w:eastAsia="微软雅黑"/>
          <w:sz w:val="24"/>
          <w:szCs w:val="28"/>
        </w:rPr>
        <w:footnoteReference w:id="1"/>
      </w:r>
      <w:r>
        <w:rPr>
          <w:rFonts w:hint="eastAsia" w:ascii="微软雅黑" w:hAnsi="微软雅黑" w:eastAsia="微软雅黑"/>
          <w:sz w:val="24"/>
          <w:szCs w:val="28"/>
        </w:rPr>
        <w:t>。</w:t>
      </w:r>
      <w:r>
        <w:rPr>
          <w:rFonts w:hint="eastAsia" w:ascii="微软雅黑" w:hAnsi="微软雅黑" w:eastAsia="微软雅黑"/>
          <w:b/>
          <w:bCs/>
          <w:sz w:val="24"/>
          <w:szCs w:val="28"/>
        </w:rPr>
        <w:t>相比之下，中国互联网企业</w:t>
      </w:r>
      <w:r>
        <w:rPr>
          <w:rFonts w:hint="eastAsia" w:ascii="微软雅黑" w:hAnsi="微软雅黑" w:eastAsia="微软雅黑"/>
          <w:b/>
          <w:bCs/>
          <w:sz w:val="24"/>
          <w:szCs w:val="28"/>
          <w:lang w:val="en-US" w:eastAsia="zh-CN"/>
        </w:rPr>
        <w:t>持续</w:t>
      </w:r>
      <w:r>
        <w:rPr>
          <w:rFonts w:hint="eastAsia" w:ascii="微软雅黑" w:hAnsi="微软雅黑" w:eastAsia="微软雅黑"/>
          <w:b/>
          <w:bCs/>
          <w:sz w:val="24"/>
          <w:szCs w:val="28"/>
        </w:rPr>
        <w:t>面对增长压力，长期依赖"免费产品+广告变现"模式，培养了用户的免费消费习惯。</w:t>
      </w:r>
      <w:r>
        <w:rPr>
          <w:rFonts w:hint="eastAsia" w:ascii="微软雅黑" w:hAnsi="微软雅黑" w:eastAsia="微软雅黑"/>
          <w:sz w:val="24"/>
          <w:szCs w:val="28"/>
        </w:rPr>
        <w:t>即使AI产品展现出显著价值，用户仍倾向于寻找免费替代方案。根深蒂固的付费文化差异直接影响AI产品的变现转化率，更构成了中国AI企业商业化进程中的根本性障碍。</w:t>
      </w:r>
    </w:p>
    <w:p w14:paraId="31B0E9A3">
      <w:pPr>
        <w:pStyle w:val="4"/>
        <w:rPr>
          <w:rFonts w:hint="eastAsia" w:ascii="微软雅黑" w:hAnsi="微软雅黑" w:eastAsia="微软雅黑"/>
          <w:b/>
          <w:bCs/>
          <w:color w:val="auto"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color w:val="auto"/>
          <w:sz w:val="28"/>
          <w:szCs w:val="28"/>
        </w:rPr>
        <w:t>2、技术实力差距：基础能力决定价值上限</w:t>
      </w:r>
    </w:p>
    <w:p w14:paraId="55E06376">
      <w:pPr>
        <w:ind w:firstLine="480" w:firstLineChars="200"/>
        <w:rPr>
          <w:rFonts w:hint="eastAsia" w:ascii="微软雅黑" w:hAnsi="微软雅黑" w:eastAsia="微软雅黑"/>
          <w:sz w:val="24"/>
          <w:szCs w:val="28"/>
        </w:rPr>
      </w:pPr>
      <w:r>
        <w:rPr>
          <w:rFonts w:hint="eastAsia" w:ascii="微软雅黑" w:hAnsi="微软雅黑" w:eastAsia="微软雅黑"/>
          <w:b/>
          <w:bCs/>
          <w:sz w:val="24"/>
          <w:szCs w:val="28"/>
        </w:rPr>
        <w:t>美国AI产品在大模型训练、推理能力、多模态融合等核心技术上领先，表现为更高的准确性、更低的幻觉率和更强的泛化能力。</w:t>
      </w:r>
      <w:r>
        <w:rPr>
          <w:rFonts w:hint="eastAsia" w:ascii="微软雅黑" w:hAnsi="微软雅黑" w:eastAsia="微软雅黑"/>
          <w:sz w:val="24"/>
          <w:szCs w:val="28"/>
        </w:rPr>
        <w:t>技术优势直接转化为用户体验差异，能够处理更复杂任务、提供更准确回答，建立了难以复制的技术护城河。用户愿意为这种"不可替代"的智能体验付费，技术优势创造了真正的差异化价值和溢价空间。报告显示，</w:t>
      </w:r>
      <w:r>
        <w:rPr>
          <w:rFonts w:ascii="微软雅黑" w:hAnsi="微软雅黑" w:eastAsia="微软雅黑"/>
          <w:sz w:val="24"/>
          <w:szCs w:val="28"/>
        </w:rPr>
        <w:t>ChatGPT每下载用户贡献2.91</w:t>
      </w:r>
      <w:r>
        <w:rPr>
          <w:rFonts w:hint="eastAsia" w:ascii="微软雅黑" w:hAnsi="微软雅黑" w:eastAsia="微软雅黑"/>
          <w:sz w:val="24"/>
          <w:szCs w:val="28"/>
        </w:rPr>
        <w:t>美元的</w:t>
      </w:r>
      <w:r>
        <w:rPr>
          <w:rFonts w:ascii="微软雅黑" w:hAnsi="微软雅黑" w:eastAsia="微软雅黑"/>
          <w:sz w:val="24"/>
          <w:szCs w:val="28"/>
        </w:rPr>
        <w:t>收入，远高于Claude（$2.55）、Grok（$0.75）和Copilot（$0.27），其性能溢价被广泛接受</w:t>
      </w:r>
      <w:r>
        <w:rPr>
          <w:rStyle w:val="22"/>
          <w:rFonts w:hint="eastAsia" w:ascii="微软雅黑" w:hAnsi="微软雅黑" w:eastAsia="微软雅黑"/>
          <w:sz w:val="24"/>
          <w:szCs w:val="28"/>
        </w:rPr>
        <w:footnoteReference w:id="2"/>
      </w:r>
      <w:r>
        <w:rPr>
          <w:rFonts w:hint="eastAsia" w:ascii="微软雅黑" w:hAnsi="微软雅黑" w:eastAsia="微软雅黑"/>
          <w:b/>
          <w:bCs/>
          <w:sz w:val="24"/>
          <w:szCs w:val="28"/>
        </w:rPr>
        <w:t>。相比之下，中国AI产品虽然在某些细分场景中表现出色，但在通用能力和核心技术指标上仍存在明显差距，直接限制了其价值溢价空间。</w:t>
      </w:r>
      <w:r>
        <w:rPr>
          <w:rFonts w:hint="eastAsia" w:ascii="微软雅黑" w:hAnsi="微软雅黑" w:eastAsia="微软雅黑"/>
          <w:sz w:val="24"/>
          <w:szCs w:val="28"/>
        </w:rPr>
        <w:t>根据SuperCLUE 2025年7月评测，国际顶级模型如OpenAI o3、Google Gemini 2.5 Pro，在中文综合能力上仍领先国产最优模型约7.8%，尤其在复杂推理任务中，美国模型包揽前五名中的四席</w:t>
      </w:r>
      <w:r>
        <w:rPr>
          <w:rStyle w:val="22"/>
          <w:rFonts w:hint="eastAsia" w:ascii="微软雅黑" w:hAnsi="微软雅黑" w:eastAsia="微软雅黑"/>
          <w:sz w:val="24"/>
          <w:szCs w:val="28"/>
        </w:rPr>
        <w:footnoteReference w:id="3"/>
      </w:r>
      <w:r>
        <w:rPr>
          <w:rFonts w:hint="eastAsia" w:ascii="微软雅黑" w:hAnsi="微软雅黑" w:eastAsia="微软雅黑"/>
          <w:sz w:val="24"/>
          <w:szCs w:val="28"/>
        </w:rPr>
        <w:t>。</w:t>
      </w:r>
    </w:p>
    <w:p w14:paraId="638E728E">
      <w:pPr>
        <w:jc w:val="center"/>
        <w:rPr>
          <w:rFonts w:hint="eastAsia" w:ascii="微软雅黑" w:hAnsi="微软雅黑" w:eastAsia="微软雅黑"/>
          <w:sz w:val="24"/>
          <w:szCs w:val="28"/>
        </w:rPr>
      </w:pPr>
      <w:r>
        <w:rPr>
          <w:rFonts w:ascii="微软雅黑" w:hAnsi="微软雅黑" w:eastAsia="微软雅黑"/>
          <w:sz w:val="24"/>
          <w:szCs w:val="28"/>
        </w:rPr>
        <w:drawing>
          <wp:inline distT="0" distB="0" distL="0" distR="0">
            <wp:extent cx="5274310" cy="3624580"/>
            <wp:effectExtent l="0" t="0" r="2540" b="0"/>
            <wp:docPr id="327362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6264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5C55">
      <w:pPr>
        <w:jc w:val="right"/>
        <w:rPr>
          <w:rFonts w:hint="eastAsia" w:ascii="微软雅黑" w:hAnsi="微软雅黑" w:eastAsia="微软雅黑"/>
          <w:sz w:val="18"/>
          <w:szCs w:val="20"/>
        </w:rPr>
      </w:pPr>
      <w:r>
        <w:rPr>
          <w:rFonts w:hint="eastAsia" w:ascii="微软雅黑" w:hAnsi="微软雅黑" w:eastAsia="微软雅黑"/>
          <w:sz w:val="18"/>
          <w:szCs w:val="20"/>
        </w:rPr>
        <w:t>数据来源：SuperCLUE</w:t>
      </w:r>
    </w:p>
    <w:p w14:paraId="6ACD9D68">
      <w:pPr>
        <w:jc w:val="center"/>
        <w:rPr>
          <w:rFonts w:hint="eastAsia" w:ascii="微软雅黑" w:hAnsi="微软雅黑" w:eastAsia="微软雅黑"/>
          <w:sz w:val="22"/>
          <w:szCs w:val="24"/>
        </w:rPr>
      </w:pPr>
      <w:r>
        <w:rPr>
          <w:rFonts w:hint="eastAsia" w:ascii="微软雅黑" w:hAnsi="微软雅黑" w:eastAsia="微软雅黑"/>
          <w:sz w:val="22"/>
          <w:szCs w:val="24"/>
        </w:rPr>
        <w:t>图1 SuperCLUE全球大模型中文综合能力排行榜（2025年7月）</w:t>
      </w:r>
    </w:p>
    <w:p w14:paraId="45BF8DC9">
      <w:pPr>
        <w:pStyle w:val="4"/>
        <w:rPr>
          <w:rFonts w:hint="eastAsia" w:ascii="微软雅黑" w:hAnsi="微软雅黑" w:eastAsia="微软雅黑"/>
          <w:b/>
          <w:bCs/>
          <w:color w:val="auto"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color w:val="auto"/>
          <w:sz w:val="28"/>
          <w:szCs w:val="28"/>
        </w:rPr>
        <w:t>3、价值定位分化：商业策略决定盈利模式</w:t>
      </w:r>
    </w:p>
    <w:p w14:paraId="08C3722D">
      <w:pPr>
        <w:widowControl/>
        <w:ind w:firstLine="512" w:firstLineChars="200"/>
        <w:jc w:val="left"/>
        <w:rPr>
          <w:rFonts w:hint="eastAsia" w:ascii="Microsoft YaHei UI" w:hAnsi="Microsoft YaHei UI" w:eastAsia="Microsoft YaHei UI" w:cs="宋体"/>
          <w:spacing w:val="8"/>
          <w:kern w:val="0"/>
          <w:sz w:val="24"/>
          <w:szCs w:val="24"/>
          <w:shd w:val="clear" w:color="auto" w:fill="FFFFFF"/>
        </w:rPr>
      </w:pPr>
      <w:r>
        <w:rPr>
          <w:rFonts w:hint="eastAsia" w:ascii="Microsoft YaHei UI" w:hAnsi="Microsoft YaHei UI" w:eastAsia="Microsoft YaHei UI" w:cs="宋体"/>
          <w:b/>
          <w:bCs/>
          <w:spacing w:val="8"/>
          <w:kern w:val="0"/>
          <w:sz w:val="24"/>
          <w:szCs w:val="24"/>
          <w:shd w:val="clear" w:color="auto" w:fill="FFFFFF"/>
        </w:rPr>
        <w:t>美国AI产品采用"高价值、高定价"策略，定位专业智能助手，强调通过技术优势解决复杂问题，实现高客单价和利润率。</w:t>
      </w:r>
      <w:r>
        <w:rPr>
          <w:rFonts w:hint="eastAsia" w:ascii="微软雅黑" w:hAnsi="微软雅黑" w:eastAsia="微软雅黑"/>
          <w:sz w:val="24"/>
          <w:szCs w:val="28"/>
        </w:rPr>
        <w:t>凭借强大的性能优势，美国AI企业</w:t>
      </w:r>
      <w:r>
        <w:rPr>
          <w:rFonts w:ascii="微软雅黑" w:hAnsi="微软雅黑" w:eastAsia="微软雅黑"/>
          <w:sz w:val="24"/>
          <w:szCs w:val="28"/>
        </w:rPr>
        <w:t>将尖端能力转化为具有清晰市场定位和独特用户价值的差异化产品</w:t>
      </w:r>
      <w:r>
        <w:rPr>
          <w:rFonts w:hint="eastAsia" w:ascii="微软雅黑" w:hAnsi="微软雅黑" w:eastAsia="微软雅黑"/>
          <w:sz w:val="24"/>
          <w:szCs w:val="28"/>
        </w:rPr>
        <w:t>，从而形成付费壁垒。</w:t>
      </w:r>
      <w:r>
        <w:rPr>
          <w:rFonts w:hint="eastAsia" w:ascii="Microsoft YaHei UI" w:hAnsi="Microsoft YaHei UI" w:eastAsia="Microsoft YaHei UI" w:cs="宋体"/>
          <w:spacing w:val="8"/>
          <w:kern w:val="0"/>
          <w:sz w:val="24"/>
          <w:szCs w:val="24"/>
          <w:shd w:val="clear" w:color="auto" w:fill="FFFFFF"/>
        </w:rPr>
        <w:t>以</w:t>
      </w:r>
      <w:r>
        <w:rPr>
          <w:rFonts w:ascii="Microsoft YaHei UI" w:hAnsi="Microsoft YaHei UI" w:eastAsia="Microsoft YaHei UI" w:cs="宋体"/>
          <w:spacing w:val="8"/>
          <w:kern w:val="0"/>
          <w:sz w:val="24"/>
          <w:szCs w:val="24"/>
          <w:shd w:val="clear" w:color="auto" w:fill="FFFFFF"/>
        </w:rPr>
        <w:t>Claude为例，其差异化并非仅仅是“200K上下文”这个数字，而是围这一能</w:t>
      </w:r>
      <w:r>
        <w:rPr>
          <w:rFonts w:hint="eastAsia" w:ascii="Microsoft YaHei UI" w:hAnsi="Microsoft YaHei UI" w:eastAsia="Microsoft YaHei UI" w:cs="宋体"/>
          <w:spacing w:val="8"/>
          <w:kern w:val="0"/>
          <w:sz w:val="24"/>
          <w:szCs w:val="24"/>
          <w:shd w:val="clear" w:color="auto" w:fill="FFFFFF"/>
        </w:rPr>
        <w:t>力</w:t>
      </w:r>
      <w:r>
        <w:rPr>
          <w:rFonts w:ascii="Microsoft YaHei UI" w:hAnsi="Microsoft YaHei UI" w:eastAsia="Microsoft YaHei UI" w:cs="宋体"/>
          <w:spacing w:val="8"/>
          <w:kern w:val="0"/>
          <w:sz w:val="24"/>
          <w:szCs w:val="24"/>
          <w:shd w:val="clear" w:color="auto" w:fill="FFFFFF"/>
        </w:rPr>
        <w:t>构建的一整套“无损长文处理专家”的定位。当其他模型在长文本中仍会出现信息丢失或混淆时，Claude通过创新的“思维链”架构，确保在处理技术文档、法律合同或学术论文时，能像人类一样前后精准参照、保持逻辑一致性。这种能力直接切中了法律、咨询、科研等高端专业用户的刚需，他们愿意为这种无可替代的准确性和可靠性支付高额费用。</w:t>
      </w:r>
      <w:r>
        <w:rPr>
          <w:rFonts w:hint="eastAsia" w:ascii="Microsoft YaHei UI" w:hAnsi="Microsoft YaHei UI" w:eastAsia="Microsoft YaHei UI" w:cs="宋体"/>
          <w:b/>
          <w:bCs/>
          <w:spacing w:val="8"/>
          <w:kern w:val="0"/>
          <w:sz w:val="24"/>
          <w:szCs w:val="24"/>
          <w:shd w:val="clear" w:color="auto" w:fill="FFFFFF"/>
        </w:rPr>
        <w:t>中国产品</w:t>
      </w:r>
      <w:r>
        <w:rPr>
          <w:rFonts w:hint="eastAsia" w:ascii="Microsoft YaHei UI" w:hAnsi="Microsoft YaHei UI" w:eastAsia="Microsoft YaHei UI" w:cs="宋体"/>
          <w:b/>
          <w:bCs/>
          <w:spacing w:val="8"/>
          <w:kern w:val="0"/>
          <w:sz w:val="24"/>
          <w:szCs w:val="24"/>
          <w:shd w:val="clear" w:color="auto" w:fill="FFFFFF"/>
          <w:lang w:val="en-US" w:eastAsia="zh-CN"/>
        </w:rPr>
        <w:t>通常</w:t>
      </w:r>
      <w:r>
        <w:rPr>
          <w:rFonts w:hint="eastAsia" w:ascii="Microsoft YaHei UI" w:hAnsi="Microsoft YaHei UI" w:eastAsia="Microsoft YaHei UI" w:cs="宋体"/>
          <w:b/>
          <w:bCs/>
          <w:spacing w:val="8"/>
          <w:kern w:val="0"/>
          <w:sz w:val="24"/>
          <w:szCs w:val="24"/>
          <w:shd w:val="clear" w:color="auto" w:fill="FFFFFF"/>
        </w:rPr>
        <w:t>采用"低门槛、规模化"策略，定位便民工具，优先用户获取和市场渗透，通过免费服务积累用户再寻求变现</w:t>
      </w:r>
      <w:r>
        <w:rPr>
          <w:rFonts w:hint="eastAsia" w:ascii="Microsoft YaHei UI" w:hAnsi="Microsoft YaHei UI" w:eastAsia="Microsoft YaHei UI" w:cs="宋体"/>
          <w:b/>
          <w:bCs/>
          <w:color w:val="auto"/>
          <w:spacing w:val="8"/>
          <w:kern w:val="0"/>
          <w:sz w:val="24"/>
          <w:szCs w:val="24"/>
          <w:shd w:val="clear" w:color="auto" w:fill="FFFFFF"/>
        </w:rPr>
        <w:t>。</w:t>
      </w:r>
      <w:r>
        <w:rPr>
          <w:rFonts w:hint="eastAsia" w:ascii="Microsoft YaHei UI" w:hAnsi="Microsoft YaHei UI" w:eastAsia="Microsoft YaHei UI" w:cs="宋体"/>
          <w:color w:val="auto"/>
          <w:spacing w:val="8"/>
          <w:kern w:val="0"/>
          <w:sz w:val="24"/>
          <w:szCs w:val="24"/>
          <w:shd w:val="clear" w:color="auto" w:fill="FFFFFF"/>
        </w:rPr>
        <w:t>如</w:t>
      </w:r>
      <w:r>
        <w:rPr>
          <w:rFonts w:ascii="Microsoft YaHei UI" w:hAnsi="Microsoft YaHei UI" w:eastAsia="Microsoft YaHei UI" w:cs="宋体"/>
          <w:color w:val="auto"/>
          <w:spacing w:val="8"/>
          <w:kern w:val="0"/>
          <w:sz w:val="24"/>
          <w:szCs w:val="24"/>
          <w:shd w:val="clear" w:color="auto" w:fill="FFFFFF"/>
        </w:rPr>
        <w:t>百度将DeepSeek能力深度集成至搜索、教育等应用，以免费策略降低使用门槛，快速覆盖亿级用户，为探索广告、增值服务等变现模式奠定庞大基数。</w:t>
      </w:r>
      <w:r>
        <w:rPr>
          <w:rFonts w:hint="eastAsia" w:ascii="Microsoft YaHei UI" w:hAnsi="Microsoft YaHei UI" w:eastAsia="Microsoft YaHei UI" w:cs="宋体"/>
          <w:color w:val="auto"/>
          <w:spacing w:val="8"/>
          <w:kern w:val="0"/>
          <w:sz w:val="24"/>
          <w:szCs w:val="24"/>
          <w:shd w:val="clear" w:color="auto" w:fill="FFFFFF"/>
        </w:rPr>
        <w:t>两种策略形成不同发展路径：美国通过技术壁垒维持价值护城河，中国通过性价比竞争，商业逻辑存在本质差异。</w:t>
      </w:r>
    </w:p>
    <w:p w14:paraId="4D9655C5">
      <w:pPr>
        <w:pStyle w:val="3"/>
        <w:numPr>
          <w:ilvl w:val="0"/>
          <w:numId w:val="2"/>
        </w:numPr>
        <w:rPr>
          <w:rFonts w:hint="eastAsia" w:ascii="微软雅黑" w:hAnsi="微软雅黑" w:eastAsia="微软雅黑"/>
          <w:b/>
          <w:bCs/>
          <w:color w:val="auto"/>
          <w:sz w:val="32"/>
          <w:szCs w:val="32"/>
        </w:rPr>
      </w:pPr>
      <w:r>
        <w:rPr>
          <w:rFonts w:hint="eastAsia" w:ascii="微软雅黑" w:hAnsi="微软雅黑" w:eastAsia="微软雅黑"/>
          <w:b/>
          <w:bCs/>
          <w:color w:val="auto"/>
          <w:sz w:val="32"/>
          <w:szCs w:val="32"/>
        </w:rPr>
        <w:t>启示与建议</w:t>
      </w:r>
    </w:p>
    <w:p w14:paraId="0896E210">
      <w:pPr>
        <w:ind w:firstLine="512" w:firstLineChars="200"/>
        <w:rPr>
          <w:rFonts w:hint="eastAsia" w:ascii="Microsoft YaHei UI" w:hAnsi="Microsoft YaHei UI" w:eastAsia="Microsoft YaHei UI" w:cs="宋体"/>
          <w:spacing w:val="8"/>
          <w:kern w:val="0"/>
          <w:sz w:val="24"/>
          <w:szCs w:val="24"/>
          <w:shd w:val="clear" w:color="auto" w:fill="FFFFFF"/>
        </w:rPr>
      </w:pPr>
      <w:r>
        <w:rPr>
          <w:rFonts w:hint="eastAsia" w:ascii="Microsoft YaHei UI" w:hAnsi="Microsoft YaHei UI" w:eastAsia="Microsoft YaHei UI" w:cs="宋体"/>
          <w:spacing w:val="8"/>
          <w:kern w:val="0"/>
          <w:sz w:val="24"/>
          <w:szCs w:val="24"/>
          <w:shd w:val="clear" w:color="auto" w:fill="FFFFFF"/>
        </w:rPr>
        <w:t>在全球AI应用市场蓬勃发展的当下，中国AI企业面临着机遇与挑战并存的局面。美国凭借技术壁垒、付费文化和清晰的价值定位，在AI产品收入上占据主导地位，而中国虽在场景创新和用户增长上有优势，但在用户习惯培养、技术实力与商业策略上仍有提升空间。中国AI企业应借鉴美国企业AI产品的成功经验，重点突破通用推理能力、长文本处理、多模态融合等核心技术，建立产品不可替代性；摒弃"规模制胜"思维，转向"价值驱动"模式，通过产品创新和用户教育培养付费习惯；构建以技术领先为核心、价值变现为导向的商业体系，实现从"流量变现"到"价值变现"的跃升，在全球AI产品竞争中获得更强话语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8">
    <w:p>
      <w:r>
        <w:separator/>
      </w:r>
    </w:p>
  </w:footnote>
  <w:footnote w:type="continuationSeparator" w:id="9">
    <w:p>
      <w:r>
        <w:continuationSeparator/>
      </w:r>
    </w:p>
  </w:footnote>
  <w:footnote w:id="0">
    <w:p w14:paraId="7F2A10C1">
      <w:pPr>
        <w:pStyle w:val="15"/>
        <w:rPr>
          <w:rFonts w:hint="eastAsia"/>
        </w:rPr>
      </w:pPr>
      <w:r>
        <w:rPr>
          <w:rFonts w:hint="eastAsia" w:ascii="微软雅黑" w:hAnsi="微软雅黑" w:eastAsia="微软雅黑"/>
        </w:rPr>
        <w:footnoteRef/>
      </w:r>
      <w:r>
        <w:rPr>
          <w:rFonts w:hint="eastAsia" w:ascii="微软雅黑" w:hAnsi="微软雅黑" w:eastAsia="微软雅黑"/>
        </w:rPr>
        <w:t xml:space="preserve"> https://www.niaogebiji.com/article-704163-1.html</w:t>
      </w:r>
    </w:p>
  </w:footnote>
  <w:footnote w:id="1">
    <w:p w14:paraId="22DAD98E">
      <w:pPr>
        <w:pStyle w:val="15"/>
        <w:rPr>
          <w:rFonts w:hint="eastAsia"/>
        </w:rPr>
      </w:pPr>
      <w:r>
        <w:rPr>
          <w:rFonts w:hint="eastAsia" w:ascii="微软雅黑" w:hAnsi="微软雅黑" w:eastAsia="微软雅黑"/>
        </w:rPr>
        <w:footnoteRef/>
      </w:r>
      <w:r>
        <w:rPr>
          <w:rFonts w:hint="eastAsia" w:ascii="微软雅黑" w:hAnsi="微软雅黑" w:eastAsia="微软雅黑"/>
        </w:rPr>
        <w:t xml:space="preserve"> https://www.prokerala.com/news/articles/a1664439.html</w:t>
      </w:r>
    </w:p>
  </w:footnote>
  <w:footnote w:id="2">
    <w:p w14:paraId="6D202214">
      <w:pPr>
        <w:pStyle w:val="15"/>
        <w:rPr>
          <w:rFonts w:hint="eastAsia"/>
        </w:rPr>
      </w:pPr>
      <w:r>
        <w:rPr>
          <w:rFonts w:hint="eastAsia" w:ascii="微软雅黑" w:hAnsi="微软雅黑" w:eastAsia="微软雅黑"/>
        </w:rPr>
        <w:footnoteRef/>
      </w:r>
      <w:r>
        <w:rPr>
          <w:rFonts w:hint="eastAsia" w:ascii="微软雅黑" w:hAnsi="微软雅黑" w:eastAsia="微软雅黑"/>
        </w:rPr>
        <w:t xml:space="preserve"> https://www.prokerala.com/news/articles/a1664439.html</w:t>
      </w:r>
    </w:p>
  </w:footnote>
  <w:footnote w:id="3">
    <w:p w14:paraId="238A70B8">
      <w:pPr>
        <w:pStyle w:val="15"/>
        <w:rPr>
          <w:rFonts w:hint="eastAsia"/>
        </w:rPr>
      </w:pPr>
      <w:r>
        <w:rPr>
          <w:rFonts w:hint="eastAsia" w:ascii="微软雅黑" w:hAnsi="微软雅黑" w:eastAsia="微软雅黑"/>
        </w:rPr>
        <w:footnoteRef/>
      </w:r>
      <w:r>
        <w:rPr>
          <w:rFonts w:hint="eastAsia" w:ascii="微软雅黑" w:hAnsi="微软雅黑" w:eastAsia="微软雅黑"/>
        </w:rPr>
        <w:t xml:space="preserve"> https://read.limboy.me/feed%2Fhttps%3A%2F%2Fchinai.substack.com%2Ffeed%2F/lRmhe7b6HA0nU6BJtFiwBRWDIm7CfUi8L7TJ%2FTEBQV8%3D_198bcdd7e84%3A29ce255%3A193c92be?from=index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FF3296"/>
    <w:multiLevelType w:val="multilevel"/>
    <w:tmpl w:val="47FF3296"/>
    <w:lvl w:ilvl="0" w:tentative="0">
      <w:start w:val="1"/>
      <w:numFmt w:val="japaneseCounting"/>
      <w:lvlText w:val="%1、"/>
      <w:lvlJc w:val="left"/>
      <w:pPr>
        <w:ind w:left="648" w:hanging="648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A507F1C"/>
    <w:multiLevelType w:val="multilevel"/>
    <w:tmpl w:val="5A507F1C"/>
    <w:lvl w:ilvl="0" w:tentative="0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8"/>
    <w:footnote w:id="9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054"/>
    <w:rsid w:val="000220FB"/>
    <w:rsid w:val="0002754D"/>
    <w:rsid w:val="000358CB"/>
    <w:rsid w:val="0008396D"/>
    <w:rsid w:val="000A27E1"/>
    <w:rsid w:val="000E7237"/>
    <w:rsid w:val="0010699D"/>
    <w:rsid w:val="0013714A"/>
    <w:rsid w:val="00187BB9"/>
    <w:rsid w:val="001B2033"/>
    <w:rsid w:val="001B5694"/>
    <w:rsid w:val="002A3BD2"/>
    <w:rsid w:val="002C024C"/>
    <w:rsid w:val="002D0D8B"/>
    <w:rsid w:val="0030483F"/>
    <w:rsid w:val="00347376"/>
    <w:rsid w:val="003518DC"/>
    <w:rsid w:val="0035331B"/>
    <w:rsid w:val="003A654A"/>
    <w:rsid w:val="003D44E8"/>
    <w:rsid w:val="003D6DBF"/>
    <w:rsid w:val="00404978"/>
    <w:rsid w:val="00404A6C"/>
    <w:rsid w:val="004A3904"/>
    <w:rsid w:val="004B4E0A"/>
    <w:rsid w:val="004C42AA"/>
    <w:rsid w:val="004D76D4"/>
    <w:rsid w:val="004E5C55"/>
    <w:rsid w:val="004F7FE1"/>
    <w:rsid w:val="00510A87"/>
    <w:rsid w:val="00516A4C"/>
    <w:rsid w:val="00537645"/>
    <w:rsid w:val="00545240"/>
    <w:rsid w:val="00567616"/>
    <w:rsid w:val="00571E29"/>
    <w:rsid w:val="00582B52"/>
    <w:rsid w:val="0061116A"/>
    <w:rsid w:val="00645D04"/>
    <w:rsid w:val="006710C2"/>
    <w:rsid w:val="006D3A0A"/>
    <w:rsid w:val="00700780"/>
    <w:rsid w:val="0070298D"/>
    <w:rsid w:val="0070752B"/>
    <w:rsid w:val="00711299"/>
    <w:rsid w:val="00722C9B"/>
    <w:rsid w:val="00754D57"/>
    <w:rsid w:val="00776674"/>
    <w:rsid w:val="00780097"/>
    <w:rsid w:val="007B1F1A"/>
    <w:rsid w:val="00811593"/>
    <w:rsid w:val="00817E7B"/>
    <w:rsid w:val="008575FC"/>
    <w:rsid w:val="008A05D8"/>
    <w:rsid w:val="008B73F3"/>
    <w:rsid w:val="008C01C4"/>
    <w:rsid w:val="00910320"/>
    <w:rsid w:val="00982A1B"/>
    <w:rsid w:val="009D7CF7"/>
    <w:rsid w:val="00A52FD5"/>
    <w:rsid w:val="00AA313E"/>
    <w:rsid w:val="00AD3394"/>
    <w:rsid w:val="00AE2B84"/>
    <w:rsid w:val="00B073C1"/>
    <w:rsid w:val="00B35411"/>
    <w:rsid w:val="00B440F7"/>
    <w:rsid w:val="00B97054"/>
    <w:rsid w:val="00BC1D05"/>
    <w:rsid w:val="00C50673"/>
    <w:rsid w:val="00CC5871"/>
    <w:rsid w:val="00CD2C16"/>
    <w:rsid w:val="00CF3A7F"/>
    <w:rsid w:val="00D03BAA"/>
    <w:rsid w:val="00D07BAB"/>
    <w:rsid w:val="00DA49E9"/>
    <w:rsid w:val="00DB260F"/>
    <w:rsid w:val="00DB321E"/>
    <w:rsid w:val="00DB3576"/>
    <w:rsid w:val="00DC3C55"/>
    <w:rsid w:val="00DE0826"/>
    <w:rsid w:val="00E046ED"/>
    <w:rsid w:val="00E12440"/>
    <w:rsid w:val="00E67053"/>
    <w:rsid w:val="00E71CB6"/>
    <w:rsid w:val="00E72875"/>
    <w:rsid w:val="00ED0BD6"/>
    <w:rsid w:val="00EE67FA"/>
    <w:rsid w:val="00F02B09"/>
    <w:rsid w:val="00F2137E"/>
    <w:rsid w:val="00F61404"/>
    <w:rsid w:val="00F72309"/>
    <w:rsid w:val="00FB3614"/>
    <w:rsid w:val="00FC3DD7"/>
    <w:rsid w:val="00FF4DF5"/>
    <w:rsid w:val="340221C5"/>
    <w:rsid w:val="7454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3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footnote text"/>
    <w:basedOn w:val="1"/>
    <w:link w:val="44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6">
    <w:name w:val="Title"/>
    <w:basedOn w:val="1"/>
    <w:next w:val="1"/>
    <w:link w:val="3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FollowedHyperlink"/>
    <w:basedOn w:val="18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20">
    <w:name w:val="Hyperlink"/>
    <w:basedOn w:val="18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styleId="22">
    <w:name w:val="footnote reference"/>
    <w:basedOn w:val="18"/>
    <w:semiHidden/>
    <w:unhideWhenUsed/>
    <w:qFormat/>
    <w:uiPriority w:val="99"/>
    <w:rPr>
      <w:vertAlign w:val="superscript"/>
    </w:rPr>
  </w:style>
  <w:style w:type="character" w:customStyle="1" w:styleId="23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4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3 字符"/>
    <w:basedOn w:val="18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7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8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9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18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明显引用 字符"/>
    <w:basedOn w:val="18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未处理的提及1"/>
    <w:basedOn w:val="1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2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3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4">
    <w:name w:val="脚注文本 字符"/>
    <w:basedOn w:val="18"/>
    <w:link w:val="15"/>
    <w:semiHidden/>
    <w:qFormat/>
    <w:uiPriority w:val="99"/>
    <w:rPr>
      <w:sz w:val="18"/>
      <w:szCs w:val="18"/>
    </w:rPr>
  </w:style>
  <w:style w:type="paragraph" w:customStyle="1" w:styleId="45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FD41E-E662-47CB-8C49-BD2861EC4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2143</Words>
  <Characters>2443</Characters>
  <Lines>46</Lines>
  <Paragraphs>23</Paragraphs>
  <TotalTime>49</TotalTime>
  <ScaleCrop>false</ScaleCrop>
  <LinksUpToDate>false</LinksUpToDate>
  <CharactersWithSpaces>2463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2025-08-14T01:40:00Z</dcterms:created>
  <dc:creator>xueyuan Hu</dc:creator>
  <cp:lastModifiedBy>1</cp:lastModifiedBy>
  <dcterms:modified xsi:type="dcterms:W3CDTF">2025-08-21T06:04:47Z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eyJoZGlkIjoiZmViNDc3NmU2ODQyNjE0MGMyYTYwODFmZWJiODFmNWMiLCJ1c2VySWQiOiIyNzA2ODE5MjkifQ==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C996E75A6B8D446F8E4E1A0CCE750819_13</vt:lpwstr>
  </property>
</Properties>
</file>