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0C2DD">
      <w:pPr>
        <w:pStyle w:val="2"/>
        <w:bidi w:val="0"/>
        <w:jc w:val="center"/>
        <w:rPr>
          <w:rFonts w:hint="eastAsia"/>
          <w:lang w:val="en-US" w:eastAsia="zh-CN"/>
        </w:rPr>
      </w:pPr>
      <w:r>
        <w:rPr>
          <w:rFonts w:hint="eastAsia"/>
          <w:lang w:val="en-US" w:eastAsia="zh-CN"/>
        </w:rPr>
        <w:t>中美ICT企业研发投入分析</w:t>
      </w:r>
    </w:p>
    <w:p w14:paraId="177550FF">
      <w:pPr>
        <w:pStyle w:val="4"/>
        <w:bidi w:val="0"/>
        <w:ind w:firstLine="420" w:firstLineChars="0"/>
        <w:rPr>
          <w:rFonts w:hint="default"/>
          <w:lang w:val="en-US" w:eastAsia="zh-CN"/>
        </w:rPr>
      </w:pPr>
      <w:r>
        <w:rPr>
          <w:rFonts w:hint="eastAsia"/>
          <w:lang w:val="en-US" w:eastAsia="zh-CN"/>
        </w:rPr>
        <w:t>ICT软件与硬件是当今世界竞争激烈的两大重要科技领域，美国四家科技巨头和中国的BAT、华为、中兴等都属于这两个领域。科技创新是推动ICT领域持续发展的核心动力引擎，企业研发投入强度数据能在一定程度上反映其在该领域的发展动力及潜力。本文基于欧盟发布的《欧盟产业研发支出记分牌》数据，分析了2013-2023年研发投入前2000名上榜企业，可以发现，在这两个领域美国领先地位稳固，并通过不断持续加大研发投入来巩固领先地位，而中国正在快速追赶中，但研发投入强度仍距美国有一定差距，需要企业不断加大研发投入，以高研发投入换取领先地位。</w:t>
      </w:r>
    </w:p>
    <w:p w14:paraId="2FFDF739">
      <w:pPr>
        <w:widowControl/>
        <w:jc w:val="left"/>
        <w:rPr>
          <w:rFonts w:hint="default" w:ascii="微软雅黑" w:hAnsi="微软雅黑" w:eastAsia="微软雅黑" w:cs="微软雅黑"/>
          <w:b/>
          <w:bCs/>
          <w:sz w:val="24"/>
          <w:szCs w:val="28"/>
          <w:lang w:val="en-US" w:eastAsia="zh-CN"/>
        </w:rPr>
      </w:pPr>
      <w:r>
        <w:rPr>
          <w:rFonts w:hint="eastAsia" w:ascii="微软雅黑" w:hAnsi="微软雅黑" w:eastAsia="微软雅黑" w:cs="微软雅黑"/>
          <w:b/>
          <w:bCs/>
          <w:sz w:val="24"/>
          <w:szCs w:val="28"/>
          <w:lang w:val="en-US" w:eastAsia="zh-CN"/>
        </w:rPr>
        <w:t>一、中美ICT软件与硬件领域研发投入分析：美国领先地位稳固，中国加速追赶中</w:t>
      </w:r>
    </w:p>
    <w:p w14:paraId="5C4294EA">
      <w:pPr>
        <w:pStyle w:val="4"/>
        <w:keepNext w:val="0"/>
        <w:keepLines w:val="0"/>
        <w:widowControl/>
        <w:suppressLineNumbers w:val="0"/>
        <w:ind w:firstLine="420" w:firstLineChars="0"/>
        <w:rPr>
          <w:rStyle w:val="7"/>
          <w:rFonts w:hint="default"/>
          <w:lang w:val="en-US" w:eastAsia="zh-CN"/>
        </w:rPr>
      </w:pPr>
      <w:r>
        <w:rPr>
          <w:rFonts w:hint="eastAsia"/>
          <w:b/>
          <w:bCs/>
          <w:lang w:val="en-US" w:eastAsia="zh-CN"/>
        </w:rPr>
        <w:t>在ICT软件领域（</w:t>
      </w:r>
      <w:r>
        <w:rPr>
          <w:rStyle w:val="7"/>
          <w:rFonts w:hint="eastAsia"/>
          <w:b/>
          <w:bCs/>
          <w:lang w:val="en-US" w:eastAsia="zh-CN"/>
        </w:rPr>
        <w:t>《欧盟产业研发支出记分牌》中</w:t>
      </w:r>
      <w:r>
        <w:rPr>
          <w:rStyle w:val="7"/>
          <w:b/>
          <w:bCs/>
        </w:rPr>
        <w:t>软件与计算机服务</w:t>
      </w:r>
      <w:r>
        <w:rPr>
          <w:rFonts w:hint="eastAsia"/>
          <w:b/>
          <w:bCs/>
          <w:lang w:val="en-US" w:eastAsia="zh-CN"/>
        </w:rPr>
        <w:t>），</w:t>
      </w:r>
      <w:r>
        <w:rPr>
          <w:rStyle w:val="7"/>
          <w:rFonts w:hint="eastAsia"/>
          <w:lang w:val="en-US" w:eastAsia="zh-CN"/>
        </w:rPr>
        <w:t>美国领先地位稳固，并通过不断持续加大研发投入巩固领先地位，而中国正在快速追赶中，但研发投入强度仍有一定差距，尤其是头部企业差距明显。</w:t>
      </w:r>
    </w:p>
    <w:p w14:paraId="657BD14B">
      <w:pPr>
        <w:pStyle w:val="4"/>
        <w:keepNext w:val="0"/>
        <w:keepLines w:val="0"/>
        <w:widowControl/>
        <w:suppressLineNumbers w:val="0"/>
        <w:ind w:firstLine="420" w:firstLineChars="0"/>
        <w:rPr>
          <w:rStyle w:val="7"/>
          <w:rFonts w:hint="eastAsia"/>
          <w:b w:val="0"/>
          <w:bCs/>
          <w:lang w:val="en-US" w:eastAsia="zh-CN"/>
        </w:rPr>
      </w:pPr>
      <w:r>
        <w:rPr>
          <w:rStyle w:val="7"/>
          <w:rFonts w:hint="eastAsia"/>
          <w:b w:val="0"/>
          <w:bCs/>
          <w:lang w:val="en-US" w:eastAsia="zh-CN"/>
        </w:rPr>
        <w:t>从上榜企业数量看，美国稳定保持一半以上占比，中国从最初10%翻倍至2023年占比21.5%，约为美国企业数量的40%，稳步快速增长。从研发投入金额看，美国十年间较为稳定，研发投入约占全球75%，收入约在全球60%左右，以高于行业平均的研发投入巩固领先地位。中国2023年研发投入占全球12.8%，较2013年翻3倍，但仍占比较小，且近年来增速放缓，仍需持续加大研发投入。</w:t>
      </w:r>
    </w:p>
    <w:p w14:paraId="6DFF41BF">
      <w:pPr>
        <w:pStyle w:val="4"/>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pPr>
      <w:r>
        <w:drawing>
          <wp:inline distT="0" distB="0" distL="114300" distR="114300">
            <wp:extent cx="4998720" cy="1725295"/>
            <wp:effectExtent l="0" t="0" r="0" b="42545"/>
            <wp:docPr id="4" name="图表 3"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31F75613">
      <w:pPr>
        <w:pStyle w:val="4"/>
        <w:keepNext w:val="0"/>
        <w:keepLines w:val="0"/>
        <w:widowControl/>
        <w:suppressLineNumbers w:val="0"/>
        <w:ind w:firstLine="420" w:firstLineChars="0"/>
        <w:jc w:val="center"/>
        <w:rPr>
          <w:rStyle w:val="7"/>
          <w:rFonts w:hint="eastAsia" w:eastAsia="宋体" w:cs="Times New Roman" w:asciiTheme="majorAscii" w:hAnsiTheme="majorAscii"/>
          <w:b w:val="0"/>
          <w:bCs/>
          <w:sz w:val="21"/>
          <w:szCs w:val="20"/>
          <w:lang w:val="en-US" w:eastAsia="zh-CN"/>
        </w:rPr>
      </w:pPr>
      <w:r>
        <w:rPr>
          <w:rStyle w:val="7"/>
          <w:rFonts w:hint="eastAsia" w:eastAsia="宋体" w:cs="Times New Roman" w:asciiTheme="majorAscii" w:hAnsiTheme="majorAscii"/>
          <w:b w:val="0"/>
          <w:bCs/>
          <w:sz w:val="21"/>
          <w:szCs w:val="20"/>
          <w:lang w:val="en-US" w:eastAsia="zh-CN"/>
        </w:rPr>
        <w:t>图1 中美软件与计算机服务企业研发投入占全球比例</w:t>
      </w:r>
    </w:p>
    <w:p w14:paraId="075827D7">
      <w:pPr>
        <w:pStyle w:val="4"/>
        <w:keepNext w:val="0"/>
        <w:keepLines w:val="0"/>
        <w:widowControl/>
        <w:suppressLineNumbers w:val="0"/>
        <w:ind w:firstLine="420" w:firstLineChars="0"/>
        <w:rPr>
          <w:rStyle w:val="7"/>
          <w:rFonts w:hint="default"/>
          <w:b w:val="0"/>
          <w:bCs/>
          <w:lang w:val="en-US" w:eastAsia="zh-CN"/>
        </w:rPr>
      </w:pPr>
      <w:r>
        <w:rPr>
          <w:rStyle w:val="7"/>
          <w:rFonts w:hint="eastAsia"/>
          <w:b w:val="0"/>
          <w:bCs/>
          <w:lang w:val="en-US" w:eastAsia="zh-CN"/>
        </w:rPr>
        <w:t>从研发投入占收比看，美国远高于全球平均且仍在持续走高，2023年研发投入占收比达到16.6%，而中国仍不足10%，且基本保持不变，远低于全球平均，需加大研发投入力度。</w:t>
      </w:r>
    </w:p>
    <w:p w14:paraId="2470BE99">
      <w:pPr>
        <w:pStyle w:val="4"/>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pPr>
      <w:r>
        <w:drawing>
          <wp:inline distT="0" distB="0" distL="114300" distR="114300">
            <wp:extent cx="4977765" cy="1849755"/>
            <wp:effectExtent l="0" t="0" r="5715" b="40005"/>
            <wp:docPr id="3" name="图表 2"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E2C380A">
      <w:pPr>
        <w:pStyle w:val="4"/>
        <w:keepNext w:val="0"/>
        <w:keepLines w:val="0"/>
        <w:widowControl/>
        <w:suppressLineNumbers w:val="0"/>
        <w:ind w:firstLine="420" w:firstLineChars="0"/>
        <w:jc w:val="center"/>
        <w:rPr>
          <w:rStyle w:val="7"/>
          <w:rFonts w:hint="default" w:eastAsia="宋体" w:cs="Times New Roman" w:asciiTheme="majorAscii" w:hAnsiTheme="majorAscii"/>
          <w:b w:val="0"/>
          <w:bCs/>
          <w:sz w:val="21"/>
          <w:szCs w:val="20"/>
          <w:lang w:val="en-US" w:eastAsia="zh-CN"/>
        </w:rPr>
      </w:pPr>
      <w:r>
        <w:rPr>
          <w:rStyle w:val="7"/>
          <w:rFonts w:hint="default" w:eastAsia="宋体" w:cs="Times New Roman" w:asciiTheme="majorAscii" w:hAnsiTheme="majorAscii"/>
          <w:b w:val="0"/>
          <w:bCs/>
          <w:sz w:val="21"/>
          <w:szCs w:val="20"/>
          <w:lang w:val="en-US" w:eastAsia="zh-CN"/>
        </w:rPr>
        <w:t>图2 中美软件与计算机服务企业研发投入占收比</w:t>
      </w:r>
    </w:p>
    <w:p w14:paraId="3C42DB76">
      <w:pPr>
        <w:pStyle w:val="4"/>
        <w:keepNext w:val="0"/>
        <w:keepLines w:val="0"/>
        <w:widowControl/>
        <w:suppressLineNumbers w:val="0"/>
        <w:ind w:firstLine="420" w:firstLineChars="0"/>
      </w:pPr>
      <w:r>
        <w:rPr>
          <w:rFonts w:hint="eastAsia"/>
          <w:lang w:val="en-US" w:eastAsia="zh-CN"/>
        </w:rPr>
        <w:t>从头部企业来看，</w:t>
      </w:r>
      <w:r>
        <w:t>美国研发支出最高的前四大公司对美国在</w:t>
      </w:r>
      <w:r>
        <w:rPr>
          <w:rFonts w:hint="eastAsia"/>
          <w:lang w:val="en-US" w:eastAsia="zh-CN"/>
        </w:rPr>
        <w:t>该领域保持领先</w:t>
      </w:r>
      <w:r>
        <w:t>起着关键作用。这四家公司占国内该领域研发</w:t>
      </w:r>
      <w:r>
        <w:rPr>
          <w:rFonts w:hint="eastAsia"/>
          <w:lang w:val="en-US" w:eastAsia="zh-CN"/>
        </w:rPr>
        <w:t>支出和收入</w:t>
      </w:r>
      <w:r>
        <w:t>的</w:t>
      </w:r>
      <w:r>
        <w:rPr>
          <w:rFonts w:hint="eastAsia"/>
          <w:lang w:val="en-US" w:eastAsia="zh-CN"/>
        </w:rPr>
        <w:t>比例稳定在60</w:t>
      </w:r>
      <w:r>
        <w:t>%</w:t>
      </w:r>
      <w:r>
        <w:rPr>
          <w:rFonts w:hint="eastAsia"/>
          <w:lang w:val="en-US" w:eastAsia="zh-CN"/>
        </w:rPr>
        <w:t>左右，也就是贡献了全球</w:t>
      </w:r>
      <w:r>
        <w:t>45%</w:t>
      </w:r>
      <w:r>
        <w:rPr>
          <w:rFonts w:hint="eastAsia"/>
          <w:lang w:val="en-US" w:eastAsia="zh-CN"/>
        </w:rPr>
        <w:t>的研发投入</w:t>
      </w:r>
      <w:r>
        <w:rPr>
          <w:rFonts w:hint="eastAsia"/>
          <w:lang w:eastAsia="zh-CN"/>
        </w:rPr>
        <w:t>，</w:t>
      </w:r>
      <w:r>
        <w:rPr>
          <w:rFonts w:hint="eastAsia"/>
          <w:lang w:val="en-US" w:eastAsia="zh-CN"/>
        </w:rPr>
        <w:t>且研发投入占收比仍在增长，保持着不低于美国平均值的高研发投入，因此，这四家公司的研发支出总排名也在稳步上升，到2023年前五名中有3家来自美国该领域公司</w:t>
      </w:r>
      <w:r>
        <w:t>。</w:t>
      </w:r>
    </w:p>
    <w:p w14:paraId="78520FBD">
      <w:pPr>
        <w:pStyle w:val="4"/>
        <w:keepNext w:val="0"/>
        <w:keepLines w:val="0"/>
        <w:widowControl/>
        <w:suppressLineNumbers w:val="0"/>
        <w:ind w:firstLine="420" w:firstLineChars="0"/>
        <w:rPr>
          <w:rFonts w:hint="eastAsia"/>
          <w:lang w:val="en-US" w:eastAsia="zh-CN"/>
        </w:rPr>
      </w:pPr>
      <w:r>
        <w:t>中国前四大公司</w:t>
      </w:r>
      <w:r>
        <w:rPr>
          <w:rFonts w:hint="eastAsia"/>
          <w:lang w:val="en-US" w:eastAsia="zh-CN"/>
        </w:rPr>
        <w:t>对中国同样有着关键地位</w:t>
      </w:r>
      <w:r>
        <w:t>，</w:t>
      </w:r>
      <w:r>
        <w:rPr>
          <w:rFonts w:hint="eastAsia"/>
          <w:lang w:val="en-US" w:eastAsia="zh-CN"/>
        </w:rPr>
        <w:t>2023年</w:t>
      </w:r>
      <w:r>
        <w:t>这四家公司占国内该领域研发的</w:t>
      </w:r>
      <w:r>
        <w:rPr>
          <w:rFonts w:hint="eastAsia"/>
          <w:lang w:val="en-US" w:eastAsia="zh-CN"/>
        </w:rPr>
        <w:t>比例为64</w:t>
      </w:r>
      <w:r>
        <w:t>%</w:t>
      </w:r>
      <w:r>
        <w:rPr>
          <w:rFonts w:hint="eastAsia"/>
          <w:lang w:eastAsia="zh-CN"/>
        </w:rPr>
        <w:t>，</w:t>
      </w:r>
      <w:r>
        <w:rPr>
          <w:rFonts w:hint="eastAsia"/>
          <w:lang w:val="en-US" w:eastAsia="zh-CN"/>
        </w:rPr>
        <w:t>收入比例为71%</w:t>
      </w:r>
      <w:r>
        <w:t>，</w:t>
      </w:r>
      <w:r>
        <w:rPr>
          <w:rFonts w:hint="eastAsia"/>
          <w:lang w:val="en-US" w:eastAsia="zh-CN"/>
        </w:rPr>
        <w:t>但研发投入占收比却呈现下降趋势，2023年低于中国平均接近1pp，头部企业研发投入距行业领先企业仍差距较大。</w:t>
      </w:r>
    </w:p>
    <w:p w14:paraId="0A2F9616">
      <w:pPr>
        <w:pStyle w:val="4"/>
        <w:keepNext w:val="0"/>
        <w:keepLines w:val="0"/>
        <w:widowControl/>
        <w:suppressLineNumbers w:val="0"/>
        <w:ind w:firstLine="420" w:firstLineChars="0"/>
      </w:pPr>
      <w:r>
        <w:drawing>
          <wp:inline distT="0" distB="0" distL="114300" distR="114300">
            <wp:extent cx="4632960" cy="262064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632960" cy="2620645"/>
                    </a:xfrm>
                    <a:prstGeom prst="rect">
                      <a:avLst/>
                    </a:prstGeom>
                    <a:noFill/>
                    <a:ln>
                      <a:noFill/>
                    </a:ln>
                  </pic:spPr>
                </pic:pic>
              </a:graphicData>
            </a:graphic>
          </wp:inline>
        </w:drawing>
      </w:r>
    </w:p>
    <w:p w14:paraId="26BF8367">
      <w:pPr>
        <w:pStyle w:val="4"/>
        <w:keepNext w:val="0"/>
        <w:keepLines w:val="0"/>
        <w:widowControl/>
        <w:suppressLineNumbers w:val="0"/>
        <w:ind w:firstLine="420" w:firstLineChars="0"/>
        <w:jc w:val="center"/>
        <w:rPr>
          <w:rFonts w:hint="default"/>
          <w:lang w:val="en-US"/>
        </w:rPr>
      </w:pPr>
      <w:r>
        <w:rPr>
          <w:rStyle w:val="7"/>
          <w:rFonts w:hint="default" w:eastAsia="宋体" w:cs="Times New Roman" w:asciiTheme="majorAscii" w:hAnsiTheme="majorAscii"/>
          <w:b w:val="0"/>
          <w:bCs/>
          <w:sz w:val="21"/>
          <w:szCs w:val="20"/>
          <w:lang w:val="en-US" w:eastAsia="zh-CN"/>
        </w:rPr>
        <w:t>图</w:t>
      </w:r>
      <w:r>
        <w:rPr>
          <w:rStyle w:val="7"/>
          <w:rFonts w:hint="eastAsia" w:eastAsia="宋体" w:cs="Times New Roman" w:asciiTheme="majorAscii" w:hAnsiTheme="majorAscii"/>
          <w:b w:val="0"/>
          <w:bCs/>
          <w:sz w:val="21"/>
          <w:szCs w:val="20"/>
          <w:lang w:val="en-US" w:eastAsia="zh-CN"/>
        </w:rPr>
        <w:t>3</w:t>
      </w:r>
      <w:r>
        <w:rPr>
          <w:rStyle w:val="7"/>
          <w:rFonts w:hint="default" w:eastAsia="宋体" w:cs="Times New Roman" w:asciiTheme="majorAscii" w:hAnsiTheme="majorAscii"/>
          <w:b w:val="0"/>
          <w:bCs/>
          <w:sz w:val="21"/>
          <w:szCs w:val="20"/>
          <w:lang w:val="en-US" w:eastAsia="zh-CN"/>
        </w:rPr>
        <w:t xml:space="preserve"> 中美软件与计算机服务</w:t>
      </w:r>
      <w:r>
        <w:rPr>
          <w:rStyle w:val="7"/>
          <w:rFonts w:hint="eastAsia" w:eastAsia="宋体" w:cs="Times New Roman" w:asciiTheme="majorAscii" w:hAnsiTheme="majorAscii"/>
          <w:b w:val="0"/>
          <w:bCs/>
          <w:sz w:val="21"/>
          <w:szCs w:val="20"/>
          <w:lang w:val="en-US" w:eastAsia="zh-CN"/>
        </w:rPr>
        <w:t>领域研发支出前四大</w:t>
      </w:r>
      <w:r>
        <w:rPr>
          <w:rStyle w:val="7"/>
          <w:rFonts w:hint="default" w:eastAsia="宋体" w:cs="Times New Roman" w:asciiTheme="majorAscii" w:hAnsiTheme="majorAscii"/>
          <w:b w:val="0"/>
          <w:bCs/>
          <w:sz w:val="21"/>
          <w:szCs w:val="20"/>
          <w:lang w:val="en-US" w:eastAsia="zh-CN"/>
        </w:rPr>
        <w:t>企业</w:t>
      </w:r>
      <w:r>
        <w:rPr>
          <w:rStyle w:val="7"/>
          <w:rFonts w:hint="eastAsia" w:eastAsia="宋体" w:cs="Times New Roman" w:asciiTheme="majorAscii" w:hAnsiTheme="majorAscii"/>
          <w:b w:val="0"/>
          <w:bCs/>
          <w:sz w:val="21"/>
          <w:szCs w:val="20"/>
          <w:lang w:val="en-US" w:eastAsia="zh-CN"/>
        </w:rPr>
        <w:t>情况</w:t>
      </w:r>
    </w:p>
    <w:p w14:paraId="606DDF0A">
      <w:pPr>
        <w:pStyle w:val="4"/>
        <w:keepNext w:val="0"/>
        <w:keepLines w:val="0"/>
        <w:widowControl/>
        <w:suppressLineNumbers w:val="0"/>
        <w:ind w:firstLine="420" w:firstLineChars="0"/>
        <w:rPr>
          <w:rStyle w:val="7"/>
          <w:rFonts w:hint="default"/>
          <w:lang w:val="en-US" w:eastAsia="zh-CN"/>
        </w:rPr>
      </w:pPr>
      <w:r>
        <w:rPr>
          <w:rFonts w:hint="eastAsia"/>
          <w:b/>
          <w:bCs/>
          <w:lang w:val="en-US" w:eastAsia="zh-CN"/>
        </w:rPr>
        <w:t>在ICT硬件领域（</w:t>
      </w:r>
      <w:r>
        <w:rPr>
          <w:rStyle w:val="7"/>
          <w:rFonts w:hint="eastAsia"/>
          <w:b/>
          <w:bCs/>
          <w:lang w:val="en-US" w:eastAsia="zh-CN"/>
        </w:rPr>
        <w:t>《欧盟产业研发支出记分牌》中</w:t>
      </w:r>
      <w:r>
        <w:rPr>
          <w:rStyle w:val="7"/>
          <w:b/>
          <w:bCs/>
        </w:rPr>
        <w:t>技术与硬件设备</w:t>
      </w:r>
      <w:r>
        <w:rPr>
          <w:rFonts w:hint="eastAsia"/>
          <w:b/>
          <w:bCs/>
          <w:lang w:val="en-US" w:eastAsia="zh-CN"/>
        </w:rPr>
        <w:t>）</w:t>
      </w:r>
      <w:r>
        <w:rPr>
          <w:rFonts w:hint="eastAsia"/>
          <w:b/>
          <w:bCs/>
          <w:lang w:val="en-US" w:eastAsia="zh-CN"/>
        </w:rPr>
        <w:t>，</w:t>
      </w:r>
      <w:r>
        <w:rPr>
          <w:rStyle w:val="7"/>
          <w:rFonts w:hint="eastAsia"/>
          <w:lang w:val="en-US" w:eastAsia="zh-CN"/>
        </w:rPr>
        <w:t>美国领先地位稳固，并呈现明显头部集中效应，上榜企业数量大幅下降但研发投入总量不断上升，通过不断持续加大研发投入巩固领先地位，而中国正在快速追赶中，尤其是华为始终保持高强度研发投入，但其他企业研发投入距离领先企业仍有一定差距。</w:t>
      </w:r>
    </w:p>
    <w:p w14:paraId="1F46D214">
      <w:pPr>
        <w:pStyle w:val="4"/>
        <w:keepNext w:val="0"/>
        <w:keepLines w:val="0"/>
        <w:widowControl/>
        <w:suppressLineNumbers w:val="0"/>
        <w:ind w:firstLine="420" w:firstLineChars="0"/>
        <w:rPr>
          <w:rStyle w:val="7"/>
          <w:rFonts w:hint="eastAsia"/>
          <w:b w:val="0"/>
          <w:bCs/>
          <w:lang w:val="en-US" w:eastAsia="zh-CN"/>
        </w:rPr>
      </w:pPr>
      <w:r>
        <w:rPr>
          <w:rStyle w:val="7"/>
          <w:rFonts w:hint="eastAsia"/>
          <w:b w:val="0"/>
          <w:bCs/>
          <w:lang w:val="en-US" w:eastAsia="zh-CN"/>
        </w:rPr>
        <w:t>从上榜企业数量看，美国从2013年上榜138家持续下降至2023年上榜68家，占比由50%下降到36%，而中国从2013年仅上榜21家上升至2023年45家，约翻2倍，占美国企业数量的66%。从研发投入金额看，美国十年间较为稳定，研发投入约占全球56%，收入约在全球50%左右，以高于行业平均的研发投入巩固领先地位。中国2023年研发投入占全球18%，是2013年的2.3倍，保持高速增长，但仍占比较小。</w:t>
      </w:r>
    </w:p>
    <w:p w14:paraId="70F95DFA">
      <w:pPr>
        <w:pStyle w:val="4"/>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pPr>
      <w:r>
        <w:drawing>
          <wp:inline distT="0" distB="0" distL="114300" distR="114300">
            <wp:extent cx="5041900" cy="1753235"/>
            <wp:effectExtent l="0" t="0" r="2540" b="45085"/>
            <wp:docPr id="6" name="图表 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B918904">
      <w:pPr>
        <w:pStyle w:val="4"/>
        <w:keepNext w:val="0"/>
        <w:keepLines w:val="0"/>
        <w:widowControl/>
        <w:suppressLineNumbers w:val="0"/>
        <w:ind w:firstLine="420" w:firstLineChars="0"/>
        <w:jc w:val="center"/>
      </w:pPr>
      <w:r>
        <w:rPr>
          <w:rStyle w:val="7"/>
          <w:rFonts w:hint="eastAsia" w:eastAsia="宋体" w:cs="Times New Roman" w:asciiTheme="majorAscii" w:hAnsiTheme="majorAscii"/>
          <w:b w:val="0"/>
          <w:bCs/>
          <w:sz w:val="21"/>
          <w:szCs w:val="20"/>
          <w:lang w:val="en-US" w:eastAsia="zh-CN"/>
        </w:rPr>
        <w:t>图4 中美技术与硬件设备领域企业研发投入占全球比例</w:t>
      </w:r>
    </w:p>
    <w:p w14:paraId="64CD044E">
      <w:pPr>
        <w:pStyle w:val="4"/>
        <w:keepNext w:val="0"/>
        <w:keepLines w:val="0"/>
        <w:widowControl/>
        <w:suppressLineNumbers w:val="0"/>
        <w:ind w:firstLine="420" w:firstLineChars="0"/>
        <w:rPr>
          <w:rStyle w:val="7"/>
          <w:rFonts w:hint="eastAsia"/>
          <w:b w:val="0"/>
          <w:bCs/>
          <w:lang w:val="en-US" w:eastAsia="zh-CN"/>
        </w:rPr>
      </w:pPr>
      <w:r>
        <w:rPr>
          <w:rStyle w:val="7"/>
          <w:rFonts w:hint="eastAsia"/>
          <w:b w:val="0"/>
          <w:bCs/>
          <w:lang w:val="en-US" w:eastAsia="zh-CN"/>
        </w:rPr>
        <w:t>从研发投入占收比看，美国远高于全球平均且仍在持续走高，2023年研发投入占收比达到11.3%，中国始终保持高速增长，接近全球平均值，需继续加大研发投入力度。</w:t>
      </w:r>
    </w:p>
    <w:p w14:paraId="049ADA6C">
      <w:pPr>
        <w:pStyle w:val="4"/>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pPr>
      <w:r>
        <w:drawing>
          <wp:inline distT="0" distB="0" distL="114300" distR="114300">
            <wp:extent cx="5341620" cy="1844675"/>
            <wp:effectExtent l="0" t="0" r="7620" b="45085"/>
            <wp:docPr id="7" name="图表 3"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D6E318D">
      <w:pPr>
        <w:pStyle w:val="4"/>
        <w:keepNext w:val="0"/>
        <w:keepLines w:val="0"/>
        <w:widowControl/>
        <w:suppressLineNumbers w:val="0"/>
        <w:ind w:firstLine="420" w:firstLineChars="0"/>
        <w:jc w:val="center"/>
        <w:rPr>
          <w:rFonts w:hint="default"/>
          <w:lang w:val="en-US" w:eastAsia="zh-CN"/>
        </w:rPr>
      </w:pPr>
      <w:r>
        <w:rPr>
          <w:rStyle w:val="7"/>
          <w:rFonts w:hint="default" w:eastAsia="宋体" w:cs="Times New Roman" w:asciiTheme="majorAscii" w:hAnsiTheme="majorAscii"/>
          <w:b w:val="0"/>
          <w:bCs/>
          <w:sz w:val="21"/>
          <w:szCs w:val="20"/>
          <w:lang w:val="en-US" w:eastAsia="zh-CN"/>
        </w:rPr>
        <w:t>图</w:t>
      </w:r>
      <w:r>
        <w:rPr>
          <w:rStyle w:val="7"/>
          <w:rFonts w:hint="eastAsia" w:eastAsia="宋体" w:cs="Times New Roman" w:asciiTheme="majorAscii" w:hAnsiTheme="majorAscii"/>
          <w:b w:val="0"/>
          <w:bCs/>
          <w:sz w:val="21"/>
          <w:szCs w:val="20"/>
          <w:lang w:val="en-US" w:eastAsia="zh-CN"/>
        </w:rPr>
        <w:t>5</w:t>
      </w:r>
      <w:r>
        <w:rPr>
          <w:rStyle w:val="7"/>
          <w:rFonts w:hint="default" w:eastAsia="宋体" w:cs="Times New Roman" w:asciiTheme="majorAscii" w:hAnsiTheme="majorAscii"/>
          <w:b w:val="0"/>
          <w:bCs/>
          <w:sz w:val="21"/>
          <w:szCs w:val="20"/>
          <w:lang w:val="en-US" w:eastAsia="zh-CN"/>
        </w:rPr>
        <w:t xml:space="preserve"> 中美技术与硬件设备</w:t>
      </w:r>
      <w:r>
        <w:rPr>
          <w:rStyle w:val="7"/>
          <w:rFonts w:hint="eastAsia" w:eastAsia="宋体" w:cs="Times New Roman" w:asciiTheme="majorAscii" w:hAnsiTheme="majorAscii"/>
          <w:b w:val="0"/>
          <w:bCs/>
          <w:sz w:val="21"/>
          <w:szCs w:val="20"/>
          <w:lang w:val="en-US" w:eastAsia="zh-CN"/>
        </w:rPr>
        <w:t>领域</w:t>
      </w:r>
      <w:r>
        <w:rPr>
          <w:rStyle w:val="7"/>
          <w:rFonts w:hint="default" w:eastAsia="宋体" w:cs="Times New Roman" w:asciiTheme="majorAscii" w:hAnsiTheme="majorAscii"/>
          <w:b w:val="0"/>
          <w:bCs/>
          <w:sz w:val="21"/>
          <w:szCs w:val="20"/>
          <w:lang w:val="en-US" w:eastAsia="zh-CN"/>
        </w:rPr>
        <w:t>企业研发投入占收比</w:t>
      </w:r>
    </w:p>
    <w:p w14:paraId="424F8EFE">
      <w:pPr>
        <w:pStyle w:val="4"/>
        <w:keepNext w:val="0"/>
        <w:keepLines w:val="0"/>
        <w:widowControl/>
        <w:suppressLineNumbers w:val="0"/>
        <w:ind w:firstLine="420" w:firstLineChars="0"/>
      </w:pPr>
      <w:r>
        <w:rPr>
          <w:rFonts w:hint="eastAsia"/>
          <w:lang w:val="en-US" w:eastAsia="zh-CN"/>
        </w:rPr>
        <w:t>从头部企业来看，</w:t>
      </w:r>
      <w:r>
        <w:t>美国研发支出最高的前四大公司对美国在</w:t>
      </w:r>
      <w:r>
        <w:rPr>
          <w:rFonts w:hint="eastAsia"/>
          <w:lang w:val="en-US" w:eastAsia="zh-CN"/>
        </w:rPr>
        <w:t>该领域保持领先</w:t>
      </w:r>
      <w:r>
        <w:t>起着关键作用。</w:t>
      </w:r>
      <w:r>
        <w:rPr>
          <w:rFonts w:hint="eastAsia"/>
          <w:lang w:val="en-US" w:eastAsia="zh-CN"/>
        </w:rPr>
        <w:t>2023年，</w:t>
      </w:r>
      <w:r>
        <w:t>这四家公司占国内该领域研发</w:t>
      </w:r>
      <w:r>
        <w:rPr>
          <w:rFonts w:hint="eastAsia"/>
          <w:lang w:val="en-US" w:eastAsia="zh-CN"/>
        </w:rPr>
        <w:t>支出和收入</w:t>
      </w:r>
      <w:r>
        <w:t>的</w:t>
      </w:r>
      <w:r>
        <w:rPr>
          <w:rFonts w:hint="eastAsia"/>
          <w:lang w:val="en-US" w:eastAsia="zh-CN"/>
        </w:rPr>
        <w:t>比例均在50</w:t>
      </w:r>
      <w:r>
        <w:t>%</w:t>
      </w:r>
      <w:r>
        <w:rPr>
          <w:rFonts w:hint="eastAsia"/>
          <w:lang w:val="en-US" w:eastAsia="zh-CN"/>
        </w:rPr>
        <w:t>左右，均较2013年增长10pp</w:t>
      </w:r>
      <w:r>
        <w:rPr>
          <w:rFonts w:hint="eastAsia"/>
          <w:lang w:eastAsia="zh-CN"/>
        </w:rPr>
        <w:t>，</w:t>
      </w:r>
      <w:r>
        <w:rPr>
          <w:rFonts w:hint="eastAsia"/>
          <w:lang w:val="en-US" w:eastAsia="zh-CN"/>
        </w:rPr>
        <w:t>呈现头部聚焦效应，且持续保持着不低于美国平均值的高研发投入，因此，这四家公司的研发支出总排名也在稳步上升，到2023年前十名中有2家来自美国该领域公司</w:t>
      </w:r>
      <w:r>
        <w:t>。</w:t>
      </w:r>
    </w:p>
    <w:p w14:paraId="2471538F">
      <w:pPr>
        <w:pStyle w:val="4"/>
        <w:keepNext w:val="0"/>
        <w:keepLines w:val="0"/>
        <w:widowControl/>
        <w:suppressLineNumbers w:val="0"/>
        <w:ind w:firstLine="420" w:firstLineChars="0"/>
        <w:rPr>
          <w:rFonts w:hint="default"/>
          <w:lang w:val="en-US" w:eastAsia="zh-CN"/>
        </w:rPr>
      </w:pPr>
      <w:r>
        <w:t>中国</w:t>
      </w:r>
      <w:r>
        <w:rPr>
          <w:rFonts w:hint="eastAsia"/>
          <w:lang w:val="en-US" w:eastAsia="zh-CN"/>
        </w:rPr>
        <w:t>对</w:t>
      </w:r>
      <w:r>
        <w:t>前四大公司</w:t>
      </w:r>
      <w:r>
        <w:rPr>
          <w:rFonts w:hint="eastAsia"/>
          <w:lang w:val="en-US" w:eastAsia="zh-CN"/>
        </w:rPr>
        <w:t>的依赖性更强但呈现下降趋势</w:t>
      </w:r>
      <w:r>
        <w:t>，</w:t>
      </w:r>
      <w:r>
        <w:rPr>
          <w:rFonts w:hint="eastAsia"/>
          <w:lang w:val="en-US" w:eastAsia="zh-CN"/>
        </w:rPr>
        <w:t>2023年</w:t>
      </w:r>
      <w:r>
        <w:t>这四家公司占国内该领域研发的</w:t>
      </w:r>
      <w:r>
        <w:rPr>
          <w:rFonts w:hint="eastAsia"/>
          <w:lang w:val="en-US" w:eastAsia="zh-CN"/>
        </w:rPr>
        <w:t>比例高达75</w:t>
      </w:r>
      <w:r>
        <w:t>%</w:t>
      </w:r>
      <w:r>
        <w:rPr>
          <w:rFonts w:hint="eastAsia"/>
          <w:lang w:eastAsia="zh-CN"/>
        </w:rPr>
        <w:t>，</w:t>
      </w:r>
      <w:r>
        <w:rPr>
          <w:rFonts w:hint="eastAsia"/>
          <w:lang w:val="en-US" w:eastAsia="zh-CN"/>
        </w:rPr>
        <w:t>但较2013年下降10pp，这主要由于中国公司上榜数量大幅增加。同时前四家公司的平均研发投入占收比高达14.2%，主要因为华为的高研发投入。华为自2015年起一直是全球研发投入十强中唯一上榜中国企业，近10年来华为的研发投入占中国该行业总研发投入的一半以上，研发投入占收比也一直处于行业领先，且持续增加，2023年研发投入占收比高达22%。</w:t>
      </w:r>
    </w:p>
    <w:p w14:paraId="089BB596">
      <w:pPr>
        <w:pStyle w:val="4"/>
        <w:keepNext w:val="0"/>
        <w:keepLines w:val="0"/>
        <w:widowControl/>
        <w:suppressLineNumbers w:val="0"/>
        <w:jc w:val="center"/>
      </w:pPr>
      <w:r>
        <w:drawing>
          <wp:inline distT="0" distB="0" distL="114300" distR="114300">
            <wp:extent cx="5268595" cy="2653030"/>
            <wp:effectExtent l="0" t="0" r="4445"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5268595" cy="2653030"/>
                    </a:xfrm>
                    <a:prstGeom prst="rect">
                      <a:avLst/>
                    </a:prstGeom>
                    <a:noFill/>
                    <a:ln>
                      <a:noFill/>
                    </a:ln>
                  </pic:spPr>
                </pic:pic>
              </a:graphicData>
            </a:graphic>
          </wp:inline>
        </w:drawing>
      </w:r>
    </w:p>
    <w:p w14:paraId="08228DB9">
      <w:pPr>
        <w:pStyle w:val="4"/>
        <w:keepNext w:val="0"/>
        <w:keepLines w:val="0"/>
        <w:widowControl/>
        <w:suppressLineNumbers w:val="0"/>
        <w:ind w:firstLine="420" w:firstLineChars="0"/>
        <w:jc w:val="center"/>
      </w:pPr>
      <w:r>
        <w:rPr>
          <w:rStyle w:val="7"/>
          <w:rFonts w:hint="default" w:eastAsia="宋体" w:cs="Times New Roman" w:asciiTheme="majorAscii" w:hAnsiTheme="majorAscii"/>
          <w:b w:val="0"/>
          <w:bCs/>
          <w:sz w:val="21"/>
          <w:szCs w:val="20"/>
          <w:lang w:val="en-US" w:eastAsia="zh-CN"/>
        </w:rPr>
        <w:t>图</w:t>
      </w:r>
      <w:r>
        <w:rPr>
          <w:rStyle w:val="7"/>
          <w:rFonts w:hint="eastAsia" w:eastAsia="宋体" w:cs="Times New Roman" w:asciiTheme="majorAscii" w:hAnsiTheme="majorAscii"/>
          <w:b w:val="0"/>
          <w:bCs/>
          <w:sz w:val="21"/>
          <w:szCs w:val="20"/>
          <w:lang w:val="en-US" w:eastAsia="zh-CN"/>
        </w:rPr>
        <w:t>6</w:t>
      </w:r>
      <w:r>
        <w:rPr>
          <w:rStyle w:val="7"/>
          <w:rFonts w:hint="default" w:eastAsia="宋体" w:cs="Times New Roman" w:asciiTheme="majorAscii" w:hAnsiTheme="majorAscii"/>
          <w:b w:val="0"/>
          <w:bCs/>
          <w:sz w:val="21"/>
          <w:szCs w:val="20"/>
          <w:lang w:val="en-US" w:eastAsia="zh-CN"/>
        </w:rPr>
        <w:t xml:space="preserve"> 中美技术与硬件设备</w:t>
      </w:r>
      <w:r>
        <w:rPr>
          <w:rStyle w:val="7"/>
          <w:rFonts w:hint="eastAsia" w:eastAsia="宋体" w:cs="Times New Roman" w:asciiTheme="majorAscii" w:hAnsiTheme="majorAscii"/>
          <w:b w:val="0"/>
          <w:bCs/>
          <w:sz w:val="21"/>
          <w:szCs w:val="20"/>
          <w:lang w:val="en-US" w:eastAsia="zh-CN"/>
        </w:rPr>
        <w:t>领域研发支出前四大</w:t>
      </w:r>
      <w:r>
        <w:rPr>
          <w:rStyle w:val="7"/>
          <w:rFonts w:hint="default" w:eastAsia="宋体" w:cs="Times New Roman" w:asciiTheme="majorAscii" w:hAnsiTheme="majorAscii"/>
          <w:b w:val="0"/>
          <w:bCs/>
          <w:sz w:val="21"/>
          <w:szCs w:val="20"/>
          <w:lang w:val="en-US" w:eastAsia="zh-CN"/>
        </w:rPr>
        <w:t>企业</w:t>
      </w:r>
      <w:r>
        <w:rPr>
          <w:rStyle w:val="7"/>
          <w:rFonts w:hint="eastAsia" w:eastAsia="宋体" w:cs="Times New Roman" w:asciiTheme="majorAscii" w:hAnsiTheme="majorAscii"/>
          <w:b w:val="0"/>
          <w:bCs/>
          <w:sz w:val="21"/>
          <w:szCs w:val="20"/>
          <w:lang w:val="en-US" w:eastAsia="zh-CN"/>
        </w:rPr>
        <w:t>情况</w:t>
      </w:r>
    </w:p>
    <w:p w14:paraId="600F43CD">
      <w:pPr>
        <w:widowControl/>
        <w:jc w:val="left"/>
        <w:rPr>
          <w:rFonts w:hint="default" w:ascii="微软雅黑" w:hAnsi="微软雅黑" w:eastAsia="微软雅黑" w:cs="微软雅黑"/>
          <w:b/>
          <w:bCs/>
          <w:sz w:val="24"/>
          <w:szCs w:val="28"/>
          <w:lang w:val="en-US" w:eastAsia="zh-CN"/>
        </w:rPr>
      </w:pPr>
      <w:r>
        <w:rPr>
          <w:rFonts w:hint="eastAsia" w:ascii="微软雅黑" w:hAnsi="微软雅黑" w:eastAsia="微软雅黑" w:cs="微软雅黑"/>
          <w:b/>
          <w:bCs/>
          <w:sz w:val="24"/>
          <w:szCs w:val="28"/>
          <w:lang w:val="en-US" w:eastAsia="zh-CN"/>
        </w:rPr>
        <w:t>二、中美领先ICT公司研发投入情况</w:t>
      </w:r>
    </w:p>
    <w:p w14:paraId="58505D0B">
      <w:pPr>
        <w:pStyle w:val="4"/>
        <w:bidi w:val="0"/>
        <w:ind w:firstLine="420" w:firstLineChars="0"/>
        <w:rPr>
          <w:rFonts w:hint="default"/>
          <w:lang w:val="en-US" w:eastAsia="zh-CN"/>
        </w:rPr>
      </w:pPr>
      <w:r>
        <w:rPr>
          <w:rFonts w:hint="eastAsia"/>
          <w:lang w:val="en-US" w:eastAsia="zh-CN"/>
        </w:rPr>
        <w:t>美国四大科技公司近十年来研发投入占收比始终保持高位，且保持上升趋势，其中谷歌和微软的研发投入占收比10年来稳定在12%-16%，稳定的研发投入强度是他们始终保持全球领先的主要动力；Meta始终保持18%以上高投入强度，且近年来增长明显，是四家巨头中研发投入占比最高公司；Apple公司研发投入占收比最低，但逐年保持稳定增长，从2013年的2.6%增长到2023年的7.8%。</w:t>
      </w:r>
    </w:p>
    <w:p w14:paraId="738FCF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pPr>
      <w:r>
        <w:drawing>
          <wp:inline distT="0" distB="0" distL="114300" distR="114300">
            <wp:extent cx="5271135" cy="2125345"/>
            <wp:effectExtent l="0" t="0" r="1905" b="38735"/>
            <wp:docPr id="1" name="图表 5" descr="7b0a202020202263686172745265734964223a20223530303533343233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FE1085E">
      <w:pPr>
        <w:pStyle w:val="4"/>
        <w:keepNext w:val="0"/>
        <w:keepLines w:val="0"/>
        <w:widowControl/>
        <w:suppressLineNumbers w:val="0"/>
        <w:ind w:firstLine="420" w:firstLineChars="0"/>
        <w:jc w:val="center"/>
        <w:rPr>
          <w:rStyle w:val="7"/>
          <w:rFonts w:hint="default" w:eastAsia="宋体" w:cs="Times New Roman" w:asciiTheme="majorAscii" w:hAnsiTheme="majorAscii"/>
          <w:b w:val="0"/>
          <w:bCs/>
          <w:sz w:val="21"/>
          <w:szCs w:val="20"/>
          <w:lang w:val="en-US" w:eastAsia="zh-CN"/>
        </w:rPr>
      </w:pPr>
      <w:r>
        <w:rPr>
          <w:rStyle w:val="7"/>
          <w:rFonts w:hint="eastAsia" w:eastAsia="宋体" w:cs="Times New Roman" w:asciiTheme="majorAscii" w:hAnsiTheme="majorAscii"/>
          <w:b w:val="0"/>
          <w:bCs/>
          <w:sz w:val="21"/>
          <w:szCs w:val="20"/>
          <w:lang w:val="en-US" w:eastAsia="zh-CN"/>
        </w:rPr>
        <w:t>图7 美国科技巨头2013年-2023年研发投入占收比</w:t>
      </w:r>
    </w:p>
    <w:p w14:paraId="2C30C02E">
      <w:pPr>
        <w:pStyle w:val="4"/>
        <w:bidi w:val="0"/>
        <w:ind w:firstLine="420" w:firstLineChars="0"/>
        <w:rPr>
          <w:rFonts w:hint="default"/>
          <w:lang w:val="en-US" w:eastAsia="zh-CN"/>
        </w:rPr>
      </w:pPr>
      <w:r>
        <w:rPr>
          <w:rFonts w:hint="eastAsia"/>
          <w:lang w:val="en-US" w:eastAsia="zh-CN"/>
        </w:rPr>
        <w:t>中国BAT及华为近十年来研发投入占收比趋势各不相同，其中华为和百度的研发投入占收比始终较高，且呈增长趋势，尤其华为2021年后增长明显，达到了20%以上，明显领先中国其他公司，腾讯研发投入占收稳定在8%左右，2021年开始小幅增长，阿里2020年开始研发投入占收比最低，且呈现下降趋势。</w:t>
      </w:r>
    </w:p>
    <w:p w14:paraId="3C76B0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pPr>
      <w:r>
        <w:drawing>
          <wp:inline distT="0" distB="0" distL="114300" distR="114300">
            <wp:extent cx="5247005" cy="2109470"/>
            <wp:effectExtent l="0" t="0" r="10795" b="39370"/>
            <wp:docPr id="8" name="图表 6" descr="7b0a202020202263686172745265734964223a20223530303533343233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CE43518">
      <w:pPr>
        <w:pStyle w:val="4"/>
        <w:keepNext w:val="0"/>
        <w:keepLines w:val="0"/>
        <w:widowControl/>
        <w:suppressLineNumbers w:val="0"/>
        <w:ind w:firstLine="420" w:firstLineChars="0"/>
        <w:jc w:val="center"/>
        <w:rPr>
          <w:rStyle w:val="7"/>
          <w:rFonts w:hint="default" w:eastAsia="宋体" w:cs="Times New Roman" w:asciiTheme="majorAscii" w:hAnsiTheme="majorAscii"/>
          <w:b w:val="0"/>
          <w:bCs/>
          <w:sz w:val="21"/>
          <w:szCs w:val="20"/>
          <w:lang w:val="en-US" w:eastAsia="zh-CN"/>
        </w:rPr>
      </w:pPr>
      <w:r>
        <w:rPr>
          <w:rStyle w:val="7"/>
          <w:rFonts w:hint="eastAsia" w:eastAsia="宋体" w:cs="Times New Roman" w:asciiTheme="majorAscii" w:hAnsiTheme="majorAscii"/>
          <w:b w:val="0"/>
          <w:bCs/>
          <w:sz w:val="21"/>
          <w:szCs w:val="20"/>
          <w:lang w:val="en-US" w:eastAsia="zh-CN"/>
        </w:rPr>
        <w:t>图8 中国科技巨头2013年-2023年研发投入占收比</w:t>
      </w:r>
    </w:p>
    <w:p w14:paraId="7675C67F">
      <w:pPr>
        <w:widowControl/>
        <w:jc w:val="left"/>
        <w:rPr>
          <w:rFonts w:hint="eastAsia" w:ascii="微软雅黑" w:hAnsi="微软雅黑" w:eastAsia="微软雅黑" w:cs="微软雅黑"/>
          <w:b/>
          <w:bCs/>
          <w:sz w:val="24"/>
          <w:szCs w:val="28"/>
          <w:lang w:val="en-US" w:eastAsia="zh-CN"/>
        </w:rPr>
      </w:pPr>
      <w:r>
        <w:rPr>
          <w:rFonts w:hint="eastAsia" w:ascii="微软雅黑" w:hAnsi="微软雅黑" w:eastAsia="微软雅黑" w:cs="微软雅黑"/>
          <w:b/>
          <w:bCs/>
          <w:sz w:val="24"/>
          <w:szCs w:val="28"/>
          <w:lang w:val="en-US" w:eastAsia="zh-CN"/>
        </w:rPr>
        <w:t>三、总结与展望</w:t>
      </w:r>
    </w:p>
    <w:p w14:paraId="52843BF9">
      <w:pPr>
        <w:pStyle w:val="4"/>
        <w:bidi w:val="0"/>
        <w:ind w:firstLine="420" w:firstLineChars="0"/>
        <w:rPr>
          <w:rFonts w:hint="eastAsia"/>
          <w:lang w:val="en-US" w:eastAsia="zh-CN"/>
        </w:rPr>
      </w:pPr>
      <w:r>
        <w:rPr>
          <w:rFonts w:hint="eastAsia"/>
          <w:lang w:val="en-US" w:eastAsia="zh-CN"/>
        </w:rPr>
        <w:t>在ICT软件和硬件领域，美国科技公司主导关键技术创新，大科技公司起步早、产品认可度高、影响力广，能够获得庞大收入和利润，</w:t>
      </w:r>
      <w:r>
        <w:rPr>
          <w:lang w:val="en-US" w:eastAsia="zh-CN"/>
        </w:rPr>
        <w:t>支撑</w:t>
      </w:r>
      <w:r>
        <w:rPr>
          <w:rFonts w:hint="eastAsia"/>
          <w:lang w:val="en-US" w:eastAsia="zh-CN"/>
        </w:rPr>
        <w:t>其</w:t>
      </w:r>
      <w:r>
        <w:rPr>
          <w:lang w:val="en-US" w:eastAsia="zh-CN"/>
        </w:rPr>
        <w:t>不断投入巨额研发</w:t>
      </w:r>
      <w:r>
        <w:rPr>
          <w:rFonts w:hint="eastAsia"/>
          <w:lang w:val="en-US" w:eastAsia="zh-CN"/>
        </w:rPr>
        <w:t>经费</w:t>
      </w:r>
      <w:r>
        <w:rPr>
          <w:lang w:val="en-US" w:eastAsia="zh-CN"/>
        </w:rPr>
        <w:t>，</w:t>
      </w:r>
      <w:r>
        <w:rPr>
          <w:rFonts w:hint="eastAsia"/>
          <w:lang w:val="en-US" w:eastAsia="zh-CN"/>
        </w:rPr>
        <w:t>保持技术领先优势，</w:t>
      </w:r>
      <w:r>
        <w:rPr>
          <w:lang w:val="en-US" w:eastAsia="zh-CN"/>
        </w:rPr>
        <w:t>形成良性循环</w:t>
      </w:r>
      <w:r>
        <w:rPr>
          <w:rFonts w:hint="eastAsia"/>
          <w:lang w:val="en-US" w:eastAsia="zh-CN"/>
        </w:rPr>
        <w:t>。中国企业起步较晚，但近年来增长迅速，但距离行业领先还是有很大差距，仍需进一步加大研发投入，提升自主创新能力。</w:t>
      </w:r>
    </w:p>
    <w:p w14:paraId="39E83E18">
      <w:pPr>
        <w:pStyle w:val="4"/>
        <w:bidi w:val="0"/>
        <w:ind w:firstLine="420" w:firstLineChars="0"/>
        <w:rPr>
          <w:rFonts w:hint="eastAsia"/>
          <w:lang w:val="en-US" w:eastAsia="zh-CN"/>
        </w:rPr>
      </w:pPr>
    </w:p>
    <w:p w14:paraId="6EA40619">
      <w:pPr>
        <w:pStyle w:val="4"/>
        <w:bidi w:val="0"/>
        <w:rPr>
          <w:rFonts w:hint="eastAsia"/>
          <w:lang w:val="en-US" w:eastAsia="zh-CN"/>
        </w:rPr>
      </w:pPr>
      <w:r>
        <w:rPr>
          <w:rFonts w:hint="eastAsia"/>
          <w:lang w:val="en-US" w:eastAsia="zh-CN"/>
        </w:rPr>
        <w:t>注：本文所有数据均来自欧盟委员会联合研究中心近年来发布的《欧盟产业研发投入记分牌》（EU Industrial R&amp;D Investment Scoreboard）</w:t>
      </w:r>
    </w:p>
    <w:p w14:paraId="14EE1699">
      <w:pPr>
        <w:pStyle w:val="4"/>
        <w:bidi w:val="0"/>
        <w:rPr>
          <w:rFonts w:hint="default"/>
          <w:lang w:val="en-US" w:eastAsia="zh-CN"/>
        </w:rPr>
      </w:pPr>
      <w:bookmarkStart w:id="0" w:name="_GoBack"/>
      <w:bookmarkEnd w:id="0"/>
    </w:p>
    <w:p w14:paraId="4E741288">
      <w:pPr>
        <w:spacing w:line="440" w:lineRule="exact"/>
        <w:jc w:val="left"/>
        <w:rPr>
          <w:rFonts w:hint="eastAsia" w:ascii="微软雅黑" w:hAnsi="微软雅黑" w:eastAsia="微软雅黑" w:cs="微软雅黑"/>
          <w:sz w:val="24"/>
        </w:rPr>
      </w:pPr>
      <w:r>
        <w:rPr>
          <w:rFonts w:hint="eastAsia" w:ascii="微软雅黑" w:hAnsi="微软雅黑" w:eastAsia="微软雅黑" w:cs="微软雅黑"/>
          <w:sz w:val="24"/>
        </w:rPr>
        <w:t>作者：</w:t>
      </w:r>
    </w:p>
    <w:p w14:paraId="1E10ED20">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rPr>
        <w:drawing>
          <wp:inline distT="0" distB="0" distL="0" distR="0">
            <wp:extent cx="647700" cy="965200"/>
            <wp:effectExtent l="0" t="0" r="7620" b="10160"/>
            <wp:docPr id="10" name="图片 10" descr="74482e0839c207dae8cadd4810fd7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4482e0839c207dae8cadd4810fd7e4"/>
                    <pic:cNvPicPr>
                      <a:picLocks noChangeAspect="1" noChangeArrowheads="1"/>
                    </pic:cNvPicPr>
                  </pic:nvPicPr>
                  <pic:blipFill>
                    <a:blip r:embed="rId12" cstate="print">
                      <a:extLst>
                        <a:ext uri="{28A0092B-C50C-407E-A947-70E740481C1C}">
                          <a14:useLocalDpi xmlns:a14="http://schemas.microsoft.com/office/drawing/2010/main" val="0"/>
                        </a:ext>
                      </a:extLst>
                    </a:blip>
                    <a:srcRect l="16965" r="15858"/>
                    <a:stretch>
                      <a:fillRect/>
                    </a:stretch>
                  </pic:blipFill>
                  <pic:spPr>
                    <a:xfrm>
                      <a:off x="0" y="0"/>
                      <a:ext cx="647700" cy="965200"/>
                    </a:xfrm>
                    <a:prstGeom prst="rect">
                      <a:avLst/>
                    </a:prstGeom>
                    <a:noFill/>
                    <a:ln>
                      <a:noFill/>
                    </a:ln>
                  </pic:spPr>
                </pic:pic>
              </a:graphicData>
            </a:graphic>
          </wp:inline>
        </w:drawing>
      </w:r>
      <w:r>
        <w:rPr>
          <w:rFonts w:hint="eastAsia" w:ascii="微软雅黑" w:hAnsi="微软雅黑" w:eastAsia="微软雅黑" w:cs="微软雅黑"/>
          <w:sz w:val="24"/>
        </w:rPr>
        <w:t xml:space="preserve"> 陶磊，一级分析师</w:t>
      </w:r>
    </w:p>
    <w:p w14:paraId="5061D174">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rPr>
        <w:t>硕士，就职于中国电信研究院，从事通信行业研究，专注管理会计、价值管理方向研究。</w:t>
      </w:r>
    </w:p>
    <w:p w14:paraId="235E8F71">
      <w:pPr>
        <w:rPr>
          <w:rFonts w:hint="eastAsia" w:ascii="微软雅黑" w:hAnsi="微软雅黑" w:eastAsia="微软雅黑" w:cs="微软雅黑"/>
          <w:sz w:val="24"/>
        </w:rPr>
      </w:pPr>
      <w:r>
        <w:rPr>
          <w:rFonts w:hint="eastAsia" w:ascii="微软雅黑" w:hAnsi="微软雅黑" w:eastAsia="微软雅黑" w:cs="微软雅黑"/>
          <w:sz w:val="24"/>
        </w:rPr>
        <w:drawing>
          <wp:inline distT="0" distB="0" distL="114300" distR="114300">
            <wp:extent cx="645795" cy="922655"/>
            <wp:effectExtent l="0" t="0" r="9525" b="6985"/>
            <wp:docPr id="9" name="图片 9" descr="马程成个人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马程成个人照片"/>
                    <pic:cNvPicPr>
                      <a:picLocks noChangeAspect="1"/>
                    </pic:cNvPicPr>
                  </pic:nvPicPr>
                  <pic:blipFill>
                    <a:blip r:embed="rId13"/>
                    <a:stretch>
                      <a:fillRect/>
                    </a:stretch>
                  </pic:blipFill>
                  <pic:spPr>
                    <a:xfrm>
                      <a:off x="0" y="0"/>
                      <a:ext cx="645795" cy="922655"/>
                    </a:xfrm>
                    <a:prstGeom prst="rect">
                      <a:avLst/>
                    </a:prstGeom>
                  </pic:spPr>
                </pic:pic>
              </a:graphicData>
            </a:graphic>
          </wp:inline>
        </w:drawing>
      </w:r>
      <w:r>
        <w:rPr>
          <w:rFonts w:hint="eastAsia" w:ascii="微软雅黑" w:hAnsi="微软雅黑" w:eastAsia="微软雅黑" w:cs="微软雅黑"/>
          <w:sz w:val="24"/>
        </w:rPr>
        <w:t>马程成，二级分析师</w:t>
      </w:r>
    </w:p>
    <w:p w14:paraId="471E5C2A">
      <w:pPr>
        <w:rPr>
          <w:rFonts w:hint="eastAsia" w:ascii="微软雅黑" w:hAnsi="微软雅黑" w:eastAsia="微软雅黑" w:cs="微软雅黑"/>
          <w:sz w:val="24"/>
        </w:rPr>
      </w:pPr>
      <w:r>
        <w:rPr>
          <w:rFonts w:hint="eastAsia" w:ascii="微软雅黑" w:hAnsi="微软雅黑" w:eastAsia="微软雅黑" w:cs="微软雅黑"/>
          <w:sz w:val="24"/>
        </w:rPr>
        <w:t>硕士，就职于中国电信研究院，主要负责科技创新、财务分析等相关研究。</w:t>
      </w:r>
    </w:p>
    <w:p w14:paraId="46CA485F">
      <w:pPr>
        <w:rPr>
          <w:rFonts w:hint="eastAsia" w:ascii="微软雅黑" w:hAnsi="微软雅黑" w:eastAsia="微软雅黑" w:cs="微软雅黑"/>
          <w:sz w:val="24"/>
          <w:lang w:eastAsia="zh-CN"/>
        </w:rPr>
      </w:pPr>
      <w:r>
        <w:rPr>
          <w:rFonts w:hint="eastAsia" w:ascii="微软雅黑" w:hAnsi="微软雅黑" w:eastAsia="微软雅黑" w:cs="微软雅黑"/>
          <w:sz w:val="24"/>
          <w:lang w:eastAsia="zh-CN"/>
        </w:rPr>
        <w:drawing>
          <wp:inline distT="0" distB="0" distL="114300" distR="114300">
            <wp:extent cx="675005" cy="884555"/>
            <wp:effectExtent l="0" t="0" r="10795" b="14605"/>
            <wp:docPr id="11" name="图片 11" descr="b8940890aea185be13ea80c8ef19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8940890aea185be13ea80c8ef1946f"/>
                    <pic:cNvPicPr>
                      <a:picLocks noChangeAspect="1"/>
                    </pic:cNvPicPr>
                  </pic:nvPicPr>
                  <pic:blipFill>
                    <a:blip r:embed="rId14"/>
                    <a:stretch>
                      <a:fillRect/>
                    </a:stretch>
                  </pic:blipFill>
                  <pic:spPr>
                    <a:xfrm>
                      <a:off x="0" y="0"/>
                      <a:ext cx="675005" cy="884555"/>
                    </a:xfrm>
                    <a:prstGeom prst="rect">
                      <a:avLst/>
                    </a:prstGeom>
                  </pic:spPr>
                </pic:pic>
              </a:graphicData>
            </a:graphic>
          </wp:inline>
        </w:drawing>
      </w:r>
    </w:p>
    <w:p w14:paraId="175219A1">
      <w:pPr>
        <w:rPr>
          <w:rFonts w:hint="default" w:ascii="微软雅黑" w:hAnsi="微软雅黑" w:eastAsia="微软雅黑" w:cs="微软雅黑"/>
          <w:sz w:val="24"/>
          <w:lang w:val="en-US" w:eastAsia="zh-CN"/>
        </w:rPr>
      </w:pPr>
      <w:r>
        <w:rPr>
          <w:rFonts w:hint="default" w:ascii="微软雅黑" w:hAnsi="微软雅黑" w:eastAsia="微软雅黑" w:cs="微软雅黑"/>
          <w:sz w:val="24"/>
          <w:lang w:val="en-US" w:eastAsia="zh-CN"/>
        </w:rPr>
        <w:t>硕士，中级经济师，就职于中国电信研究院，从事通信行业研究，主要专注企业发展、资本市场等相关领域。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365"/>
    <w:rsid w:val="0027761C"/>
    <w:rsid w:val="00563365"/>
    <w:rsid w:val="00A648BA"/>
    <w:rsid w:val="00B06CDB"/>
    <w:rsid w:val="00BA72EC"/>
    <w:rsid w:val="00C549A1"/>
    <w:rsid w:val="00C66362"/>
    <w:rsid w:val="029A1B3E"/>
    <w:rsid w:val="04995F73"/>
    <w:rsid w:val="08BE7B54"/>
    <w:rsid w:val="09B7295F"/>
    <w:rsid w:val="0A7F3380"/>
    <w:rsid w:val="0CA65353"/>
    <w:rsid w:val="0D227134"/>
    <w:rsid w:val="0D7336B7"/>
    <w:rsid w:val="0EF44384"/>
    <w:rsid w:val="0FAA0BE0"/>
    <w:rsid w:val="100875B0"/>
    <w:rsid w:val="101F6137"/>
    <w:rsid w:val="115C2C14"/>
    <w:rsid w:val="11BB39E6"/>
    <w:rsid w:val="1432607A"/>
    <w:rsid w:val="14444C0B"/>
    <w:rsid w:val="15F230E6"/>
    <w:rsid w:val="164F1A45"/>
    <w:rsid w:val="16852F85"/>
    <w:rsid w:val="18F953B8"/>
    <w:rsid w:val="19375EE1"/>
    <w:rsid w:val="1ABD41C4"/>
    <w:rsid w:val="1B012302"/>
    <w:rsid w:val="1B2B55D1"/>
    <w:rsid w:val="1D220783"/>
    <w:rsid w:val="1D525D0C"/>
    <w:rsid w:val="1DFC6E1A"/>
    <w:rsid w:val="1F871C85"/>
    <w:rsid w:val="1FB65DB1"/>
    <w:rsid w:val="1FB76F77"/>
    <w:rsid w:val="20EA55E7"/>
    <w:rsid w:val="21D02A2F"/>
    <w:rsid w:val="23B24756"/>
    <w:rsid w:val="24D14499"/>
    <w:rsid w:val="25426C42"/>
    <w:rsid w:val="28471822"/>
    <w:rsid w:val="29C61F41"/>
    <w:rsid w:val="2ABC6246"/>
    <w:rsid w:val="2BA85AEB"/>
    <w:rsid w:val="2C2B1C74"/>
    <w:rsid w:val="2E6E6ED8"/>
    <w:rsid w:val="2F3648E7"/>
    <w:rsid w:val="319D4CC9"/>
    <w:rsid w:val="32BE744E"/>
    <w:rsid w:val="32EA34AC"/>
    <w:rsid w:val="333746BC"/>
    <w:rsid w:val="342423CE"/>
    <w:rsid w:val="355F439E"/>
    <w:rsid w:val="3781684D"/>
    <w:rsid w:val="379D4DB9"/>
    <w:rsid w:val="37CE32A7"/>
    <w:rsid w:val="3C320116"/>
    <w:rsid w:val="3C6D114E"/>
    <w:rsid w:val="3F2521B4"/>
    <w:rsid w:val="42860DFE"/>
    <w:rsid w:val="440A0C04"/>
    <w:rsid w:val="45D606DE"/>
    <w:rsid w:val="4924528A"/>
    <w:rsid w:val="4BB62D23"/>
    <w:rsid w:val="4BCD61D2"/>
    <w:rsid w:val="4C9919FA"/>
    <w:rsid w:val="4D136C68"/>
    <w:rsid w:val="4F457D08"/>
    <w:rsid w:val="50F84330"/>
    <w:rsid w:val="513507BD"/>
    <w:rsid w:val="524C3BDA"/>
    <w:rsid w:val="5253098E"/>
    <w:rsid w:val="52653BBD"/>
    <w:rsid w:val="52733F82"/>
    <w:rsid w:val="54113768"/>
    <w:rsid w:val="54CA4EB4"/>
    <w:rsid w:val="54D2203E"/>
    <w:rsid w:val="556829A3"/>
    <w:rsid w:val="56F91134"/>
    <w:rsid w:val="5967300B"/>
    <w:rsid w:val="59DB7BE7"/>
    <w:rsid w:val="5D05322F"/>
    <w:rsid w:val="5E0960C3"/>
    <w:rsid w:val="5E285ACD"/>
    <w:rsid w:val="5FB07420"/>
    <w:rsid w:val="5FEB2206"/>
    <w:rsid w:val="5FEF65D7"/>
    <w:rsid w:val="606C14FB"/>
    <w:rsid w:val="634869FA"/>
    <w:rsid w:val="64BC4F60"/>
    <w:rsid w:val="64D2558B"/>
    <w:rsid w:val="651C2653"/>
    <w:rsid w:val="662B7800"/>
    <w:rsid w:val="667B6DE0"/>
    <w:rsid w:val="66F145A6"/>
    <w:rsid w:val="679B2764"/>
    <w:rsid w:val="67F7350B"/>
    <w:rsid w:val="68C972D1"/>
    <w:rsid w:val="6A1B7B8C"/>
    <w:rsid w:val="6A6E4160"/>
    <w:rsid w:val="6A927AC9"/>
    <w:rsid w:val="6B421874"/>
    <w:rsid w:val="6D4473F1"/>
    <w:rsid w:val="6E041063"/>
    <w:rsid w:val="6FAF4FFE"/>
    <w:rsid w:val="713A2FED"/>
    <w:rsid w:val="71EC253A"/>
    <w:rsid w:val="731D63A8"/>
    <w:rsid w:val="737E01E0"/>
    <w:rsid w:val="75625E25"/>
    <w:rsid w:val="76A74BC4"/>
    <w:rsid w:val="76F60C78"/>
    <w:rsid w:val="77107B88"/>
    <w:rsid w:val="77B23300"/>
    <w:rsid w:val="78926490"/>
    <w:rsid w:val="796230E1"/>
    <w:rsid w:val="7BAA4093"/>
    <w:rsid w:val="7C845CBF"/>
    <w:rsid w:val="7CEF1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unhideWhenUsed/>
    <w:qFormat/>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chart" Target="charts/chart4.xml"/><Relationship Id="rId7" Type="http://schemas.openxmlformats.org/officeDocument/2006/relationships/chart" Target="charts/chart3.xml"/><Relationship Id="rId6" Type="http://schemas.openxmlformats.org/officeDocument/2006/relationships/image" Target="media/image1.png"/><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chart" Target="charts/chart6.xml"/><Relationship Id="rId10" Type="http://schemas.openxmlformats.org/officeDocument/2006/relationships/chart" Target="charts/chart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D:\06%20&#39640;&#31471;&#20219;&#21153;\&#20840;&#29699;&#30740;&#21457;&#25237;&#20837;&#20998;&#26512;\&#36816;&#33829;&#21830;&#25968;&#25454;.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D:\06%20&#39640;&#31471;&#20219;&#21153;\&#20840;&#29699;&#30740;&#21457;&#25237;&#20837;&#20998;&#26512;\&#36816;&#33829;&#21830;&#25968;&#25454;.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D:\06%20&#39640;&#31471;&#20219;&#21153;\&#20840;&#29699;&#30740;&#21457;&#25237;&#20837;&#20998;&#26512;\&#36816;&#33829;&#21830;&#25968;&#25454;.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D:\06%20&#39640;&#31471;&#20219;&#21153;\&#20840;&#29699;&#30740;&#21457;&#25237;&#20837;&#20998;&#26512;\&#36816;&#33829;&#21830;&#25968;&#25454;.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D:\06%20&#39640;&#31471;&#20219;&#21153;\&#20840;&#29699;&#30740;&#21457;&#25237;&#20837;&#20998;&#26512;\&#36816;&#33829;&#21830;&#25968;&#25454;.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D:\06%20&#39640;&#31471;&#20219;&#21153;\&#20840;&#29699;&#30740;&#21457;&#25237;&#20837;&#20998;&#26512;\&#36816;&#33829;&#21830;&#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[运营商数据.xlsx]中美!$S$10</c:f>
              <c:strCache>
                <c:ptCount val="1"/>
                <c:pt idx="0">
                  <c:v>中国</c:v>
                </c:pt>
              </c:strCache>
            </c:strRef>
          </c:tx>
          <c:spPr>
            <a:ln w="28575" cap="flat" cmpd="sng">
              <a:solidFill>
                <a:schemeClr val="accent1"/>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[运营商数据.xlsx]中美!$T$1:$V$1</c:f>
              <c:numCache>
                <c:formatCode>General</c:formatCode>
                <c:ptCount val="3"/>
                <c:pt idx="0">
                  <c:v>2013</c:v>
                </c:pt>
                <c:pt idx="1">
                  <c:v>2018</c:v>
                </c:pt>
                <c:pt idx="2">
                  <c:v>2023</c:v>
                </c:pt>
              </c:numCache>
            </c:numRef>
          </c:cat>
          <c:val>
            <c:numRef>
              <c:f>[运营商数据.xlsx]中美!$T$10:$V$10</c:f>
              <c:numCache>
                <c:formatCode>0.0%</c:formatCode>
                <c:ptCount val="3"/>
                <c:pt idx="0">
                  <c:v>0.0408586387434555</c:v>
                </c:pt>
                <c:pt idx="1">
                  <c:v>0.130284321400612</c:v>
                </c:pt>
                <c:pt idx="2">
                  <c:v>0.128250740859272</c:v>
                </c:pt>
              </c:numCache>
            </c:numRef>
          </c:val>
          <c:smooth val="0"/>
        </c:ser>
        <c:ser>
          <c:idx val="1"/>
          <c:order val="1"/>
          <c:tx>
            <c:strRef>
              <c:f>[运营商数据.xlsx]中美!$S$11</c:f>
              <c:strCache>
                <c:ptCount val="1"/>
                <c:pt idx="0">
                  <c:v>美国</c:v>
                </c:pt>
              </c:strCache>
            </c:strRef>
          </c:tx>
          <c:spPr>
            <a:ln w="28575" cap="rnd">
              <a:solidFill>
                <a:schemeClr val="accent2"/>
              </a:solidFill>
              <a:round/>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[运营商数据.xlsx]中美!$T$1:$V$1</c:f>
              <c:numCache>
                <c:formatCode>General</c:formatCode>
                <c:ptCount val="3"/>
                <c:pt idx="0">
                  <c:v>2013</c:v>
                </c:pt>
                <c:pt idx="1">
                  <c:v>2018</c:v>
                </c:pt>
                <c:pt idx="2">
                  <c:v>2023</c:v>
                </c:pt>
              </c:numCache>
            </c:numRef>
          </c:cat>
          <c:val>
            <c:numRef>
              <c:f>[运营商数据.xlsx]中美!$T$11:$V$11</c:f>
              <c:numCache>
                <c:formatCode>0.0%</c:formatCode>
                <c:ptCount val="3"/>
                <c:pt idx="0">
                  <c:v>0.755853403141361</c:v>
                </c:pt>
                <c:pt idx="1">
                  <c:v>0.722519749484023</c:v>
                </c:pt>
                <c:pt idx="2">
                  <c:v>0.747883407661711</c:v>
                </c:pt>
              </c:numCache>
            </c:numRef>
          </c:val>
          <c:smooth val="0"/>
        </c:ser>
        <c:dLbls>
          <c:showLegendKey val="0"/>
          <c:showVal val="1"/>
          <c:showCatName val="0"/>
          <c:showSerName val="0"/>
          <c:showPercent val="0"/>
          <c:showBubbleSize val="0"/>
        </c:dLbls>
        <c:dropLines>
          <c:spPr>
            <a:ln w="9525" cap="flat" cmpd="sng" algn="ctr">
              <a:gradFill>
                <a:gsLst>
                  <a:gs pos="0">
                    <a:schemeClr val="accent1"/>
                  </a:gs>
                  <a:gs pos="100000">
                    <a:schemeClr val="bg1"/>
                  </a:gs>
                </a:gsLst>
                <a:lin ang="5400000" scaled="1"/>
              </a:gradFill>
              <a:round/>
            </a:ln>
            <a:effectLst/>
          </c:spPr>
        </c:dropLines>
        <c:marker val="0"/>
        <c:smooth val="0"/>
        <c:axId val="85244846"/>
        <c:axId val="217636296"/>
      </c:lineChart>
      <c:catAx>
        <c:axId val="85244846"/>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217636296"/>
        <c:crosses val="autoZero"/>
        <c:auto val="1"/>
        <c:lblAlgn val="ctr"/>
        <c:lblOffset val="100"/>
        <c:noMultiLvlLbl val="0"/>
      </c:catAx>
      <c:valAx>
        <c:axId val="217636296"/>
        <c:scaling>
          <c:orientation val="minMax"/>
        </c:scaling>
        <c:delete val="1"/>
        <c:axPos val="l"/>
        <c:numFmt formatCode="0.0%"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85244846"/>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934f0b91-319d-4624-b1d8-aeaa3bb90825}"/>
      </c:ext>
    </c:extLst>
  </c:chart>
  <c:spPr>
    <a:solidFill>
      <a:schemeClr val="bg1"/>
    </a:solidFill>
    <a:ln w="6350" cap="flat" cmpd="sng" algn="ctr">
      <a:no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[运营商数据.xlsx]中美!$S$2</c:f>
              <c:strCache>
                <c:ptCount val="1"/>
                <c:pt idx="0">
                  <c:v>中国</c:v>
                </c:pt>
              </c:strCache>
            </c:strRef>
          </c:tx>
          <c:spPr>
            <a:ln w="28575" cap="flat" cmpd="sng">
              <a:solidFill>
                <a:schemeClr val="accent1"/>
              </a:solidFill>
              <a:prstDash val="solid"/>
              <a:miter lim="800000"/>
            </a:ln>
            <a:effectLst/>
          </c:spPr>
          <c:marker>
            <c:symbol val="none"/>
          </c:marker>
          <c:dLbls>
            <c:dLbl>
              <c:idx val="0"/>
              <c:layout>
                <c:manualLayout>
                  <c:x val="0.00871313672922252"/>
                  <c:y val="0.173640167364017"/>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
                  <c:y val="0.177126917712692"/>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361930294906166"/>
                  <c:y val="0.157601115760112"/>
                </c:manualLayout>
              </c:layout>
              <c:dLblPos val="t"/>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[运营商数据.xlsx]中美!$T$1:$V$1</c:f>
              <c:numCache>
                <c:formatCode>General</c:formatCode>
                <c:ptCount val="3"/>
                <c:pt idx="0">
                  <c:v>2013</c:v>
                </c:pt>
                <c:pt idx="1">
                  <c:v>2018</c:v>
                </c:pt>
                <c:pt idx="2">
                  <c:v>2023</c:v>
                </c:pt>
              </c:numCache>
            </c:numRef>
          </c:cat>
          <c:val>
            <c:numRef>
              <c:f>[运营商数据.xlsx]中美!$T$2:$V$2</c:f>
              <c:numCache>
                <c:formatCode>0.0%</c:formatCode>
                <c:ptCount val="3"/>
                <c:pt idx="0">
                  <c:v>0.0969296502384738</c:v>
                </c:pt>
                <c:pt idx="1">
                  <c:v>0.0992047363572319</c:v>
                </c:pt>
                <c:pt idx="2">
                  <c:v>0.096175364121169</c:v>
                </c:pt>
              </c:numCache>
            </c:numRef>
          </c:val>
          <c:smooth val="0"/>
        </c:ser>
        <c:ser>
          <c:idx val="1"/>
          <c:order val="1"/>
          <c:tx>
            <c:strRef>
              <c:f>[运营商数据.xlsx]中美!$S$3</c:f>
              <c:strCache>
                <c:ptCount val="1"/>
                <c:pt idx="0">
                  <c:v>美国</c:v>
                </c:pt>
              </c:strCache>
            </c:strRef>
          </c:tx>
          <c:spPr>
            <a:ln w="28575" cap="rnd">
              <a:solidFill>
                <a:schemeClr val="accent2"/>
              </a:solidFill>
              <a:round/>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[运营商数据.xlsx]中美!$T$1:$V$1</c:f>
              <c:numCache>
                <c:formatCode>General</c:formatCode>
                <c:ptCount val="3"/>
                <c:pt idx="0">
                  <c:v>2013</c:v>
                </c:pt>
                <c:pt idx="1">
                  <c:v>2018</c:v>
                </c:pt>
                <c:pt idx="2">
                  <c:v>2023</c:v>
                </c:pt>
              </c:numCache>
            </c:numRef>
          </c:cat>
          <c:val>
            <c:numRef>
              <c:f>[运营商数据.xlsx]中美!$T$3:$V$3</c:f>
              <c:numCache>
                <c:formatCode>0.0%</c:formatCode>
                <c:ptCount val="3"/>
                <c:pt idx="0">
                  <c:v>0.122601771835426</c:v>
                </c:pt>
                <c:pt idx="1">
                  <c:v>0.151397994582876</c:v>
                </c:pt>
                <c:pt idx="2">
                  <c:v>0.165584792038973</c:v>
                </c:pt>
              </c:numCache>
            </c:numRef>
          </c:val>
          <c:smooth val="0"/>
        </c:ser>
        <c:ser>
          <c:idx val="2"/>
          <c:order val="2"/>
          <c:tx>
            <c:strRef>
              <c:f>[运营商数据.xlsx]中美!$S$4</c:f>
              <c:strCache>
                <c:ptCount val="1"/>
                <c:pt idx="0">
                  <c:v>全球平均</c:v>
                </c:pt>
              </c:strCache>
            </c:strRef>
          </c:tx>
          <c:spPr>
            <a:ln w="12700" cap="rnd" cmpd="sng">
              <a:solidFill>
                <a:srgbClr val="A5A5A5"/>
              </a:solidFill>
              <a:prstDash val="lgDash"/>
              <a:round/>
            </a:ln>
            <a:effectLst/>
            <a:sp3d contourW="12700"/>
          </c:spPr>
          <c:marker>
            <c:symbol val="none"/>
          </c:marker>
          <c:dLbls>
            <c:dLbl>
              <c:idx val="0"/>
              <c:layout>
                <c:manualLayout>
                  <c:x val="-0.0407506702412869"/>
                  <c:y val="0.0836820083682008"/>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98391420911528"/>
                  <c:y val="0.0320781032078103"/>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419571045576407"/>
                  <c:y val="0.0934449093444909"/>
                </c:manualLayout>
              </c:layout>
              <c:dLblPos val="t"/>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bg1">
                        <a:lumMod val="50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[运营商数据.xlsx]中美!$T$1:$V$1</c:f>
              <c:numCache>
                <c:formatCode>General</c:formatCode>
                <c:ptCount val="3"/>
                <c:pt idx="0">
                  <c:v>2013</c:v>
                </c:pt>
                <c:pt idx="1">
                  <c:v>2018</c:v>
                </c:pt>
                <c:pt idx="2">
                  <c:v>2023</c:v>
                </c:pt>
              </c:numCache>
            </c:numRef>
          </c:cat>
          <c:val>
            <c:numRef>
              <c:f>[运营商数据.xlsx]中美!$T$4:$V$4</c:f>
              <c:numCache>
                <c:formatCode>0.0%</c:formatCode>
                <c:ptCount val="3"/>
                <c:pt idx="0">
                  <c:v>0.104495837673649</c:v>
                </c:pt>
                <c:pt idx="1">
                  <c:v>0.11862677122809</c:v>
                </c:pt>
                <c:pt idx="2">
                  <c:v>0.142777115451147</c:v>
                </c:pt>
              </c:numCache>
            </c:numRef>
          </c:val>
          <c:smooth val="0"/>
        </c:ser>
        <c:dLbls>
          <c:showLegendKey val="0"/>
          <c:showVal val="1"/>
          <c:showCatName val="0"/>
          <c:showSerName val="0"/>
          <c:showPercent val="0"/>
          <c:showBubbleSize val="0"/>
        </c:dLbls>
        <c:dropLines>
          <c:spPr>
            <a:ln w="9525" cap="flat" cmpd="sng" algn="ctr">
              <a:gradFill>
                <a:gsLst>
                  <a:gs pos="0">
                    <a:schemeClr val="accent1"/>
                  </a:gs>
                  <a:gs pos="100000">
                    <a:schemeClr val="bg1"/>
                  </a:gs>
                </a:gsLst>
                <a:lin ang="5400000" scaled="1"/>
              </a:gradFill>
              <a:round/>
            </a:ln>
            <a:effectLst/>
          </c:spPr>
        </c:dropLines>
        <c:marker val="0"/>
        <c:smooth val="0"/>
        <c:axId val="85244846"/>
        <c:axId val="217636296"/>
      </c:lineChart>
      <c:catAx>
        <c:axId val="85244846"/>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217636296"/>
        <c:crosses val="autoZero"/>
        <c:auto val="1"/>
        <c:lblAlgn val="ctr"/>
        <c:lblOffset val="100"/>
        <c:noMultiLvlLbl val="0"/>
      </c:catAx>
      <c:valAx>
        <c:axId val="217636296"/>
        <c:scaling>
          <c:orientation val="minMax"/>
        </c:scaling>
        <c:delete val="1"/>
        <c:axPos val="l"/>
        <c:numFmt formatCode="0.0%"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85244846"/>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ba1c01aa-26cc-4c70-8a17-6ecc960f3619}"/>
      </c:ext>
    </c:extLst>
  </c:chart>
  <c:spPr>
    <a:solidFill>
      <a:schemeClr val="bg1"/>
    </a:solidFill>
    <a:ln w="6350" cap="flat" cmpd="sng" algn="ctr">
      <a:no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'[运营商数据.xlsx]中美-技术与硬件'!$N$9</c:f>
              <c:strCache>
                <c:ptCount val="1"/>
                <c:pt idx="0">
                  <c:v>中国</c:v>
                </c:pt>
              </c:strCache>
            </c:strRef>
          </c:tx>
          <c:spPr>
            <a:ln w="28575" cap="flat" cmpd="sng">
              <a:solidFill>
                <a:schemeClr val="accent1"/>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'[运营商数据.xlsx]中美-技术与硬件'!$O$8:$Q$8</c:f>
              <c:numCache>
                <c:formatCode>General</c:formatCode>
                <c:ptCount val="3"/>
                <c:pt idx="0">
                  <c:v>2013</c:v>
                </c:pt>
                <c:pt idx="1">
                  <c:v>2018</c:v>
                </c:pt>
                <c:pt idx="2">
                  <c:v>2023</c:v>
                </c:pt>
              </c:numCache>
            </c:numRef>
          </c:cat>
          <c:val>
            <c:numRef>
              <c:f>'[运营商数据.xlsx]中美-技术与硬件'!$O$9:$Q$9</c:f>
              <c:numCache>
                <c:formatCode>0.0%</c:formatCode>
                <c:ptCount val="3"/>
                <c:pt idx="0">
                  <c:v>0.0765199288299302</c:v>
                </c:pt>
                <c:pt idx="1">
                  <c:v>0.1483753639138</c:v>
                </c:pt>
                <c:pt idx="2">
                  <c:v>0.180155927699892</c:v>
                </c:pt>
              </c:numCache>
            </c:numRef>
          </c:val>
          <c:smooth val="0"/>
        </c:ser>
        <c:ser>
          <c:idx val="1"/>
          <c:order val="1"/>
          <c:tx>
            <c:strRef>
              <c:f>'[运营商数据.xlsx]中美-技术与硬件'!$N$10</c:f>
              <c:strCache>
                <c:ptCount val="1"/>
                <c:pt idx="0">
                  <c:v>美国</c:v>
                </c:pt>
              </c:strCache>
            </c:strRef>
          </c:tx>
          <c:spPr>
            <a:ln w="28575" cap="rnd">
              <a:solidFill>
                <a:schemeClr val="accent2"/>
              </a:solidFill>
              <a:round/>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'[运营商数据.xlsx]中美-技术与硬件'!$O$8:$Q$8</c:f>
              <c:numCache>
                <c:formatCode>General</c:formatCode>
                <c:ptCount val="3"/>
                <c:pt idx="0">
                  <c:v>2013</c:v>
                </c:pt>
                <c:pt idx="1">
                  <c:v>2018</c:v>
                </c:pt>
                <c:pt idx="2">
                  <c:v>2023</c:v>
                </c:pt>
              </c:numCache>
            </c:numRef>
          </c:cat>
          <c:val>
            <c:numRef>
              <c:f>'[运营商数据.xlsx]中美-技术与硬件'!$O$10:$Q$10</c:f>
              <c:numCache>
                <c:formatCode>0.0%</c:formatCode>
                <c:ptCount val="3"/>
                <c:pt idx="0">
                  <c:v>0.569614737530108</c:v>
                </c:pt>
                <c:pt idx="1">
                  <c:v>0.569149475886076</c:v>
                </c:pt>
                <c:pt idx="2">
                  <c:v>0.562573356441133</c:v>
                </c:pt>
              </c:numCache>
            </c:numRef>
          </c:val>
          <c:smooth val="0"/>
        </c:ser>
        <c:dLbls>
          <c:showLegendKey val="0"/>
          <c:showVal val="1"/>
          <c:showCatName val="0"/>
          <c:showSerName val="0"/>
          <c:showPercent val="0"/>
          <c:showBubbleSize val="0"/>
        </c:dLbls>
        <c:dropLines>
          <c:spPr>
            <a:ln w="9525" cap="flat" cmpd="sng" algn="ctr">
              <a:gradFill>
                <a:gsLst>
                  <a:gs pos="0">
                    <a:schemeClr val="accent1"/>
                  </a:gs>
                  <a:gs pos="100000">
                    <a:schemeClr val="bg1"/>
                  </a:gs>
                </a:gsLst>
                <a:lin ang="5400000" scaled="1"/>
              </a:gradFill>
              <a:round/>
            </a:ln>
            <a:effectLst/>
          </c:spPr>
        </c:dropLines>
        <c:marker val="0"/>
        <c:smooth val="0"/>
        <c:axId val="242081268"/>
        <c:axId val="320013298"/>
      </c:lineChart>
      <c:catAx>
        <c:axId val="242081268"/>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20013298"/>
        <c:crosses val="autoZero"/>
        <c:auto val="1"/>
        <c:lblAlgn val="ctr"/>
        <c:lblOffset val="100"/>
        <c:noMultiLvlLbl val="0"/>
      </c:catAx>
      <c:valAx>
        <c:axId val="320013298"/>
        <c:scaling>
          <c:orientation val="minMax"/>
        </c:scaling>
        <c:delete val="1"/>
        <c:axPos val="l"/>
        <c:numFmt formatCode="0.0%"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242081268"/>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0da74038-89d2-4cef-b9e2-99ebcdbeff18}"/>
      </c:ext>
    </c:extLst>
  </c:chart>
  <c:spPr>
    <a:solidFill>
      <a:schemeClr val="bg1"/>
    </a:solidFill>
    <a:ln w="6350" cap="flat" cmpd="sng" algn="ctr">
      <a:no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'[运营商数据.xlsx]中美-技术与硬件'!$N$2</c:f>
              <c:strCache>
                <c:ptCount val="1"/>
                <c:pt idx="0">
                  <c:v>中国</c:v>
                </c:pt>
              </c:strCache>
            </c:strRef>
          </c:tx>
          <c:spPr>
            <a:ln w="28575" cap="flat" cmpd="sng">
              <a:solidFill>
                <a:schemeClr val="accent1"/>
              </a:solidFill>
              <a:prstDash val="solid"/>
              <a:miter lim="800000"/>
            </a:ln>
            <a:effectLst/>
          </c:spPr>
          <c:marker>
            <c:symbol val="none"/>
          </c:marker>
          <c:dLbls>
            <c:dLbl>
              <c:idx val="0"/>
              <c:layout>
                <c:manualLayout>
                  <c:x val="0.00621939923249967"/>
                  <c:y val="0.182267749911692"/>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119094878920206"/>
                  <c:y val="0.179441893323914"/>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79224560010586"/>
                  <c:y val="0.208760155422112"/>
                </c:manualLayout>
              </c:layout>
              <c:dLblPos val="t"/>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'[运营商数据.xlsx]中美-技术与硬件'!$O$1:$Q$1</c:f>
              <c:numCache>
                <c:formatCode>General</c:formatCode>
                <c:ptCount val="3"/>
                <c:pt idx="0">
                  <c:v>2013</c:v>
                </c:pt>
                <c:pt idx="1">
                  <c:v>2018</c:v>
                </c:pt>
                <c:pt idx="2">
                  <c:v>2023</c:v>
                </c:pt>
              </c:numCache>
            </c:numRef>
          </c:cat>
          <c:val>
            <c:numRef>
              <c:f>'[运营商数据.xlsx]中美-技术与硬件'!$O$2:$Q$2</c:f>
              <c:numCache>
                <c:formatCode>0.0%</c:formatCode>
                <c:ptCount val="3"/>
                <c:pt idx="0">
                  <c:v>0.0466365198917077</c:v>
                </c:pt>
                <c:pt idx="1">
                  <c:v>0.067737061900486</c:v>
                </c:pt>
                <c:pt idx="2">
                  <c:v>0.0983531015678255</c:v>
                </c:pt>
              </c:numCache>
            </c:numRef>
          </c:val>
          <c:smooth val="0"/>
        </c:ser>
        <c:ser>
          <c:idx val="1"/>
          <c:order val="1"/>
          <c:tx>
            <c:strRef>
              <c:f>'[运营商数据.xlsx]中美-技术与硬件'!$N$3</c:f>
              <c:strCache>
                <c:ptCount val="1"/>
                <c:pt idx="0">
                  <c:v>美国</c:v>
                </c:pt>
              </c:strCache>
            </c:strRef>
          </c:tx>
          <c:spPr>
            <a:ln w="28575" cap="rnd">
              <a:solidFill>
                <a:schemeClr val="accent2"/>
              </a:solidFill>
              <a:round/>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'[运营商数据.xlsx]中美-技术与硬件'!$O$1:$Q$1</c:f>
              <c:numCache>
                <c:formatCode>General</c:formatCode>
                <c:ptCount val="3"/>
                <c:pt idx="0">
                  <c:v>2013</c:v>
                </c:pt>
                <c:pt idx="1">
                  <c:v>2018</c:v>
                </c:pt>
                <c:pt idx="2">
                  <c:v>2023</c:v>
                </c:pt>
              </c:numCache>
            </c:numRef>
          </c:cat>
          <c:val>
            <c:numRef>
              <c:f>'[运营商数据.xlsx]中美-技术与硬件'!$O$3:$Q$3</c:f>
              <c:numCache>
                <c:formatCode>0.0%</c:formatCode>
                <c:ptCount val="3"/>
                <c:pt idx="0">
                  <c:v>0.0892391885588158</c:v>
                </c:pt>
                <c:pt idx="1">
                  <c:v>0.0962231236358934</c:v>
                </c:pt>
                <c:pt idx="2">
                  <c:v>0.112903532977767</c:v>
                </c:pt>
              </c:numCache>
            </c:numRef>
          </c:val>
          <c:smooth val="0"/>
        </c:ser>
        <c:ser>
          <c:idx val="2"/>
          <c:order val="2"/>
          <c:tx>
            <c:strRef>
              <c:f>'[运营商数据.xlsx]中美-技术与硬件'!$N$4</c:f>
              <c:strCache>
                <c:ptCount val="1"/>
                <c:pt idx="0">
                  <c:v>全球平均</c:v>
                </c:pt>
              </c:strCache>
            </c:strRef>
          </c:tx>
          <c:spPr>
            <a:ln w="12700" cap="rnd" cmpd="sng">
              <a:solidFill>
                <a:srgbClr val="A5A5A5"/>
              </a:solidFill>
              <a:prstDash val="lgDash"/>
              <a:round/>
            </a:ln>
            <a:effectLst/>
            <a:sp3d contourW="12700"/>
          </c:spPr>
          <c:marker>
            <c:symbol val="none"/>
          </c:marker>
          <c:dLbls>
            <c:dLbl>
              <c:idx val="0"/>
              <c:layout>
                <c:manualLayout>
                  <c:x val="-0.0451237263464338"/>
                  <c:y val="0.10420346167432"/>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83935424110097"/>
                  <c:y val="0.133874955845991"/>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367870848220193"/>
                  <c:y val="0.078064288237372"/>
                </c:manualLayout>
              </c:layout>
              <c:dLblPos val="t"/>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bg1">
                        <a:lumMod val="50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'[运营商数据.xlsx]中美-技术与硬件'!$O$1:$Q$1</c:f>
              <c:numCache>
                <c:formatCode>General</c:formatCode>
                <c:ptCount val="3"/>
                <c:pt idx="0">
                  <c:v>2013</c:v>
                </c:pt>
                <c:pt idx="1">
                  <c:v>2018</c:v>
                </c:pt>
                <c:pt idx="2">
                  <c:v>2023</c:v>
                </c:pt>
              </c:numCache>
            </c:numRef>
          </c:cat>
          <c:val>
            <c:numRef>
              <c:f>'[运营商数据.xlsx]中美-技术与硬件'!$O$4:$Q$4</c:f>
              <c:numCache>
                <c:formatCode>0.0%</c:formatCode>
                <c:ptCount val="3"/>
                <c:pt idx="0">
                  <c:v>0.079337673175149</c:v>
                </c:pt>
                <c:pt idx="1">
                  <c:v>0.0834093399242603</c:v>
                </c:pt>
                <c:pt idx="2">
                  <c:v>0.103996106528214</c:v>
                </c:pt>
              </c:numCache>
            </c:numRef>
          </c:val>
          <c:smooth val="0"/>
        </c:ser>
        <c:dLbls>
          <c:showLegendKey val="0"/>
          <c:showVal val="1"/>
          <c:showCatName val="0"/>
          <c:showSerName val="0"/>
          <c:showPercent val="0"/>
          <c:showBubbleSize val="0"/>
        </c:dLbls>
        <c:dropLines>
          <c:spPr>
            <a:ln w="9525" cap="flat" cmpd="sng" algn="ctr">
              <a:gradFill>
                <a:gsLst>
                  <a:gs pos="0">
                    <a:schemeClr val="accent1"/>
                  </a:gs>
                  <a:gs pos="100000">
                    <a:schemeClr val="bg1"/>
                  </a:gs>
                </a:gsLst>
                <a:lin ang="5400000" scaled="1"/>
              </a:gradFill>
              <a:round/>
            </a:ln>
            <a:effectLst/>
          </c:spPr>
        </c:dropLines>
        <c:marker val="0"/>
        <c:smooth val="0"/>
        <c:axId val="344128420"/>
        <c:axId val="578292543"/>
      </c:lineChart>
      <c:catAx>
        <c:axId val="344128420"/>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578292543"/>
        <c:crosses val="autoZero"/>
        <c:auto val="1"/>
        <c:lblAlgn val="ctr"/>
        <c:lblOffset val="100"/>
        <c:noMultiLvlLbl val="0"/>
      </c:catAx>
      <c:valAx>
        <c:axId val="578292543"/>
        <c:scaling>
          <c:orientation val="minMax"/>
        </c:scaling>
        <c:delete val="1"/>
        <c:axPos val="l"/>
        <c:numFmt formatCode="0.0%"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4128420"/>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b9302950-23d5-4d3d-83e3-05aeefb6020f}"/>
      </c:ext>
    </c:extLst>
  </c:chart>
  <c:spPr>
    <a:solidFill>
      <a:schemeClr val="bg1"/>
    </a:solidFill>
    <a:ln w="6350" cap="flat" cmpd="sng" algn="ctr">
      <a:no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3291169738586"/>
          <c:y val="0.139229160442187"/>
          <c:w val="0.843127334056138"/>
          <c:h val="0.733432925007469"/>
        </c:manualLayout>
      </c:layout>
      <c:lineChart>
        <c:grouping val="standard"/>
        <c:varyColors val="0"/>
        <c:ser>
          <c:idx val="0"/>
          <c:order val="0"/>
          <c:tx>
            <c:strRef>
              <c:f>[运营商数据.xlsx]头部企业!$B$1</c:f>
              <c:strCache>
                <c:ptCount val="1"/>
                <c:pt idx="0">
                  <c:v>谷歌</c:v>
                </c:pt>
              </c:strCache>
            </c:strRef>
          </c:tx>
          <c:spPr>
            <a:ln w="28575" cap="rnd" cmpd="sng">
              <a:solidFill>
                <a:schemeClr val="accent1"/>
              </a:solidFill>
              <a:prstDash val="solid"/>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layout>
                <c:manualLayout>
                  <c:x val="0"/>
                  <c:y val="-0.00344780254112501"/>
                </c:manualLayout>
              </c:layout>
              <c:dLblPos val="r"/>
              <c:showLegendKey val="0"/>
              <c:showVal val="1"/>
              <c:showCatName val="0"/>
              <c:showSerName val="1"/>
              <c:showPercent val="0"/>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[运营商数据.xlsx]头部企业!$A$2:$A$12</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[运营商数据.xlsx]头部企业!$B$2:$B$12</c:f>
              <c:numCache>
                <c:formatCode>0%</c:formatCode>
                <c:ptCount val="11"/>
                <c:pt idx="0">
                  <c:v>0.142473747717968</c:v>
                </c:pt>
                <c:pt idx="1">
                  <c:v>0.148967439881139</c:v>
                </c:pt>
                <c:pt idx="2">
                  <c:v>0.160476869940925</c:v>
                </c:pt>
                <c:pt idx="3">
                  <c:v>0.150212690535271</c:v>
                </c:pt>
                <c:pt idx="4">
                  <c:v>0.144837851247125</c:v>
                </c:pt>
                <c:pt idx="5">
                  <c:v>0.152902740116504</c:v>
                </c:pt>
                <c:pt idx="6">
                  <c:v>0.160746832080169</c:v>
                </c:pt>
                <c:pt idx="7">
                  <c:v>0.151062582522037</c:v>
                </c:pt>
                <c:pt idx="8">
                  <c:v>0.122505695998634</c:v>
                </c:pt>
                <c:pt idx="9">
                  <c:v>0.139656903647343</c:v>
                </c:pt>
                <c:pt idx="10">
                  <c:v>0.142192105246036</c:v>
                </c:pt>
              </c:numCache>
            </c:numRef>
          </c:val>
          <c:smooth val="1"/>
        </c:ser>
        <c:ser>
          <c:idx val="1"/>
          <c:order val="1"/>
          <c:tx>
            <c:strRef>
              <c:f>[运营商数据.xlsx]头部企业!$F$1</c:f>
              <c:strCache>
                <c:ptCount val="1"/>
                <c:pt idx="0">
                  <c:v>微软</c:v>
                </c:pt>
              </c:strCache>
            </c:strRef>
          </c:tx>
          <c:spPr>
            <a:ln w="28575" cap="rnd" cmpd="sng">
              <a:solidFill>
                <a:schemeClr val="accent2"/>
              </a:solidFill>
              <a:prstDash val="solid"/>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layout>
                <c:manualLayout>
                  <c:x val="0"/>
                  <c:y val="0.0180238121828956"/>
                </c:manualLayout>
              </c:layout>
              <c:dLblPos val="r"/>
              <c:showLegendKey val="0"/>
              <c:showVal val="1"/>
              <c:showCatName val="0"/>
              <c:showSerName val="1"/>
              <c:showPercent val="0"/>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[运营商数据.xlsx]头部企业!$A$2:$A$12</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[运营商数据.xlsx]头部企业!$F$2:$F$12</c:f>
              <c:numCache>
                <c:formatCode>0%</c:formatCode>
                <c:ptCount val="11"/>
                <c:pt idx="0">
                  <c:v>0.131067681641772</c:v>
                </c:pt>
                <c:pt idx="1">
                  <c:v>0.128724086343236</c:v>
                </c:pt>
                <c:pt idx="2">
                  <c:v>0.131513702086579</c:v>
                </c:pt>
                <c:pt idx="3">
                  <c:v>0.134999119818579</c:v>
                </c:pt>
                <c:pt idx="4">
                  <c:v>0.133436027546213</c:v>
                </c:pt>
                <c:pt idx="5">
                  <c:v>0.134103605285952</c:v>
                </c:pt>
                <c:pt idx="6">
                  <c:v>0.134734118798727</c:v>
                </c:pt>
                <c:pt idx="7">
                  <c:v>0.123244966922089</c:v>
                </c:pt>
                <c:pt idx="8">
                  <c:v>0.123629394260352</c:v>
                </c:pt>
                <c:pt idx="9">
                  <c:v>0.128329754854541</c:v>
                </c:pt>
                <c:pt idx="10">
                  <c:v>0.120389030768352</c:v>
                </c:pt>
              </c:numCache>
            </c:numRef>
          </c:val>
          <c:smooth val="1"/>
        </c:ser>
        <c:ser>
          <c:idx val="2"/>
          <c:order val="2"/>
          <c:tx>
            <c:strRef>
              <c:f>[运营商数据.xlsx]头部企业!$J$1</c:f>
              <c:strCache>
                <c:ptCount val="1"/>
                <c:pt idx="0">
                  <c:v>meta</c:v>
                </c:pt>
              </c:strCache>
            </c:strRef>
          </c:tx>
          <c:spPr>
            <a:ln w="28575" cap="rnd" cmpd="sng">
              <a:solidFill>
                <a:schemeClr val="accent3"/>
              </a:solidFill>
              <a:prstDash val="solid"/>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layout>
                <c:manualLayout>
                  <c:x val="0"/>
                  <c:y val="-0.014170864369123"/>
                </c:manualLayout>
              </c:layout>
              <c:tx>
                <c:rich>
                  <a:bodyPr rot="0" spcFirstLastPara="0" vertOverflow="ellipsis" vert="horz" wrap="square" lIns="38100" tIns="19050" rIns="38100" bIns="19050" anchor="ctr" anchorCtr="1"/>
                  <a:lstStyle/>
                  <a:p>
                    <a:pPr defTabSz="914400">
                      <a:defRPr lang="zh-CN" sz="9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sz="900"/>
                      <a:t>M</a:t>
                    </a:r>
                    <a:r>
                      <a:rPr sz="900"/>
                      <a:t>eta, 27%</a:t>
                    </a:r>
                    <a:endParaRPr sz="900"/>
                  </a:p>
                </c:rich>
              </c:tx>
              <c:dLblPos val="r"/>
              <c:showLegendKey val="0"/>
              <c:showVal val="1"/>
              <c:showCatName val="0"/>
              <c:showSerName val="1"/>
              <c:showPercent val="0"/>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[运营商数据.xlsx]头部企业!$A$2:$A$12</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[运营商数据.xlsx]头部企业!$J$2:$J$12</c:f>
              <c:numCache>
                <c:formatCode>0%</c:formatCode>
                <c:ptCount val="11"/>
                <c:pt idx="0">
                  <c:v>0.179751016260163</c:v>
                </c:pt>
                <c:pt idx="1">
                  <c:v>0.21386170383443</c:v>
                </c:pt>
                <c:pt idx="2">
                  <c:v>0.268630075858991</c:v>
                </c:pt>
                <c:pt idx="3">
                  <c:v>0.21416166148057</c:v>
                </c:pt>
                <c:pt idx="4">
                  <c:v>0.19073623102846</c:v>
                </c:pt>
                <c:pt idx="5">
                  <c:v>0.183978652530535</c:v>
                </c:pt>
                <c:pt idx="6">
                  <c:v>0.192370256163628</c:v>
                </c:pt>
                <c:pt idx="7">
                  <c:v>0.214587332053743</c:v>
                </c:pt>
                <c:pt idx="8">
                  <c:v>0.209066472199374</c:v>
                </c:pt>
                <c:pt idx="9">
                  <c:v>0.288305362364826</c:v>
                </c:pt>
                <c:pt idx="10">
                  <c:v>0.27048524113801</c:v>
                </c:pt>
              </c:numCache>
            </c:numRef>
          </c:val>
          <c:smooth val="1"/>
        </c:ser>
        <c:ser>
          <c:idx val="3"/>
          <c:order val="3"/>
          <c:tx>
            <c:strRef>
              <c:f>[运营商数据.xlsx]头部企业!$N$1</c:f>
              <c:strCache>
                <c:ptCount val="1"/>
                <c:pt idx="0">
                  <c:v>apple</c:v>
                </c:pt>
              </c:strCache>
            </c:strRef>
          </c:tx>
          <c:spPr>
            <a:ln w="28575" cap="rnd" cmpd="sng">
              <a:solidFill>
                <a:schemeClr val="accent4"/>
              </a:solidFill>
              <a:prstDash val="solid"/>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layout>
                <c:manualLayout>
                  <c:x val="0"/>
                  <c:y val="0.00224375634932113"/>
                </c:manualLayout>
              </c:layout>
              <c:tx>
                <c:rich>
                  <a:bodyPr rot="0" spcFirstLastPara="0" vertOverflow="ellipsis" vert="horz" wrap="square" lIns="38100" tIns="19050" rIns="38100" bIns="19050" anchor="ctr" anchorCtr="1"/>
                  <a:lstStyle/>
                  <a:p>
                    <a:pPr defTabSz="914400">
                      <a:defRPr lang="zh-CN" sz="9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sz="900"/>
                      <a:t>A</a:t>
                    </a:r>
                    <a:r>
                      <a:rPr sz="900"/>
                      <a:t>pple, 8%</a:t>
                    </a:r>
                    <a:endParaRPr sz="900"/>
                  </a:p>
                </c:rich>
              </c:tx>
              <c:dLblPos val="r"/>
              <c:showLegendKey val="0"/>
              <c:showVal val="1"/>
              <c:showCatName val="0"/>
              <c:showSerName val="1"/>
              <c:showPercent val="0"/>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[运营商数据.xlsx]头部企业!$A$2:$A$12</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[运营商数据.xlsx]头部企业!$N$2:$N$12</c:f>
              <c:numCache>
                <c:formatCode>0%</c:formatCode>
                <c:ptCount val="11"/>
                <c:pt idx="0">
                  <c:v>0.0261833713650458</c:v>
                </c:pt>
                <c:pt idx="1">
                  <c:v>0.0330479498892201</c:v>
                </c:pt>
                <c:pt idx="2">
                  <c:v>0.0345163981772671</c:v>
                </c:pt>
                <c:pt idx="3">
                  <c:v>0.0465824827605394</c:v>
                </c:pt>
                <c:pt idx="4">
                  <c:v>0.0505204289067066</c:v>
                </c:pt>
                <c:pt idx="5">
                  <c:v>0.0536004066341611</c:v>
                </c:pt>
                <c:pt idx="6">
                  <c:v>0.0623313628571648</c:v>
                </c:pt>
                <c:pt idx="7">
                  <c:v>0.068309564140393</c:v>
                </c:pt>
                <c:pt idx="8">
                  <c:v>0.0599042690744277</c:v>
                </c:pt>
                <c:pt idx="9">
                  <c:v>0.0665714836379867</c:v>
                </c:pt>
                <c:pt idx="10">
                  <c:v>0.078048971392045</c:v>
                </c:pt>
              </c:numCache>
            </c:numRef>
          </c:val>
          <c:smooth val="1"/>
        </c:ser>
        <c:dLbls>
          <c:showLegendKey val="0"/>
          <c:showVal val="0"/>
          <c:showCatName val="0"/>
          <c:showSerName val="0"/>
          <c:showPercent val="0"/>
          <c:showBubbleSize val="0"/>
        </c:dLbls>
        <c:marker val="0"/>
        <c:smooth val="1"/>
        <c:axId val="99214371"/>
        <c:axId val="421670292"/>
      </c:lineChart>
      <c:catAx>
        <c:axId val="99214371"/>
        <c:scaling>
          <c:orientation val="minMax"/>
        </c:scaling>
        <c:delete val="0"/>
        <c:axPos val="b"/>
        <c:numFmt formatCode="General" sourceLinked="1"/>
        <c:majorTickMark val="none"/>
        <c:minorTickMark val="none"/>
        <c:tickLblPos val="nextTo"/>
        <c:spPr>
          <a:noFill/>
          <a:ln w="9525"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21670292"/>
        <c:crosses val="autoZero"/>
        <c:auto val="1"/>
        <c:lblAlgn val="ctr"/>
        <c:lblOffset val="100"/>
        <c:noMultiLvlLbl val="0"/>
      </c:catAx>
      <c:valAx>
        <c:axId val="421670292"/>
        <c:scaling>
          <c:orientation val="minMax"/>
        </c:scaling>
        <c:delete val="0"/>
        <c:axPos val="l"/>
        <c:majorGridlines>
          <c:spPr>
            <a:ln w="6350" cap="flat" cmpd="sng" algn="ctr">
              <a:solidFill>
                <a:schemeClr val="tx1">
                  <a:lumMod val="50000"/>
                  <a:lumOff val="50000"/>
                  <a:alpha val="20000"/>
                </a:schemeClr>
              </a:solidFill>
              <a:round/>
            </a:ln>
            <a:effectLst/>
          </c:spPr>
        </c:majorGridlines>
        <c:numFmt formatCode="0%" sourceLinked="1"/>
        <c:majorTickMark val="none"/>
        <c:minorTickMark val="none"/>
        <c:tickLblPos val="nextTo"/>
        <c:spPr>
          <a:noFill/>
          <a:ln w="9525"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9214371"/>
        <c:crosses val="autoZero"/>
        <c:crossBetween val="between"/>
      </c:valAx>
      <c:spPr>
        <a:noFill/>
        <a:ln>
          <a:noFill/>
        </a:ln>
        <a:effectLst/>
      </c:spPr>
    </c:plotArea>
    <c:plotVisOnly val="1"/>
    <c:dispBlanksAs val="gap"/>
    <c:showDLblsOverMax val="0"/>
    <c:extLst>
      <c:ext uri="{0b15fc19-7d7d-44ad-8c2d-2c3a37ce22c3}">
        <chartProps xmlns="https://web.wps.cn/et/2018/main" chartId="{4b357739-8a9e-4586-ae14-527d7ab04ace}"/>
      </c:ext>
    </c:extLst>
  </c:chart>
  <c:spPr>
    <a:solidFill>
      <a:schemeClr val="bg1"/>
    </a:solidFill>
    <a:ln w="6350" cap="flat" cmpd="sng" algn="ctr">
      <a:noFill/>
      <a:prstDash val="solid"/>
      <a:round/>
    </a:ln>
    <a:effectLst>
      <a:outerShdw blurRad="63500" dist="37357" dir="2700000" sx="0" sy="0" rotWithShape="0">
        <a:scrgbClr r="0" g="0" b="0"/>
      </a:outerShdw>
    </a:effectLst>
  </c:spPr>
  <c:txPr>
    <a:bodyPr/>
    <a:lstStyle/>
    <a:p>
      <a:pPr>
        <a:defRPr lang="zh-CN" sz="1000" b="1">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44076001452257"/>
          <c:y val="0.145695364238411"/>
          <c:w val="0.854023962241317"/>
          <c:h val="0.738952438290187"/>
        </c:manualLayout>
      </c:layout>
      <c:lineChart>
        <c:grouping val="standard"/>
        <c:varyColors val="0"/>
        <c:ser>
          <c:idx val="0"/>
          <c:order val="0"/>
          <c:tx>
            <c:strRef>
              <c:f>[运营商数据.xlsx]头部企业!$V$1</c:f>
              <c:strCache>
                <c:ptCount val="1"/>
                <c:pt idx="0">
                  <c:v>腾讯</c:v>
                </c:pt>
              </c:strCache>
            </c:strRef>
          </c:tx>
          <c:spPr>
            <a:ln w="28575" cap="rnd" cmpd="sng">
              <a:solidFill>
                <a:schemeClr val="accent1"/>
              </a:solidFill>
              <a:prstDash val="solid"/>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layout/>
              <c:dLblPos val="r"/>
              <c:showLegendKey val="0"/>
              <c:showVal val="1"/>
              <c:showCatName val="0"/>
              <c:showSerName val="1"/>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[运营商数据.xlsx]头部企业!$A$2:$A$12</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[运营商数据.xlsx]头部企业!$V$2:$V$12</c:f>
              <c:numCache>
                <c:formatCode>0%</c:formatCode>
                <c:ptCount val="11"/>
                <c:pt idx="0">
                  <c:v>0.0754835613814582</c:v>
                </c:pt>
                <c:pt idx="1">
                  <c:v>0.0879491206830492</c:v>
                </c:pt>
                <c:pt idx="2">
                  <c:v>0.0808940046166166</c:v>
                </c:pt>
                <c:pt idx="3">
                  <c:v>0.0779594308131238</c:v>
                </c:pt>
                <c:pt idx="4">
                  <c:v>0.07341857334399</c:v>
                </c:pt>
                <c:pt idx="5">
                  <c:v>0.0733496645146482</c:v>
                </c:pt>
                <c:pt idx="6">
                  <c:v>0.080540381499444</c:v>
                </c:pt>
                <c:pt idx="7">
                  <c:v>0.0808440372982921</c:v>
                </c:pt>
                <c:pt idx="8">
                  <c:v>0.0926233400769687</c:v>
                </c:pt>
                <c:pt idx="9">
                  <c:v>0.110721807863626</c:v>
                </c:pt>
                <c:pt idx="10">
                  <c:v>0.105215799282448</c:v>
                </c:pt>
              </c:numCache>
            </c:numRef>
          </c:val>
          <c:smooth val="1"/>
        </c:ser>
        <c:ser>
          <c:idx val="1"/>
          <c:order val="1"/>
          <c:tx>
            <c:strRef>
              <c:f>[运营商数据.xlsx]头部企业!$Z$1</c:f>
              <c:strCache>
                <c:ptCount val="1"/>
                <c:pt idx="0">
                  <c:v>阿里</c:v>
                </c:pt>
              </c:strCache>
            </c:strRef>
          </c:tx>
          <c:spPr>
            <a:ln w="28575" cap="rnd" cmpd="sng">
              <a:solidFill>
                <a:schemeClr val="accent2"/>
              </a:solidFill>
              <a:prstDash val="solid"/>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layout>
                <c:manualLayout>
                  <c:x val="-0.0104134292775488"/>
                  <c:y val="0.00564300564300564"/>
                </c:manualLayout>
              </c:layout>
              <c:dLblPos val="r"/>
              <c:showLegendKey val="0"/>
              <c:showVal val="1"/>
              <c:showCatName val="0"/>
              <c:showSerName val="1"/>
              <c:showPercent val="0"/>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[运营商数据.xlsx]头部企业!$A$2:$A$12</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[运营商数据.xlsx]头部企业!$Z$2:$Z$12</c:f>
              <c:numCache>
                <c:formatCode>0%</c:formatCode>
                <c:ptCount val="11"/>
                <c:pt idx="0">
                  <c:v>0.0970021331368863</c:v>
                </c:pt>
                <c:pt idx="1">
                  <c:v>0.139861424548071</c:v>
                </c:pt>
                <c:pt idx="2">
                  <c:v>0.13632184133058</c:v>
                </c:pt>
                <c:pt idx="3">
                  <c:v>0.10778844146622</c:v>
                </c:pt>
                <c:pt idx="4">
                  <c:v>0.090919261882318</c:v>
                </c:pt>
                <c:pt idx="5">
                  <c:v>0.0993381876842688</c:v>
                </c:pt>
                <c:pt idx="6">
                  <c:v>0.0845184820392973</c:v>
                </c:pt>
                <c:pt idx="7">
                  <c:v>0.0797948943795798</c:v>
                </c:pt>
                <c:pt idx="8">
                  <c:v>0.065018720794624</c:v>
                </c:pt>
                <c:pt idx="9">
                  <c:v>0.0661477399985472</c:v>
                </c:pt>
                <c:pt idx="10">
                  <c:v>0.0555224997024972</c:v>
                </c:pt>
              </c:numCache>
            </c:numRef>
          </c:val>
          <c:smooth val="1"/>
        </c:ser>
        <c:ser>
          <c:idx val="2"/>
          <c:order val="2"/>
          <c:tx>
            <c:strRef>
              <c:f>[运营商数据.xlsx]头部企业!$R$1</c:f>
              <c:strCache>
                <c:ptCount val="1"/>
                <c:pt idx="0">
                  <c:v>华为</c:v>
                </c:pt>
              </c:strCache>
            </c:strRef>
          </c:tx>
          <c:spPr>
            <a:ln w="28575" cap="rnd" cmpd="sng">
              <a:solidFill>
                <a:schemeClr val="accent3"/>
              </a:solidFill>
              <a:prstDash val="solid"/>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layout/>
              <c:dLblPos val="r"/>
              <c:showLegendKey val="0"/>
              <c:showVal val="1"/>
              <c:showCatName val="0"/>
              <c:showSerName val="1"/>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[运营商数据.xlsx]头部企业!$A$2:$A$12</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[运营商数据.xlsx]头部企业!$R$2:$R$12</c:f>
              <c:numCache>
                <c:formatCode>0%</c:formatCode>
                <c:ptCount val="11"/>
                <c:pt idx="0">
                  <c:v>0.126375902083335</c:v>
                </c:pt>
                <c:pt idx="1">
                  <c:v>0.140261695978089</c:v>
                </c:pt>
                <c:pt idx="2">
                  <c:v>0.149535833353667</c:v>
                </c:pt>
                <c:pt idx="3">
                  <c:v>0.145549816511273</c:v>
                </c:pt>
                <c:pt idx="4">
                  <c:v>0.146635057421488</c:v>
                </c:pt>
                <c:pt idx="5">
                  <c:v>0.13860749137913</c:v>
                </c:pt>
                <c:pt idx="6">
                  <c:v>0.1527433156304</c:v>
                </c:pt>
                <c:pt idx="7">
                  <c:v>0.157075416655254</c:v>
                </c:pt>
                <c:pt idx="8">
                  <c:v>0.221321373656796</c:v>
                </c:pt>
                <c:pt idx="9">
                  <c:v>0.242735133211789</c:v>
                </c:pt>
                <c:pt idx="10">
                  <c:v>0.223515778770588</c:v>
                </c:pt>
              </c:numCache>
            </c:numRef>
          </c:val>
          <c:smooth val="1"/>
        </c:ser>
        <c:ser>
          <c:idx val="3"/>
          <c:order val="3"/>
          <c:tx>
            <c:strRef>
              <c:f>[运营商数据.xlsx]头部企业!$AD$1</c:f>
              <c:strCache>
                <c:ptCount val="1"/>
                <c:pt idx="0">
                  <c:v>百度</c:v>
                </c:pt>
              </c:strCache>
            </c:strRef>
          </c:tx>
          <c:spPr>
            <a:ln w="28575" cap="rnd" cmpd="sng">
              <a:solidFill>
                <a:schemeClr val="accent4"/>
              </a:solidFill>
              <a:prstDash val="solid"/>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layout/>
              <c:dLblPos val="r"/>
              <c:showLegendKey val="0"/>
              <c:showVal val="1"/>
              <c:showCatName val="0"/>
              <c:showSerName val="1"/>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[运营商数据.xlsx]头部企业!$A$2:$A$12</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[运营商数据.xlsx]头部企业!$AD$2:$AD$12</c:f>
              <c:numCache>
                <c:formatCode>0%</c:formatCode>
                <c:ptCount val="11"/>
                <c:pt idx="0">
                  <c:v>0.128647688959107</c:v>
                </c:pt>
                <c:pt idx="1">
                  <c:v>0.142316658714389</c:v>
                </c:pt>
                <c:pt idx="2">
                  <c:v>0.153784665583703</c:v>
                </c:pt>
                <c:pt idx="3">
                  <c:v>0.144306942217586</c:v>
                </c:pt>
                <c:pt idx="4">
                  <c:v>0.152696058194046</c:v>
                </c:pt>
                <c:pt idx="5">
                  <c:v>0.154208668587529</c:v>
                </c:pt>
                <c:pt idx="6">
                  <c:v>0.170798692837797</c:v>
                </c:pt>
                <c:pt idx="7">
                  <c:v>0.182238451890535</c:v>
                </c:pt>
                <c:pt idx="8">
                  <c:v>0.200316483658539</c:v>
                </c:pt>
                <c:pt idx="9">
                  <c:v>0.188518293901196</c:v>
                </c:pt>
                <c:pt idx="10">
                  <c:v>0.179735211518744</c:v>
                </c:pt>
              </c:numCache>
            </c:numRef>
          </c:val>
          <c:smooth val="1"/>
        </c:ser>
        <c:dLbls>
          <c:showLegendKey val="0"/>
          <c:showVal val="0"/>
          <c:showCatName val="0"/>
          <c:showSerName val="0"/>
          <c:showPercent val="0"/>
          <c:showBubbleSize val="0"/>
        </c:dLbls>
        <c:marker val="0"/>
        <c:smooth val="1"/>
        <c:axId val="99214371"/>
        <c:axId val="421670292"/>
      </c:lineChart>
      <c:catAx>
        <c:axId val="99214371"/>
        <c:scaling>
          <c:orientation val="minMax"/>
        </c:scaling>
        <c:delete val="0"/>
        <c:axPos val="b"/>
        <c:numFmt formatCode="General" sourceLinked="1"/>
        <c:majorTickMark val="none"/>
        <c:minorTickMark val="none"/>
        <c:tickLblPos val="nextTo"/>
        <c:spPr>
          <a:noFill/>
          <a:ln w="9525"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21670292"/>
        <c:crosses val="autoZero"/>
        <c:auto val="1"/>
        <c:lblAlgn val="ctr"/>
        <c:lblOffset val="100"/>
        <c:noMultiLvlLbl val="0"/>
      </c:catAx>
      <c:valAx>
        <c:axId val="421670292"/>
        <c:scaling>
          <c:orientation val="minMax"/>
        </c:scaling>
        <c:delete val="0"/>
        <c:axPos val="l"/>
        <c:majorGridlines>
          <c:spPr>
            <a:ln w="6350" cap="flat" cmpd="sng" algn="ctr">
              <a:solidFill>
                <a:schemeClr val="tx1">
                  <a:lumMod val="50000"/>
                  <a:lumOff val="50000"/>
                  <a:alpha val="20000"/>
                </a:schemeClr>
              </a:solidFill>
              <a:round/>
            </a:ln>
            <a:effectLst/>
          </c:spPr>
        </c:majorGridlines>
        <c:numFmt formatCode="0%" sourceLinked="1"/>
        <c:majorTickMark val="none"/>
        <c:minorTickMark val="none"/>
        <c:tickLblPos val="nextTo"/>
        <c:spPr>
          <a:noFill/>
          <a:ln w="9525"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9214371"/>
        <c:crosses val="autoZero"/>
        <c:crossBetween val="between"/>
      </c:valAx>
      <c:spPr>
        <a:noFill/>
        <a:ln>
          <a:noFill/>
        </a:ln>
        <a:effectLst/>
      </c:spPr>
    </c:plotArea>
    <c:plotVisOnly val="1"/>
    <c:dispBlanksAs val="gap"/>
    <c:showDLblsOverMax val="0"/>
    <c:extLst>
      <c:ext uri="{0b15fc19-7d7d-44ad-8c2d-2c3a37ce22c3}">
        <chartProps xmlns="https://web.wps.cn/et/2018/main" chartId="{93c23960-fa1d-4409-af66-2324193f88c5}"/>
      </c:ext>
    </c:extLst>
  </c:chart>
  <c:spPr>
    <a:solidFill>
      <a:schemeClr val="bg1"/>
    </a:solidFill>
    <a:ln w="6350" cap="flat" cmpd="sng" algn="ctr">
      <a:noFill/>
      <a:prstDash val="solid"/>
      <a:round/>
    </a:ln>
    <a:effectLst>
      <a:outerShdw blurRad="63500" dist="37357" dir="2700000" sx="0" sy="0" rotWithShape="0">
        <a:scrgbClr r="0" g="0" b="0"/>
      </a:outerShdw>
    </a:effectLst>
  </c:spPr>
  <c:txPr>
    <a:bodyPr/>
    <a:lstStyle/>
    <a:p>
      <a:pPr>
        <a:defRPr lang="zh-CN" sz="800" b="1">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商务粉">
    <a:dk1>
      <a:srgbClr val="000000"/>
    </a:dk1>
    <a:lt1>
      <a:srgbClr val="FFFFFF"/>
    </a:lt1>
    <a:dk2>
      <a:srgbClr val="44546A"/>
    </a:dk2>
    <a:lt2>
      <a:srgbClr val="E7E6E6"/>
    </a:lt2>
    <a:accent1>
      <a:srgbClr val="E94E72"/>
    </a:accent1>
    <a:accent2>
      <a:srgbClr val="164074"/>
    </a:accent2>
    <a:accent3>
      <a:srgbClr val="F4CCC9"/>
    </a:accent3>
    <a:accent4>
      <a:srgbClr val="776E84"/>
    </a:accent4>
    <a:accent5>
      <a:srgbClr val="B9E1DC"/>
    </a:accent5>
    <a:accent6>
      <a:srgbClr val="F37F7F"/>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粉">
    <a:dk1>
      <a:srgbClr val="000000"/>
    </a:dk1>
    <a:lt1>
      <a:srgbClr val="FFFFFF"/>
    </a:lt1>
    <a:dk2>
      <a:srgbClr val="44546A"/>
    </a:dk2>
    <a:lt2>
      <a:srgbClr val="E7E6E6"/>
    </a:lt2>
    <a:accent1>
      <a:srgbClr val="E94E72"/>
    </a:accent1>
    <a:accent2>
      <a:srgbClr val="164074"/>
    </a:accent2>
    <a:accent3>
      <a:srgbClr val="F4CCC9"/>
    </a:accent3>
    <a:accent4>
      <a:srgbClr val="776E84"/>
    </a:accent4>
    <a:accent5>
      <a:srgbClr val="B9E1DC"/>
    </a:accent5>
    <a:accent6>
      <a:srgbClr val="F37F7F"/>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Pages>8</Pages>
  <Words>2103</Words>
  <Characters>2357</Characters>
  <Lines>1</Lines>
  <Paragraphs>1</Paragraphs>
  <TotalTime>8</TotalTime>
  <ScaleCrop>false</ScaleCrop>
  <LinksUpToDate>false</LinksUpToDate>
  <CharactersWithSpaces>2363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2025-05-13T08:34:00Z</dcterms:created>
  <dc:creator>machch</dc:creator>
  <cp:lastModifiedBy>蔡霖</cp:lastModifiedBy>
  <dcterms:modified xsi:type="dcterms:W3CDTF">2025-06-12T07:26:47Z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eyJoZGlkIjoiMDY5NmFjMmM4ZTljMGJiZDAxN2JmYTc0NGI0NmFiNDgiLCJ1c2VySWQiOiI5MzA3MjAyMDgifQ==</vt:lpwstr>
  </property>
  <property fmtid="{D5CDD505-2E9C-101B-9397-08002B2CF9AE}" pid="3" name="KSOProductBuildVer">
    <vt:lpwstr>2052-12.1.0.21171</vt:lpwstr>
  </property>
  <property fmtid="{D5CDD505-2E9C-101B-9397-08002B2CF9AE}" pid="4" name="ICV">
    <vt:lpwstr>B64B4D4A3DCC4995918330E51E2F394E_13</vt:lpwstr>
  </property>
</Properties>
</file>