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54"/>
        <w:spacing w:before="213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主流估值方法的适用场景与实施要点</w:t>
      </w:r>
    </w:p>
    <w:p>
      <w:pPr>
        <w:ind w:left="3457"/>
        <w:spacing w:before="333" w:line="208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0"/>
        </w:rPr>
        <w:t>文/</w:t>
      </w:r>
      <w:r>
        <w:rPr>
          <w:rFonts w:ascii="STKaiti" w:hAnsi="STKaiti" w:eastAsia="STKaiti" w:cs="STKaiti"/>
          <w:sz w:val="30"/>
          <w:szCs w:val="30"/>
          <w:spacing w:val="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姚群峰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ind w:left="42" w:right="105" w:firstLine="592"/>
        <w:spacing w:before="98" w:line="25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科创企业通常需要应用多种估值方法，相互进行验证。“新</w:t>
      </w:r>
      <w:r>
        <w:rPr>
          <w:rFonts w:ascii="FangSong" w:hAnsi="FangSong" w:eastAsia="FangSong" w:cs="FangSong"/>
          <w:sz w:val="30"/>
          <w:szCs w:val="30"/>
          <w:spacing w:val="-3"/>
        </w:rPr>
        <w:t>主业”各板块要掌握主流估值方法的适用场景与实施要点。</w:t>
      </w:r>
    </w:p>
    <w:p>
      <w:pPr>
        <w:ind w:left="20" w:right="109" w:firstLine="629"/>
        <w:spacing w:before="278" w:line="25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资本市场常用的估值方法有两类：一类是相对估值法</w:t>
      </w:r>
      <w:r>
        <w:rPr>
          <w:rFonts w:ascii="FangSong" w:hAnsi="FangSong" w:eastAsia="FangSong" w:cs="FangSong"/>
          <w:sz w:val="30"/>
          <w:szCs w:val="30"/>
          <w:spacing w:val="-6"/>
        </w:rPr>
        <w:t>，包括</w:t>
      </w:r>
      <w:r>
        <w:rPr>
          <w:rFonts w:ascii="FangSong" w:hAnsi="FangSong" w:eastAsia="FangSong" w:cs="FangSong"/>
          <w:sz w:val="30"/>
          <w:szCs w:val="30"/>
          <w:spacing w:val="-10"/>
        </w:rPr>
        <w:t>基于盈利（PE、PEG</w:t>
      </w:r>
      <w:r>
        <w:rPr>
          <w:rFonts w:ascii="FangSong" w:hAnsi="FangSong" w:eastAsia="FangSong" w:cs="FangSong"/>
          <w:sz w:val="30"/>
          <w:szCs w:val="30"/>
          <w:spacing w:val="-82"/>
          <w:w w:val="97"/>
        </w:rPr>
        <w:t>），</w:t>
      </w:r>
      <w:r>
        <w:rPr>
          <w:rFonts w:ascii="FangSong" w:hAnsi="FangSong" w:eastAsia="FangSong" w:cs="FangSong"/>
          <w:sz w:val="30"/>
          <w:szCs w:val="30"/>
          <w:spacing w:val="-10"/>
        </w:rPr>
        <w:t>基于净资产（PB</w:t>
      </w:r>
      <w:r>
        <w:rPr>
          <w:rFonts w:ascii="FangSong" w:hAnsi="FangSong" w:eastAsia="FangSong" w:cs="FangSong"/>
          <w:sz w:val="30"/>
          <w:szCs w:val="30"/>
          <w:spacing w:val="-82"/>
          <w:w w:val="97"/>
        </w:rPr>
        <w:t>），</w:t>
      </w:r>
      <w:r>
        <w:rPr>
          <w:rFonts w:ascii="FangSong" w:hAnsi="FangSong" w:eastAsia="FangSong" w:cs="FangSong"/>
          <w:sz w:val="30"/>
          <w:szCs w:val="30"/>
          <w:spacing w:val="-11"/>
        </w:rPr>
        <w:t>基于收入（PS、EV/S</w:t>
      </w:r>
      <w:r>
        <w:rPr>
          <w:rFonts w:ascii="FangSong" w:hAnsi="FangSong" w:eastAsia="FangSong" w:cs="FangSong"/>
          <w:sz w:val="30"/>
          <w:szCs w:val="30"/>
          <w:spacing w:val="-82"/>
          <w:w w:val="97"/>
        </w:rPr>
        <w:t>），</w:t>
      </w:r>
      <w:r>
        <w:rPr>
          <w:rFonts w:ascii="FangSong" w:hAnsi="FangSong" w:eastAsia="FangSong" w:cs="FangSong"/>
          <w:sz w:val="30"/>
          <w:szCs w:val="30"/>
          <w:spacing w:val="-12"/>
        </w:rPr>
        <w:t>基于现金流（EV/EBITDA、P/FCF、EV/FCF</w:t>
      </w:r>
      <w:r>
        <w:rPr>
          <w:rFonts w:ascii="FangSong" w:hAnsi="FangSong" w:eastAsia="FangSong" w:cs="FangSong"/>
          <w:sz w:val="30"/>
          <w:szCs w:val="30"/>
          <w:spacing w:val="-46"/>
          <w:w w:val="55"/>
        </w:rPr>
        <w:t>），</w:t>
      </w:r>
      <w:r>
        <w:rPr>
          <w:rFonts w:ascii="FangSong" w:hAnsi="FangSong" w:eastAsia="FangSong" w:cs="FangSong"/>
          <w:sz w:val="30"/>
          <w:szCs w:val="30"/>
          <w:spacing w:val="-12"/>
        </w:rPr>
        <w:t>基于经营指标（P/MAU、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0"/>
        </w:rPr>
        <w:t>P/GMV</w:t>
      </w:r>
      <w:r>
        <w:rPr>
          <w:rFonts w:ascii="FangSong" w:hAnsi="FangSong" w:eastAsia="FangSong" w:cs="FangSong"/>
          <w:sz w:val="30"/>
          <w:szCs w:val="30"/>
          <w:spacing w:val="-79"/>
          <w:w w:val="94"/>
        </w:rPr>
        <w:t>）；</w:t>
      </w:r>
      <w:r>
        <w:rPr>
          <w:rFonts w:ascii="FangSong" w:hAnsi="FangSong" w:eastAsia="FangSong" w:cs="FangSong"/>
          <w:sz w:val="30"/>
          <w:szCs w:val="30"/>
          <w:spacing w:val="-10"/>
        </w:rPr>
        <w:t>另一类是绝对估值法，包括现金流折现法（DCF</w:t>
      </w:r>
      <w:r>
        <w:rPr>
          <w:rFonts w:ascii="FangSong" w:hAnsi="FangSong" w:eastAsia="FangSong" w:cs="FangSong"/>
          <w:sz w:val="30"/>
          <w:szCs w:val="30"/>
          <w:spacing w:val="-11"/>
        </w:rPr>
        <w:t>、rNPV</w:t>
      </w:r>
      <w:r>
        <w:rPr>
          <w:rFonts w:ascii="FangSong" w:hAnsi="FangSong" w:eastAsia="FangSong" w:cs="FangSong"/>
          <w:sz w:val="30"/>
          <w:szCs w:val="30"/>
          <w:spacing w:val="-79"/>
          <w:w w:val="94"/>
        </w:rPr>
        <w:t>），</w:t>
      </w:r>
      <w:r>
        <w:rPr>
          <w:rFonts w:ascii="FangSong" w:hAnsi="FangSong" w:eastAsia="FangSong" w:cs="FangSong"/>
          <w:sz w:val="30"/>
          <w:szCs w:val="30"/>
          <w:spacing w:val="-11"/>
        </w:rPr>
        <w:t>股利贴现法（DDM）。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一、基于盈利的相对估值法（</w:t>
      </w:r>
      <w:r>
        <w:rPr>
          <w:rFonts w:ascii="SimHei" w:hAnsi="SimHei" w:eastAsia="SimHei" w:cs="SimHei"/>
          <w:sz w:val="31"/>
          <w:szCs w:val="31"/>
          <w:b/>
          <w:bCs/>
        </w:rPr>
        <w:t>PE</w:t>
      </w: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、</w:t>
      </w:r>
      <w:r>
        <w:rPr>
          <w:rFonts w:ascii="SimHei" w:hAnsi="SimHei" w:eastAsia="SimHei" w:cs="SimHei"/>
          <w:sz w:val="31"/>
          <w:szCs w:val="31"/>
          <w:b/>
          <w:bCs/>
        </w:rPr>
        <w:t>PEG</w:t>
      </w: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）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35" w:firstLine="598"/>
        <w:spacing w:before="98" w:line="260" w:lineRule="auto"/>
        <w:rPr/>
      </w:pPr>
      <w:r>
        <w:rPr>
          <w:spacing w:val="-2"/>
        </w:rPr>
        <w:t>市盈率法（</w:t>
      </w:r>
      <w:r>
        <w:rPr>
          <w:rFonts w:ascii="Times New Roman" w:hAnsi="Times New Roman" w:eastAsia="Times New Roman" w:cs="Times New Roman"/>
          <w:spacing w:val="-2"/>
        </w:rPr>
        <w:t>PE</w:t>
      </w:r>
      <w:r>
        <w:rPr>
          <w:spacing w:val="-2"/>
        </w:rPr>
        <w:t>）是最常用的估值方法，通常用于发</w:t>
      </w:r>
      <w:r>
        <w:rPr>
          <w:spacing w:val="-3"/>
        </w:rPr>
        <w:t>展成熟、</w:t>
      </w:r>
      <w:r>
        <w:rPr>
          <w:spacing w:val="-5"/>
        </w:rPr>
        <w:t>营收与利润稳定的科创企业。</w:t>
      </w:r>
    </w:p>
    <w:p>
      <w:pPr>
        <w:pStyle w:val="BodyText"/>
        <w:ind w:left="634"/>
        <w:spacing w:before="273" w:line="233" w:lineRule="auto"/>
        <w:rPr/>
      </w:pPr>
      <w:r>
        <w:rPr>
          <w:spacing w:val="-1"/>
        </w:rPr>
        <w:t>市盈增长比率（</w:t>
      </w:r>
      <w:r>
        <w:rPr>
          <w:rFonts w:ascii="Times New Roman" w:hAnsi="Times New Roman" w:eastAsia="Times New Roman" w:cs="Times New Roman"/>
          <w:spacing w:val="-1"/>
        </w:rPr>
        <w:t>PEG</w:t>
      </w:r>
      <w:r>
        <w:rPr>
          <w:spacing w:val="-1"/>
        </w:rPr>
        <w:t>）</w:t>
      </w:r>
      <w:r>
        <w:rPr>
          <w:rFonts w:ascii="Times New Roman" w:hAnsi="Times New Roman" w:eastAsia="Times New Roman" w:cs="Times New Roman"/>
          <w:spacing w:val="-1"/>
        </w:rPr>
        <w:t>=PE/</w:t>
      </w:r>
      <w:r>
        <w:rPr>
          <w:spacing w:val="-1"/>
        </w:rPr>
        <w:t>（净利润增长率×</w:t>
      </w:r>
      <w:r>
        <w:rPr>
          <w:rFonts w:ascii="Times New Roman" w:hAnsi="Times New Roman" w:eastAsia="Times New Roman" w:cs="Times New Roman"/>
          <w:spacing w:val="-1"/>
        </w:rPr>
        <w:t>100</w:t>
      </w:r>
      <w:r>
        <w:rPr>
          <w:spacing w:val="-1"/>
        </w:rPr>
        <w:t>）</w:t>
      </w:r>
    </w:p>
    <w:p>
      <w:pPr>
        <w:pStyle w:val="BodyText"/>
        <w:ind w:left="26" w:right="105" w:firstLine="593"/>
        <w:spacing w:before="326" w:line="257" w:lineRule="auto"/>
        <w:jc w:val="both"/>
        <w:rPr/>
      </w:pPr>
      <w:r>
        <w:rPr>
          <w:rFonts w:ascii="Times New Roman" w:hAnsi="Times New Roman" w:eastAsia="Times New Roman" w:cs="Times New Roman"/>
          <w:spacing w:val="-5"/>
        </w:rPr>
        <w:t>PEG </w:t>
      </w:r>
      <w:r>
        <w:rPr>
          <w:spacing w:val="-5"/>
        </w:rPr>
        <w:t>是从市盈率法衍生而来，通过引入净利润增长率，可以</w:t>
      </w:r>
      <w:r>
        <w:rPr>
          <w:spacing w:val="-4"/>
        </w:rPr>
        <w:t>弥补市盈率法对企业成长性估计不足的缺陷，适用于成长期的科</w:t>
      </w:r>
      <w:r>
        <w:rPr>
          <w:spacing w:val="-2"/>
        </w:rPr>
        <w:t>创企业。比如公司的动态市盈率为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30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2"/>
        </w:rPr>
        <w:t>倍，未来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3"/>
        </w:rPr>
        <w:t>年的预期净利</w:t>
      </w:r>
      <w:r>
        <w:rPr>
          <w:spacing w:val="-4"/>
        </w:rPr>
        <w:t>润复合增长率为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</w:t>
      </w:r>
      <w:r>
        <w:rPr>
          <w:spacing w:val="11"/>
        </w:rPr>
        <w:t>％，</w:t>
      </w:r>
      <w:r>
        <w:rPr>
          <w:rFonts w:ascii="Times New Roman" w:hAnsi="Times New Roman" w:eastAsia="Times New Roman" w:cs="Times New Roman"/>
          <w:spacing w:val="-4"/>
        </w:rPr>
        <w:t>PEG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4"/>
        </w:rPr>
        <w:t>就是 </w:t>
      </w:r>
      <w:r>
        <w:rPr>
          <w:rFonts w:ascii="Times New Roman" w:hAnsi="Times New Roman" w:eastAsia="Times New Roman" w:cs="Times New Roman"/>
          <w:spacing w:val="-4"/>
        </w:rPr>
        <w:t>1.5</w:t>
      </w:r>
      <w:r>
        <w:rPr>
          <w:spacing w:val="-4"/>
        </w:rPr>
        <w:t>。成长型企业的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PEG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4"/>
        </w:rPr>
        <w:t>通常</w:t>
      </w:r>
      <w:r>
        <w:rPr>
          <w:spacing w:val="-2"/>
        </w:rPr>
        <w:t>高于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，投资者相信公司未来业绩会快速增</w:t>
      </w:r>
      <w:r>
        <w:rPr>
          <w:spacing w:val="-3"/>
        </w:rPr>
        <w:t>长，愿意给予其高市</w:t>
      </w:r>
      <w:r>
        <w:rPr>
          <w:spacing w:val="-9"/>
        </w:rPr>
        <w:t>盈率估值。</w:t>
      </w:r>
    </w:p>
    <w:p>
      <w:pPr>
        <w:pStyle w:val="BodyText"/>
        <w:ind w:left="31" w:right="105" w:firstLine="588"/>
        <w:spacing w:before="290" w:line="261" w:lineRule="auto"/>
        <w:rPr/>
      </w:pPr>
      <w:r>
        <w:rPr>
          <w:rFonts w:ascii="Times New Roman" w:hAnsi="Times New Roman" w:eastAsia="Times New Roman" w:cs="Times New Roman"/>
          <w:spacing w:val="-5"/>
        </w:rPr>
        <w:t>PEG </w:t>
      </w:r>
      <w:r>
        <w:rPr>
          <w:spacing w:val="-5"/>
        </w:rPr>
        <w:t>法适用于互联网等高成长行业、非周期性行业，不适用</w:t>
      </w:r>
      <w:r>
        <w:rPr>
          <w:spacing w:val="-5"/>
        </w:rPr>
        <w:t>于成熟行业、衰退行业。</w:t>
      </w:r>
    </w:p>
    <w:p>
      <w:pPr>
        <w:pStyle w:val="BodyText"/>
        <w:ind w:left="31" w:right="106" w:firstLine="588"/>
        <w:spacing w:before="271" w:line="262" w:lineRule="auto"/>
        <w:rPr/>
      </w:pPr>
      <w:r>
        <w:rPr>
          <w:rFonts w:ascii="Times New Roman" w:hAnsi="Times New Roman" w:eastAsia="Times New Roman" w:cs="Times New Roman"/>
          <w:spacing w:val="-5"/>
        </w:rPr>
        <w:t>PEG </w:t>
      </w:r>
      <w:r>
        <w:rPr>
          <w:spacing w:val="-5"/>
        </w:rPr>
        <w:t>法的关键是准确预测未来业绩，通常需要收集多位分析</w:t>
      </w:r>
      <w:r>
        <w:rPr>
          <w:spacing w:val="-4"/>
        </w:rPr>
        <w:t>师的预测并取平均值。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二、基于净资产的相对估值法（</w:t>
      </w:r>
      <w:r>
        <w:rPr>
          <w:rFonts w:ascii="SimHei" w:hAnsi="SimHei" w:eastAsia="SimHei" w:cs="SimHei"/>
          <w:sz w:val="31"/>
          <w:szCs w:val="31"/>
          <w:b/>
          <w:bCs/>
        </w:rPr>
        <w:t>PB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）</w:t>
      </w:r>
    </w:p>
    <w:p>
      <w:pPr>
        <w:spacing w:line="224" w:lineRule="auto"/>
        <w:sectPr>
          <w:pgSz w:w="11907" w:h="16839"/>
          <w:pgMar w:top="1431" w:right="1692" w:bottom="0" w:left="1785" w:header="0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pStyle w:val="BodyText"/>
        <w:ind w:left="19" w:right="149" w:firstLine="614"/>
        <w:spacing w:before="88" w:line="258" w:lineRule="auto"/>
        <w:jc w:val="both"/>
        <w:rPr/>
      </w:pPr>
      <w:r>
        <w:rPr>
          <w:spacing w:val="-7"/>
        </w:rPr>
        <w:t>市净率（</w:t>
      </w:r>
      <w:r>
        <w:rPr>
          <w:rFonts w:ascii="Times New Roman" w:hAnsi="Times New Roman" w:eastAsia="Times New Roman" w:cs="Times New Roman"/>
          <w:spacing w:val="-7"/>
        </w:rPr>
        <w:t>PB</w:t>
      </w:r>
      <w:r>
        <w:rPr>
          <w:spacing w:val="-7"/>
        </w:rPr>
        <w:t>）是从公司资产价值的角度估值，直观含义是公</w:t>
      </w:r>
      <w:r>
        <w:rPr>
          <w:spacing w:val="-4"/>
        </w:rPr>
        <w:t>司 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53"/>
          <w:w w:val="101"/>
        </w:rPr>
        <w:t xml:space="preserve"> </w:t>
      </w:r>
      <w:r>
        <w:rPr>
          <w:spacing w:val="-4"/>
        </w:rPr>
        <w:t>元净资产对应股价多少钱。</w:t>
      </w:r>
      <w:r>
        <w:rPr>
          <w:rFonts w:ascii="Times New Roman" w:hAnsi="Times New Roman" w:eastAsia="Times New Roman" w:cs="Times New Roman"/>
          <w:spacing w:val="-4"/>
        </w:rPr>
        <w:t>PB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4"/>
        </w:rPr>
        <w:t>通常适用于：资产规模庞大</w:t>
      </w:r>
      <w:r>
        <w:rPr>
          <w:spacing w:val="-4"/>
        </w:rPr>
        <w:t>且账面价值相对稳定的行业，如银行、保险、房地产等；盈利波</w:t>
      </w:r>
      <w:r>
        <w:rPr/>
        <w:t>动较大的周期性行业，由于每股净资产相对于每股盈利要稳定，</w:t>
      </w:r>
      <w:r>
        <w:rPr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PB </w:t>
      </w:r>
      <w:r>
        <w:rPr>
          <w:spacing w:val="-2"/>
        </w:rPr>
        <w:t>较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PE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2"/>
        </w:rPr>
        <w:t>能更稳定地反映估值水平的变</w:t>
      </w:r>
      <w:r>
        <w:rPr>
          <w:spacing w:val="-3"/>
        </w:rPr>
        <w:t>化；绩差及重组型公司。</w:t>
      </w:r>
    </w:p>
    <w:p>
      <w:pPr>
        <w:pStyle w:val="BodyText"/>
        <w:ind w:left="26" w:right="254" w:firstLine="603"/>
        <w:spacing w:before="279" w:line="260" w:lineRule="auto"/>
        <w:rPr/>
      </w:pPr>
      <w:r>
        <w:rPr>
          <w:spacing w:val="-3"/>
        </w:rPr>
        <w:t>从海外科技股估值实践看，</w:t>
      </w:r>
      <w:r>
        <w:rPr>
          <w:rFonts w:ascii="Times New Roman" w:hAnsi="Times New Roman" w:eastAsia="Times New Roman" w:cs="Times New Roman"/>
          <w:spacing w:val="-3"/>
        </w:rPr>
        <w:t>PB  </w:t>
      </w:r>
      <w:r>
        <w:rPr>
          <w:spacing w:val="-3"/>
        </w:rPr>
        <w:t>较多应用于强周期性行业。</w:t>
      </w:r>
      <w:r>
        <w:rPr>
          <w:spacing w:val="-4"/>
        </w:rPr>
        <w:t>以全球最大的存储芯片厂商美光为例，公司业绩受全球存储芯片</w:t>
      </w:r>
      <w:r>
        <w:rPr>
          <w:spacing w:val="-1"/>
        </w:rPr>
        <w:t>供需周期影响极为明显。在景气下行期，市场采用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PB </w:t>
      </w:r>
      <w:r>
        <w:rPr>
          <w:spacing w:val="-1"/>
        </w:rPr>
        <w:t>估值；在</w:t>
      </w:r>
      <w:r>
        <w:rPr>
          <w:spacing w:val="-2"/>
        </w:rPr>
        <w:t>景气上行期，</w:t>
      </w:r>
      <w:r>
        <w:rPr>
          <w:rFonts w:ascii="Times New Roman" w:hAnsi="Times New Roman" w:eastAsia="Times New Roman" w:cs="Times New Roman"/>
          <w:spacing w:val="-2"/>
        </w:rPr>
        <w:t>PB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2"/>
        </w:rPr>
        <w:t>明显提高，综合运用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PB </w:t>
      </w:r>
      <w:r>
        <w:rPr>
          <w:spacing w:val="-2"/>
        </w:rPr>
        <w:t>与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PE </w:t>
      </w:r>
      <w:r>
        <w:rPr>
          <w:spacing w:val="-2"/>
        </w:rPr>
        <w:t>进行估</w:t>
      </w:r>
      <w:r>
        <w:rPr>
          <w:spacing w:val="-3"/>
        </w:rPr>
        <w:t>值。</w:t>
      </w:r>
    </w:p>
    <w:p>
      <w:pPr>
        <w:pStyle w:val="BodyText"/>
        <w:ind w:left="25" w:right="254" w:firstLine="594"/>
        <w:spacing w:before="275" w:line="259" w:lineRule="auto"/>
        <w:jc w:val="both"/>
        <w:rPr/>
      </w:pPr>
      <w:r>
        <w:rPr>
          <w:rFonts w:ascii="Times New Roman" w:hAnsi="Times New Roman" w:eastAsia="Times New Roman" w:cs="Times New Roman"/>
          <w:spacing w:val="-1"/>
        </w:rPr>
        <w:t>PB  </w:t>
      </w:r>
      <w:r>
        <w:rPr>
          <w:spacing w:val="-1"/>
        </w:rPr>
        <w:t>不适用于固定资产较少、商誉或知识产权较多的科创企</w:t>
      </w:r>
      <w:r>
        <w:rPr>
          <w:spacing w:val="-4"/>
        </w:rPr>
        <w:t>业。有些轻资产科创公司的生产经营对有形资产的依赖较小，对</w:t>
      </w:r>
      <w:r>
        <w:rPr>
          <w:spacing w:val="-4"/>
        </w:rPr>
        <w:t>品牌、技术专利等无形资产的依赖较大，但这些无形资产往往不</w:t>
      </w:r>
      <w:r>
        <w:rPr>
          <w:spacing w:val="-5"/>
        </w:rPr>
        <w:t>会体现在净资产之中。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6"/>
        <w:spacing w:before="101" w:line="225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三、基于收入的相对估值法（</w:t>
      </w:r>
      <w:r>
        <w:rPr>
          <w:rFonts w:ascii="SimHei" w:hAnsi="SimHei" w:eastAsia="SimHei" w:cs="SimHei"/>
          <w:sz w:val="31"/>
          <w:szCs w:val="31"/>
          <w:b/>
          <w:bCs/>
        </w:rPr>
        <w:t>PS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、</w:t>
      </w:r>
      <w:r>
        <w:rPr>
          <w:rFonts w:ascii="SimHei" w:hAnsi="SimHei" w:eastAsia="SimHei" w:cs="SimHei"/>
          <w:sz w:val="31"/>
          <w:szCs w:val="31"/>
          <w:b/>
          <w:bCs/>
        </w:rPr>
        <w:t>EV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/S）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25" w:right="257" w:firstLine="601"/>
        <w:spacing w:before="98" w:line="260" w:lineRule="auto"/>
        <w:rPr/>
      </w:pPr>
      <w:r>
        <w:rPr/>
        <w:t>基于收入的估值方法主要有两种：市销率 </w:t>
      </w:r>
      <w:r>
        <w:rPr>
          <w:rFonts w:ascii="Times New Roman" w:hAnsi="Times New Roman" w:eastAsia="Times New Roman" w:cs="Times New Roman"/>
        </w:rPr>
        <w:t>PS</w:t>
      </w:r>
      <w:r>
        <w:rPr/>
        <w:t>，即市值与收</w:t>
      </w:r>
      <w:r>
        <w:rPr>
          <w:spacing w:val="-4"/>
        </w:rPr>
        <w:t>入的倍数；</w:t>
      </w:r>
      <w:r>
        <w:rPr>
          <w:rFonts w:ascii="Times New Roman" w:hAnsi="Times New Roman" w:eastAsia="Times New Roman" w:cs="Times New Roman"/>
          <w:spacing w:val="-4"/>
        </w:rPr>
        <w:t>EV/S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-4"/>
        </w:rPr>
        <w:t>，即企业价值与收入的倍数。</w:t>
      </w:r>
    </w:p>
    <w:p>
      <w:pPr>
        <w:pStyle w:val="BodyText"/>
        <w:ind w:left="26" w:right="256" w:firstLine="599"/>
        <w:spacing w:before="274" w:line="260" w:lineRule="auto"/>
        <w:jc w:val="both"/>
        <w:rPr/>
      </w:pPr>
      <w:r>
        <w:rPr>
          <w:spacing w:val="-4"/>
        </w:rPr>
        <w:t>基于收入的估值方法适用于成长期的科创企业，包括</w:t>
      </w:r>
      <w:r>
        <w:rPr>
          <w:spacing w:val="-5"/>
        </w:rPr>
        <w:t>尚未实</w:t>
      </w:r>
      <w:r>
        <w:rPr>
          <w:spacing w:val="-5"/>
        </w:rPr>
        <w:t>现盈利的企业，研发投入高的企业（研发费用导致利润偏低或亏</w:t>
      </w:r>
      <w:r>
        <w:rPr>
          <w:spacing w:val="-4"/>
        </w:rPr>
        <w:t>损，营业收入更能反映企业的成长趋势和竞争力</w:t>
      </w:r>
      <w:r>
        <w:rPr>
          <w:spacing w:val="-2"/>
        </w:rPr>
        <w:t>），</w:t>
      </w:r>
      <w:r>
        <w:rPr>
          <w:spacing w:val="-4"/>
        </w:rPr>
        <w:t>业务规模与</w:t>
      </w:r>
      <w:r>
        <w:rPr>
          <w:spacing w:val="-4"/>
        </w:rPr>
        <w:t>市场份额对企业发展尤为重要、处于牺牲短期利润换取收入高增</w:t>
      </w:r>
      <w:r>
        <w:rPr>
          <w:spacing w:val="-7"/>
        </w:rPr>
        <w:t>长阶段的企业。</w:t>
      </w:r>
    </w:p>
    <w:p>
      <w:pPr>
        <w:pStyle w:val="BodyText"/>
        <w:ind w:left="19" w:right="258" w:firstLine="610"/>
        <w:spacing w:before="269" w:line="261" w:lineRule="auto"/>
        <w:rPr/>
      </w:pPr>
      <w:r>
        <w:rPr>
          <w:spacing w:val="-5"/>
        </w:rPr>
        <w:t>从海外实践看，大部分科技企业刚上市时尚未盈利，市销率</w:t>
      </w:r>
      <w:r>
        <w:rPr>
          <w:rFonts w:ascii="Times New Roman" w:hAnsi="Times New Roman" w:eastAsia="Times New Roman" w:cs="Times New Roman"/>
          <w:spacing w:val="-3"/>
        </w:rPr>
        <w:t>PS </w:t>
      </w:r>
      <w:r>
        <w:rPr>
          <w:spacing w:val="-3"/>
        </w:rPr>
        <w:t>是较常使用的估值方法。</w:t>
      </w:r>
    </w:p>
    <w:p>
      <w:pPr>
        <w:pStyle w:val="BodyText"/>
        <w:ind w:left="27" w:firstLine="632"/>
        <w:spacing w:before="269" w:line="259" w:lineRule="auto"/>
        <w:jc w:val="both"/>
        <w:rPr/>
      </w:pPr>
      <w:r>
        <w:rPr>
          <w:spacing w:val="-8"/>
        </w:rPr>
        <w:t>以爱奇艺为例，公司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IPO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8"/>
        </w:rPr>
        <w:t>时未来几年都无法实现盈利，并且</w:t>
      </w:r>
      <w:r>
        <w:rPr>
          <w:spacing w:val="-5"/>
        </w:rPr>
        <w:t>内容摊销的时间表难以预测，而收入反映了公司的付</w:t>
      </w:r>
      <w:r>
        <w:rPr>
          <w:spacing w:val="-6"/>
        </w:rPr>
        <w:t>费用户规模、</w:t>
      </w:r>
      <w:r>
        <w:rPr>
          <w:spacing w:val="-4"/>
        </w:rPr>
        <w:t>用户粘性等，是反映公司内在价值的核心指标，资本市场普遍采</w:t>
      </w:r>
      <w:r>
        <w:rPr>
          <w:spacing w:val="-1"/>
        </w:rPr>
        <w:t>用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PS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1"/>
        </w:rPr>
        <w:t>估值。京东上市以后长期未盈利，自由现金流波动</w:t>
      </w:r>
      <w:r>
        <w:rPr>
          <w:spacing w:val="-2"/>
        </w:rPr>
        <w:t>大，资</w:t>
      </w:r>
      <w:r>
        <w:rPr>
          <w:spacing w:val="3"/>
        </w:rPr>
        <w:t>本市场多采用</w:t>
      </w:r>
      <w:r>
        <w:rPr>
          <w:rFonts w:ascii="Times New Roman" w:hAnsi="Times New Roman" w:eastAsia="Times New Roman" w:cs="Times New Roman"/>
        </w:rPr>
        <w:t>PS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估值。</w:t>
      </w:r>
    </w:p>
    <w:p>
      <w:pPr>
        <w:spacing w:line="259" w:lineRule="auto"/>
        <w:sectPr>
          <w:pgSz w:w="11907" w:h="16839"/>
          <w:pgMar w:top="1431" w:right="1543" w:bottom="0" w:left="1785" w:header="0" w:footer="0" w:gutter="0"/>
        </w:sectPr>
        <w:rPr/>
      </w:pPr>
    </w:p>
    <w:p>
      <w:pPr>
        <w:pStyle w:val="BodyText"/>
        <w:ind w:left="25" w:firstLine="609"/>
        <w:spacing w:before="82" w:line="262" w:lineRule="auto"/>
        <w:jc w:val="both"/>
        <w:rPr/>
      </w:pPr>
      <w:r>
        <w:rPr>
          <w:spacing w:val="-5"/>
        </w:rPr>
        <w:t>云计算公司大多处于成长期，随着市场需求逐渐打开，收入</w:t>
      </w:r>
      <w:r>
        <w:rPr>
          <w:spacing w:val="-1"/>
        </w:rPr>
        <w:t>会持续高速增长，但受高额研发投入影响，公司尚难稳定盈利，</w:t>
      </w:r>
      <w:r>
        <w:rPr>
          <w:spacing w:val="-3"/>
        </w:rPr>
        <w:t>宜用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PS </w:t>
      </w:r>
      <w:r>
        <w:rPr>
          <w:spacing w:val="-3"/>
        </w:rPr>
        <w:t>进行估值。以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Salesforce </w:t>
      </w:r>
      <w:r>
        <w:rPr>
          <w:spacing w:val="-3"/>
        </w:rPr>
        <w:t>为例，</w:t>
      </w:r>
      <w:r>
        <w:rPr>
          <w:rFonts w:ascii="Times New Roman" w:hAnsi="Times New Roman" w:eastAsia="Times New Roman" w:cs="Times New Roman"/>
          <w:spacing w:val="-3"/>
        </w:rPr>
        <w:t>2006-2018 </w:t>
      </w:r>
      <w:r>
        <w:rPr>
          <w:spacing w:val="-3"/>
        </w:rPr>
        <w:t>年公司营收快</w:t>
      </w:r>
      <w:r>
        <w:rPr>
          <w:spacing w:val="-4"/>
        </w:rPr>
        <w:t>速增长，盈利不稳定，</w:t>
      </w:r>
      <w:r>
        <w:rPr>
          <w:rFonts w:ascii="Times New Roman" w:hAnsi="Times New Roman" w:eastAsia="Times New Roman" w:cs="Times New Roman"/>
          <w:spacing w:val="-4"/>
        </w:rPr>
        <w:t>PE </w:t>
      </w:r>
      <w:r>
        <w:rPr>
          <w:spacing w:val="-4"/>
        </w:rPr>
        <w:t>波动较大缺乏参考价值，而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PS </w:t>
      </w:r>
      <w:r>
        <w:rPr>
          <w:spacing w:val="-4"/>
        </w:rPr>
        <w:t>基本处</w:t>
      </w:r>
      <w:r>
        <w:rPr>
          <w:spacing w:val="-6"/>
        </w:rPr>
        <w:t>于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6-9 </w:t>
      </w:r>
      <w:r>
        <w:rPr>
          <w:spacing w:val="-6"/>
        </w:rPr>
        <w:t>倍的区间。</w:t>
      </w:r>
    </w:p>
    <w:p>
      <w:pPr>
        <w:pStyle w:val="BodyText"/>
        <w:ind w:left="27" w:right="84" w:firstLine="603"/>
        <w:spacing w:before="255" w:line="260" w:lineRule="auto"/>
        <w:rPr/>
      </w:pPr>
      <w:r>
        <w:rPr>
          <w:spacing w:val="-6"/>
        </w:rPr>
        <w:t>企业价值（</w:t>
      </w:r>
      <w:r>
        <w:rPr>
          <w:rFonts w:ascii="Times New Roman" w:hAnsi="Times New Roman" w:eastAsia="Times New Roman" w:cs="Times New Roman"/>
          <w:spacing w:val="-6"/>
        </w:rPr>
        <w:t>Enterprise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Value</w:t>
      </w:r>
      <w:r>
        <w:rPr>
          <w:spacing w:val="-6"/>
        </w:rPr>
        <w:t>）</w:t>
      </w:r>
      <w:r>
        <w:rPr>
          <w:rFonts w:ascii="Times New Roman" w:hAnsi="Times New Roman" w:eastAsia="Times New Roman" w:cs="Times New Roman"/>
          <w:spacing w:val="-6"/>
        </w:rPr>
        <w:t>=</w:t>
      </w:r>
      <w:r>
        <w:rPr>
          <w:spacing w:val="-6"/>
        </w:rPr>
        <w:t>企业市值</w:t>
      </w:r>
      <w:r>
        <w:rPr>
          <w:rFonts w:ascii="Times New Roman" w:hAnsi="Times New Roman" w:eastAsia="Times New Roman" w:cs="Times New Roman"/>
          <w:spacing w:val="-6"/>
        </w:rPr>
        <w:t>+</w:t>
      </w:r>
      <w:r>
        <w:rPr>
          <w:spacing w:val="-6"/>
        </w:rPr>
        <w:t>有息负</w:t>
      </w:r>
      <w:r>
        <w:rPr>
          <w:spacing w:val="-7"/>
        </w:rPr>
        <w:t>债</w:t>
      </w:r>
      <w:r>
        <w:rPr>
          <w:rFonts w:ascii="Times New Roman" w:hAnsi="Times New Roman" w:eastAsia="Times New Roman" w:cs="Times New Roman"/>
          <w:spacing w:val="-7"/>
        </w:rPr>
        <w:t>+</w:t>
      </w:r>
      <w:r>
        <w:rPr>
          <w:spacing w:val="-7"/>
        </w:rPr>
        <w:t>既定应付</w:t>
      </w:r>
      <w:r>
        <w:rPr>
          <w:spacing w:val="-1"/>
        </w:rPr>
        <w:t>债务</w:t>
      </w:r>
      <w:r>
        <w:rPr>
          <w:rFonts w:ascii="Times New Roman" w:hAnsi="Times New Roman" w:eastAsia="Times New Roman" w:cs="Times New Roman"/>
          <w:spacing w:val="-1"/>
        </w:rPr>
        <w:t>+</w:t>
      </w:r>
      <w:r>
        <w:rPr>
          <w:spacing w:val="-1"/>
        </w:rPr>
        <w:t>少数股东权益</w:t>
      </w:r>
      <w:r>
        <w:rPr>
          <w:rFonts w:ascii="Times New Roman" w:hAnsi="Times New Roman" w:eastAsia="Times New Roman" w:cs="Times New Roman"/>
          <w:spacing w:val="-1"/>
        </w:rPr>
        <w:t>+</w:t>
      </w:r>
      <w:r>
        <w:rPr>
          <w:spacing w:val="-1"/>
        </w:rPr>
        <w:t>优先股</w:t>
      </w:r>
      <w:r>
        <w:rPr>
          <w:rFonts w:ascii="Times New Roman" w:hAnsi="Times New Roman" w:eastAsia="Times New Roman" w:cs="Times New Roman"/>
          <w:spacing w:val="-1"/>
        </w:rPr>
        <w:t>-</w:t>
      </w:r>
      <w:r>
        <w:rPr>
          <w:spacing w:val="-1"/>
        </w:rPr>
        <w:t>现金以及现金等价物</w:t>
      </w:r>
    </w:p>
    <w:p>
      <w:pPr>
        <w:pStyle w:val="BodyText"/>
        <w:ind w:left="37" w:right="87" w:firstLine="590"/>
        <w:spacing w:before="276" w:line="260" w:lineRule="auto"/>
        <w:rPr/>
      </w:pPr>
      <w:r>
        <w:rPr>
          <w:spacing w:val="-4"/>
        </w:rPr>
        <w:t>可见，企业价值考虑了资本结构对估值的影</w:t>
      </w:r>
      <w:r>
        <w:rPr>
          <w:spacing w:val="-5"/>
        </w:rPr>
        <w:t>响，如果可比公</w:t>
      </w:r>
      <w:r>
        <w:rPr>
          <w:spacing w:val="-3"/>
        </w:rPr>
        <w:t>司的资本结构差异较大，</w:t>
      </w:r>
      <w:r>
        <w:rPr>
          <w:rFonts w:ascii="Times New Roman" w:hAnsi="Times New Roman" w:eastAsia="Times New Roman" w:cs="Times New Roman"/>
          <w:spacing w:val="-3"/>
        </w:rPr>
        <w:t>EV/S </w:t>
      </w:r>
      <w:r>
        <w:rPr>
          <w:spacing w:val="-3"/>
        </w:rPr>
        <w:t>更为合理。</w:t>
      </w:r>
    </w:p>
    <w:p>
      <w:pPr>
        <w:pStyle w:val="BodyText"/>
        <w:ind w:left="25" w:right="83" w:firstLine="595"/>
        <w:spacing w:before="273" w:line="259" w:lineRule="auto"/>
        <w:jc w:val="both"/>
        <w:rPr/>
      </w:pPr>
      <w:r>
        <w:rPr>
          <w:rFonts w:ascii="Times New Roman" w:hAnsi="Times New Roman" w:eastAsia="Times New Roman" w:cs="Times New Roman"/>
          <w:spacing w:val="-7"/>
        </w:rPr>
        <w:t>2010 </w:t>
      </w:r>
      <w:r>
        <w:rPr>
          <w:spacing w:val="-7"/>
        </w:rPr>
        <w:t>年特斯拉</w:t>
      </w:r>
      <w:r>
        <w:rPr>
          <w:rFonts w:ascii="Times New Roman" w:hAnsi="Times New Roman" w:eastAsia="Times New Roman" w:cs="Times New Roman"/>
          <w:spacing w:val="-7"/>
        </w:rPr>
        <w:t>IPO </w:t>
      </w:r>
      <w:r>
        <w:rPr>
          <w:spacing w:val="-7"/>
        </w:rPr>
        <w:t>时，摩根士丹利采用了</w:t>
      </w:r>
      <w:r>
        <w:rPr>
          <w:rFonts w:ascii="Times New Roman" w:hAnsi="Times New Roman" w:eastAsia="Times New Roman" w:cs="Times New Roman"/>
          <w:spacing w:val="-7"/>
        </w:rPr>
        <w:t>EV/S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EV</w:t>
      </w:r>
      <w:r>
        <w:rPr>
          <w:rFonts w:ascii="Times New Roman" w:hAnsi="Times New Roman" w:eastAsia="Times New Roman" w:cs="Times New Roman"/>
          <w:spacing w:val="-8"/>
        </w:rPr>
        <w:t>/EBITDA</w:t>
      </w:r>
      <w:r>
        <w:rPr>
          <w:spacing w:val="-1"/>
        </w:rPr>
        <w:t>以及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DCF</w:t>
      </w:r>
      <w:r>
        <w:rPr>
          <w:rFonts w:ascii="Times New Roman" w:hAnsi="Times New Roman" w:eastAsia="Times New Roman" w:cs="Times New Roman"/>
          <w:spacing w:val="48"/>
          <w:w w:val="101"/>
        </w:rPr>
        <w:t xml:space="preserve"> </w:t>
      </w:r>
      <w:r>
        <w:rPr>
          <w:spacing w:val="-1"/>
        </w:rPr>
        <w:t>三种估值方法。特斯拉的可比公司包括电动汽车产业</w:t>
      </w:r>
      <w:r>
        <w:rPr>
          <w:spacing w:val="-4"/>
        </w:rPr>
        <w:t>链、清洁技术公司以及传统汽车公司，这些公司的负债率差异较</w:t>
      </w:r>
      <w:r>
        <w:rPr>
          <w:spacing w:val="-4"/>
        </w:rPr>
        <w:t>大，因而宜采用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EV </w:t>
      </w:r>
      <w:r>
        <w:rPr>
          <w:spacing w:val="-4"/>
        </w:rPr>
        <w:t>指标。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688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四、基于经营现金流的相对估值法（</w:t>
      </w:r>
      <w:r>
        <w:rPr>
          <w:rFonts w:ascii="SimHei" w:hAnsi="SimHei" w:eastAsia="SimHei" w:cs="SimHei"/>
          <w:sz w:val="31"/>
          <w:szCs w:val="31"/>
          <w:b/>
          <w:bCs/>
        </w:rPr>
        <w:t>EV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/</w:t>
      </w:r>
      <w:r>
        <w:rPr>
          <w:rFonts w:ascii="SimHei" w:hAnsi="SimHei" w:eastAsia="SimHei" w:cs="SimHei"/>
          <w:sz w:val="31"/>
          <w:szCs w:val="31"/>
          <w:b/>
          <w:bCs/>
        </w:rPr>
        <w:t>EBITDA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）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5" w:right="85" w:firstLine="603"/>
        <w:spacing w:before="97" w:line="254" w:lineRule="auto"/>
        <w:rPr/>
      </w:pPr>
      <w:r>
        <w:rPr>
          <w:spacing w:val="2"/>
        </w:rPr>
        <w:t>经营现金流（</w:t>
      </w:r>
      <w:r>
        <w:rPr>
          <w:rFonts w:ascii="Times New Roman" w:hAnsi="Times New Roman" w:eastAsia="Times New Roman" w:cs="Times New Roman"/>
        </w:rPr>
        <w:t>EBITDA</w:t>
      </w:r>
      <w:r>
        <w:rPr>
          <w:spacing w:val="2"/>
        </w:rPr>
        <w:t>）</w:t>
      </w:r>
      <w:r>
        <w:rPr>
          <w:rFonts w:ascii="Times New Roman" w:hAnsi="Times New Roman" w:eastAsia="Times New Roman" w:cs="Times New Roman"/>
          <w:spacing w:val="2"/>
        </w:rPr>
        <w:t>=</w:t>
      </w:r>
      <w:r>
        <w:rPr>
          <w:spacing w:val="2"/>
        </w:rPr>
        <w:t>净利润</w:t>
      </w:r>
      <w:r>
        <w:rPr>
          <w:rFonts w:ascii="Times New Roman" w:hAnsi="Times New Roman" w:eastAsia="Times New Roman" w:cs="Times New Roman"/>
          <w:spacing w:val="2"/>
        </w:rPr>
        <w:t>+</w:t>
      </w:r>
      <w:r>
        <w:rPr>
          <w:spacing w:val="2"/>
        </w:rPr>
        <w:t>利息支出</w:t>
      </w:r>
      <w:r>
        <w:rPr>
          <w:rFonts w:ascii="Times New Roman" w:hAnsi="Times New Roman" w:eastAsia="Times New Roman" w:cs="Times New Roman"/>
          <w:spacing w:val="2"/>
        </w:rPr>
        <w:t>+</w:t>
      </w:r>
      <w:r>
        <w:rPr>
          <w:spacing w:val="2"/>
        </w:rPr>
        <w:t>所得税</w:t>
      </w:r>
      <w:r>
        <w:rPr>
          <w:rFonts w:ascii="Times New Roman" w:hAnsi="Times New Roman" w:eastAsia="Times New Roman" w:cs="Times New Roman"/>
          <w:spacing w:val="2"/>
        </w:rPr>
        <w:t>+</w:t>
      </w:r>
      <w:r>
        <w:rPr>
          <w:spacing w:val="1"/>
        </w:rPr>
        <w:t>折旧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spacing w:val="-3"/>
        </w:rPr>
        <w:t>摊销</w:t>
      </w:r>
    </w:p>
    <w:p>
      <w:pPr>
        <w:pStyle w:val="BodyText"/>
        <w:ind w:left="25" w:right="84" w:firstLine="604"/>
        <w:spacing w:before="290" w:line="259" w:lineRule="auto"/>
        <w:jc w:val="both"/>
        <w:rPr/>
      </w:pPr>
      <w:r>
        <w:rPr>
          <w:spacing w:val="-1"/>
        </w:rPr>
        <w:t>从海外实践看，</w:t>
      </w:r>
      <w:r>
        <w:rPr>
          <w:rFonts w:ascii="Times New Roman" w:hAnsi="Times New Roman" w:eastAsia="Times New Roman" w:cs="Times New Roman"/>
          <w:spacing w:val="-1"/>
        </w:rPr>
        <w:t>EV/EBITDA</w:t>
      </w:r>
      <w:r>
        <w:rPr>
          <w:rFonts w:ascii="Times New Roman" w:hAnsi="Times New Roman" w:eastAsia="Times New Roman" w:cs="Times New Roman"/>
          <w:spacing w:val="66"/>
        </w:rPr>
        <w:t xml:space="preserve"> </w:t>
      </w:r>
      <w:r>
        <w:rPr>
          <w:spacing w:val="-1"/>
        </w:rPr>
        <w:t>常用于毛利或营业利</w:t>
      </w:r>
      <w:r>
        <w:rPr>
          <w:spacing w:val="-2"/>
        </w:rPr>
        <w:t>润为正但</w:t>
      </w:r>
      <w:r>
        <w:rPr>
          <w:spacing w:val="-4"/>
        </w:rPr>
        <w:t>净利润为负的公司，前期资本投入巨大、每年折旧摊销较大的重</w:t>
      </w:r>
      <w:r>
        <w:rPr>
          <w:spacing w:val="-5"/>
        </w:rPr>
        <w:t>资产行业，如发电站、酒店，以及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IDC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5"/>
        </w:rPr>
        <w:t>、云计算等。资本支出带</w:t>
      </w:r>
      <w:r>
        <w:rPr>
          <w:spacing w:val="-1"/>
        </w:rPr>
        <w:t>来的折旧会显著影响企业当期利润，</w:t>
      </w:r>
      <w:r>
        <w:rPr>
          <w:rFonts w:ascii="Times New Roman" w:hAnsi="Times New Roman" w:eastAsia="Times New Roman" w:cs="Times New Roman"/>
          <w:spacing w:val="-1"/>
        </w:rPr>
        <w:t>EV/EBITDA</w:t>
      </w:r>
      <w:r>
        <w:rPr>
          <w:rFonts w:ascii="Times New Roman" w:hAnsi="Times New Roman" w:eastAsia="Times New Roman" w:cs="Times New Roman"/>
          <w:spacing w:val="71"/>
        </w:rPr>
        <w:t xml:space="preserve"> </w:t>
      </w:r>
      <w:r>
        <w:rPr>
          <w:spacing w:val="-1"/>
        </w:rPr>
        <w:t>能够更</w:t>
      </w:r>
      <w:r>
        <w:rPr>
          <w:spacing w:val="-2"/>
        </w:rPr>
        <w:t>准确地</w:t>
      </w:r>
      <w:r>
        <w:rPr>
          <w:spacing w:val="-9"/>
        </w:rPr>
        <w:t>衡量公司价值。例如，</w:t>
      </w:r>
      <w:r>
        <w:rPr>
          <w:rFonts w:ascii="Times New Roman" w:hAnsi="Times New Roman" w:eastAsia="Times New Roman" w:cs="Times New Roman"/>
          <w:spacing w:val="-9"/>
        </w:rPr>
        <w:t>Equinix </w:t>
      </w:r>
      <w:r>
        <w:rPr>
          <w:spacing w:val="-9"/>
        </w:rPr>
        <w:t>作为全球最大的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IDC </w:t>
      </w:r>
      <w:r>
        <w:rPr>
          <w:spacing w:val="-9"/>
        </w:rPr>
        <w:t>零售服务商，</w:t>
      </w:r>
      <w:r>
        <w:rPr>
          <w:spacing w:val="-4"/>
        </w:rPr>
        <w:t>在快速发展过程中有大量的资本性开支，高企的折旧摊销侵蚀了</w:t>
      </w:r>
      <w:r>
        <w:rPr>
          <w:spacing w:val="1"/>
        </w:rPr>
        <w:t>公司当期利润，因此资本市场采用</w:t>
      </w:r>
      <w:r>
        <w:rPr>
          <w:rFonts w:ascii="Times New Roman" w:hAnsi="Times New Roman" w:eastAsia="Times New Roman" w:cs="Times New Roman"/>
        </w:rPr>
        <w:t>EV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rFonts w:ascii="Times New Roman" w:hAnsi="Times New Roman" w:eastAsia="Times New Roman" w:cs="Times New Roman"/>
        </w:rPr>
        <w:t>EBITDA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估值，以反映公</w:t>
      </w:r>
      <w:r>
        <w:rPr>
          <w:spacing w:val="-7"/>
        </w:rPr>
        <w:t>司的真实价值。</w:t>
      </w:r>
    </w:p>
    <w:p>
      <w:pPr>
        <w:pStyle w:val="BodyText"/>
        <w:ind w:left="31" w:right="102" w:firstLine="589"/>
        <w:spacing w:before="277" w:line="260" w:lineRule="auto"/>
        <w:jc w:val="both"/>
        <w:rPr/>
      </w:pPr>
      <w:r>
        <w:rPr>
          <w:rFonts w:ascii="Times New Roman" w:hAnsi="Times New Roman" w:eastAsia="Times New Roman" w:cs="Times New Roman"/>
          <w:spacing w:val="-2"/>
        </w:rPr>
        <w:t>EV/EBITDA</w:t>
      </w:r>
      <w:r>
        <w:rPr>
          <w:rFonts w:ascii="Times New Roman" w:hAnsi="Times New Roman" w:eastAsia="Times New Roman" w:cs="Times New Roman"/>
          <w:spacing w:val="82"/>
          <w:w w:val="101"/>
        </w:rPr>
        <w:t xml:space="preserve"> </w:t>
      </w:r>
      <w:r>
        <w:rPr>
          <w:spacing w:val="-2"/>
        </w:rPr>
        <w:t>不适用于固定资产更新变化较快的公司、由于</w:t>
      </w:r>
      <w:r>
        <w:rPr>
          <w:spacing w:val="-8"/>
        </w:rPr>
        <w:t>收购产生巨额商誉的公司。由于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EBITDA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-8"/>
        </w:rPr>
        <w:t>中没有包含所得税，当</w:t>
      </w:r>
      <w:r>
        <w:rPr>
          <w:spacing w:val="-4"/>
        </w:rPr>
        <w:t>企业纳税差异较大时，该方法会失真。</w:t>
      </w:r>
    </w:p>
    <w:p>
      <w:pPr>
        <w:spacing w:line="260" w:lineRule="auto"/>
        <w:sectPr>
          <w:pgSz w:w="11907" w:h="16839"/>
          <w:pgMar w:top="1431" w:right="1713" w:bottom="0" w:left="1785" w:header="0" w:footer="0" w:gutter="0"/>
        </w:sectPr>
        <w:rPr/>
      </w:pPr>
    </w:p>
    <w:p>
      <w:pPr>
        <w:ind w:left="678"/>
        <w:spacing w:before="70" w:line="224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五、基于自由现金流的相对估值法（P/</w:t>
      </w:r>
      <w:r>
        <w:rPr>
          <w:rFonts w:ascii="SimHei" w:hAnsi="SimHei" w:eastAsia="SimHei" w:cs="SimHei"/>
          <w:sz w:val="31"/>
          <w:szCs w:val="31"/>
          <w:b/>
          <w:bCs/>
        </w:rPr>
        <w:t>FCF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、</w:t>
      </w:r>
      <w:r>
        <w:rPr>
          <w:rFonts w:ascii="SimHei" w:hAnsi="SimHei" w:eastAsia="SimHei" w:cs="SimHei"/>
          <w:sz w:val="31"/>
          <w:szCs w:val="31"/>
          <w:b/>
          <w:bCs/>
        </w:rPr>
        <w:t>EV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/</w:t>
      </w:r>
      <w:r>
        <w:rPr>
          <w:rFonts w:ascii="SimHei" w:hAnsi="SimHei" w:eastAsia="SimHei" w:cs="SimHei"/>
          <w:sz w:val="31"/>
          <w:szCs w:val="31"/>
          <w:b/>
          <w:bCs/>
        </w:rPr>
        <w:t>FCF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）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7" w:right="105" w:firstLine="647"/>
        <w:spacing w:before="97" w:line="260" w:lineRule="auto"/>
        <w:rPr/>
      </w:pPr>
      <w:r>
        <w:rPr>
          <w:spacing w:val="-6"/>
        </w:rPr>
        <w:t>自由现金流（</w:t>
      </w:r>
      <w:r>
        <w:rPr>
          <w:rFonts w:ascii="Times New Roman" w:hAnsi="Times New Roman" w:eastAsia="Times New Roman" w:cs="Times New Roman"/>
          <w:spacing w:val="-6"/>
        </w:rPr>
        <w:t>FCF</w:t>
      </w:r>
      <w:r>
        <w:rPr>
          <w:spacing w:val="-33"/>
        </w:rPr>
        <w:t>）＝</w:t>
      </w:r>
      <w:r>
        <w:rPr>
          <w:spacing w:val="-6"/>
        </w:rPr>
        <w:t>经营现金流（</w:t>
      </w:r>
      <w:r>
        <w:rPr>
          <w:rFonts w:ascii="Times New Roman" w:hAnsi="Times New Roman" w:eastAsia="Times New Roman" w:cs="Times New Roman"/>
          <w:spacing w:val="-6"/>
        </w:rPr>
        <w:t>EBITDA</w:t>
      </w:r>
      <w:r>
        <w:rPr>
          <w:spacing w:val="-33"/>
        </w:rPr>
        <w:t>）－</w:t>
      </w:r>
      <w:r>
        <w:rPr>
          <w:spacing w:val="-6"/>
        </w:rPr>
        <w:t>所得税－资</w:t>
      </w:r>
      <w:r>
        <w:rPr>
          <w:spacing w:val="-2"/>
        </w:rPr>
        <w:t>本支出－营运资金追加</w:t>
      </w:r>
    </w:p>
    <w:p>
      <w:pPr>
        <w:pStyle w:val="BodyText"/>
        <w:ind w:left="26" w:right="109" w:firstLine="599"/>
        <w:spacing w:before="276" w:line="259" w:lineRule="auto"/>
        <w:jc w:val="both"/>
        <w:rPr/>
      </w:pPr>
      <w:r>
        <w:rPr>
          <w:spacing w:val="7"/>
        </w:rPr>
        <w:t>基于自由现金流的估值方法通常应用于盈利波动大但自由</w:t>
      </w:r>
      <w:r>
        <w:rPr>
          <w:spacing w:val="-8"/>
        </w:rPr>
        <w:t>现金流稳定，或高度关注现金创造能力的公司。以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ServiceNow </w:t>
      </w:r>
      <w:r>
        <w:rPr>
          <w:spacing w:val="-8"/>
        </w:rPr>
        <w:t>等</w:t>
      </w:r>
      <w:r>
        <w:rPr>
          <w:rFonts w:ascii="Times New Roman" w:hAnsi="Times New Roman" w:eastAsia="Times New Roman" w:cs="Times New Roman"/>
          <w:spacing w:val="-7"/>
        </w:rPr>
        <w:t>SaaS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7"/>
        </w:rPr>
        <w:t>公司为例，在订阅商业模式下，公司收入在未来一段时间逐</w:t>
      </w:r>
      <w:r>
        <w:rPr>
          <w:spacing w:val="-4"/>
        </w:rPr>
        <w:t>渐实现，而成本则计入当期，导致净利润很低甚至为负，但公司</w:t>
      </w:r>
      <w:r>
        <w:rPr>
          <w:spacing w:val="-3"/>
        </w:rPr>
        <w:t>却拥有大量自由现金流，因此常用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P/FCF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EV/FCF </w:t>
      </w:r>
      <w:r>
        <w:rPr>
          <w:spacing w:val="-3"/>
        </w:rPr>
        <w:t>进行估值。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9"/>
        <w:spacing w:before="101" w:line="225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六、基于经营指标的相对估值法（P/</w:t>
      </w:r>
      <w:r>
        <w:rPr>
          <w:rFonts w:ascii="SimHei" w:hAnsi="SimHei" w:eastAsia="SimHei" w:cs="SimHei"/>
          <w:sz w:val="31"/>
          <w:szCs w:val="31"/>
          <w:b/>
          <w:bCs/>
        </w:rPr>
        <w:t>MAU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、P/</w:t>
      </w:r>
      <w:r>
        <w:rPr>
          <w:rFonts w:ascii="SimHei" w:hAnsi="SimHei" w:eastAsia="SimHei" w:cs="SimHei"/>
          <w:sz w:val="31"/>
          <w:szCs w:val="31"/>
          <w:b/>
          <w:bCs/>
        </w:rPr>
        <w:t>GMV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）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5" w:right="107" w:firstLine="599"/>
        <w:spacing w:before="98" w:line="258" w:lineRule="auto"/>
        <w:rPr/>
      </w:pPr>
      <w:r>
        <w:rPr>
          <w:spacing w:val="-4"/>
        </w:rPr>
        <w:t>初创期或成长早期的科创公司，巨额研发投入导致公司</w:t>
      </w:r>
      <w:r>
        <w:rPr>
          <w:spacing w:val="-5"/>
        </w:rPr>
        <w:t>微利</w:t>
      </w:r>
      <w:r>
        <w:rPr>
          <w:spacing w:val="-13"/>
        </w:rPr>
        <w:t>或亏损，无法用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PE </w:t>
      </w:r>
      <w:r>
        <w:rPr>
          <w:spacing w:val="-13"/>
        </w:rPr>
        <w:t>估值。比如新车企的研发投入超过传统车企，</w:t>
      </w:r>
      <w:r>
        <w:rPr>
          <w:spacing w:val="-7"/>
        </w:rPr>
        <w:t>特斯拉的研发支出占营收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12~13%</w:t>
      </w:r>
      <w:r>
        <w:rPr>
          <w:spacing w:val="-7"/>
        </w:rPr>
        <w:t>，通用汽车仅为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5%</w:t>
      </w:r>
      <w:r>
        <w:rPr>
          <w:spacing w:val="-7"/>
        </w:rPr>
        <w:t>。有些企业</w:t>
      </w:r>
      <w:r>
        <w:rPr>
          <w:spacing w:val="-11"/>
        </w:rPr>
        <w:t>的营收波动较大，无法使用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PS </w:t>
      </w:r>
      <w:r>
        <w:rPr>
          <w:spacing w:val="-11"/>
        </w:rPr>
        <w:t>估值。资本市场通</w:t>
      </w:r>
      <w:r>
        <w:rPr>
          <w:spacing w:val="-12"/>
        </w:rPr>
        <w:t>常根据用户数、</w:t>
      </w:r>
      <w:r>
        <w:rPr>
          <w:spacing w:val="-7"/>
        </w:rPr>
        <w:t>销量、交易流水（</w:t>
      </w:r>
      <w:r>
        <w:rPr>
          <w:rFonts w:ascii="Times New Roman" w:hAnsi="Times New Roman" w:eastAsia="Times New Roman" w:cs="Times New Roman"/>
          <w:spacing w:val="-7"/>
        </w:rPr>
        <w:t>GMV</w:t>
      </w:r>
      <w:r>
        <w:rPr>
          <w:spacing w:val="-7"/>
        </w:rPr>
        <w:t>）等经营指标，通过同行业（板块）</w:t>
      </w:r>
      <w:r>
        <w:rPr>
          <w:spacing w:val="-8"/>
        </w:rPr>
        <w:t>公司</w:t>
      </w:r>
      <w:r>
        <w:rPr>
          <w:spacing w:val="-7"/>
        </w:rPr>
        <w:t>对比进行估值。</w:t>
      </w:r>
    </w:p>
    <w:p>
      <w:pPr>
        <w:pStyle w:val="BodyText"/>
        <w:ind w:left="636"/>
        <w:spacing w:before="280" w:line="232" w:lineRule="auto"/>
        <w:outlineLvl w:val="2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．按照用户数对比估值，</w:t>
      </w:r>
      <w:r>
        <w:rPr>
          <w:rFonts w:ascii="Times New Roman" w:hAnsi="Times New Roman" w:eastAsia="Times New Roman" w:cs="Times New Roman"/>
          <w:b/>
          <w:bCs/>
          <w:spacing w:val="-3"/>
        </w:rPr>
        <w:t>P/MAU</w:t>
      </w:r>
    </w:p>
    <w:p>
      <w:pPr>
        <w:pStyle w:val="BodyText"/>
        <w:ind w:left="27" w:firstLine="601"/>
        <w:spacing w:before="319" w:line="265" w:lineRule="auto"/>
        <w:jc w:val="both"/>
        <w:rPr/>
      </w:pPr>
      <w:r>
        <w:rPr>
          <w:spacing w:val="-4"/>
        </w:rPr>
        <w:t>成长期的互联网公司，用户数快速增长，盈利模</w:t>
      </w:r>
      <w:r>
        <w:rPr>
          <w:spacing w:val="-5"/>
        </w:rPr>
        <w:t>式清晰，但</w:t>
      </w:r>
      <w:r>
        <w:rPr>
          <w:spacing w:val="-8"/>
        </w:rPr>
        <w:t>短期难以盈利。由于新兴互联网公司多为平台型公司，</w:t>
      </w:r>
      <w:r>
        <w:rPr>
          <w:spacing w:val="-33"/>
        </w:rPr>
        <w:t xml:space="preserve"> </w:t>
      </w:r>
      <w:r>
        <w:rPr>
          <w:spacing w:val="-8"/>
        </w:rPr>
        <w:t>月</w:t>
      </w:r>
      <w:r>
        <w:rPr>
          <w:spacing w:val="-9"/>
        </w:rPr>
        <w:t>活跃用</w:t>
      </w:r>
      <w:r>
        <w:rPr/>
        <w:t>户数（</w:t>
      </w:r>
      <w:r>
        <w:rPr>
          <w:rFonts w:ascii="Times New Roman" w:hAnsi="Times New Roman" w:eastAsia="Times New Roman" w:cs="Times New Roman"/>
        </w:rPr>
        <w:t>MAU</w:t>
      </w:r>
      <w:r>
        <w:rPr/>
        <w:t>）更能反映公司价值，</w:t>
      </w:r>
      <w:r>
        <w:rPr>
          <w:rFonts w:ascii="Times New Roman" w:hAnsi="Times New Roman" w:eastAsia="Times New Roman" w:cs="Times New Roman"/>
        </w:rPr>
        <w:t>P/MAU  </w:t>
      </w:r>
      <w:r>
        <w:rPr/>
        <w:t>是合理的估值方法。</w:t>
      </w:r>
    </w:p>
    <w:p>
      <w:pPr>
        <w:pStyle w:val="BodyText"/>
        <w:ind w:left="27" w:right="107" w:firstLine="632"/>
        <w:spacing w:before="251" w:line="260" w:lineRule="auto"/>
        <w:jc w:val="both"/>
        <w:rPr/>
      </w:pPr>
      <w:r>
        <w:rPr>
          <w:spacing w:val="-3"/>
        </w:rPr>
        <w:t>以哔哩哔哩为例。</w:t>
      </w:r>
      <w:r>
        <w:rPr>
          <w:rFonts w:ascii="Times New Roman" w:hAnsi="Times New Roman" w:eastAsia="Times New Roman" w:cs="Times New Roman"/>
          <w:spacing w:val="-3"/>
        </w:rPr>
        <w:t>2016Q1-2018Q4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spacing w:val="-3"/>
        </w:rPr>
        <w:t>月活跃用户从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28.5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spacing w:val="-3"/>
        </w:rPr>
        <w:t>万人</w:t>
      </w:r>
      <w:r>
        <w:rPr>
          <w:spacing w:val="-7"/>
        </w:rPr>
        <w:t>增加到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92.8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7"/>
        </w:rPr>
        <w:t>万人，三年间月活数增长三倍。营业收入随</w:t>
      </w:r>
      <w:r>
        <w:rPr>
          <w:spacing w:val="-8"/>
        </w:rPr>
        <w:t>月活数的</w:t>
      </w:r>
      <w:r>
        <w:rPr>
          <w:spacing w:val="-2"/>
        </w:rPr>
        <w:t>提高快速增长，但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2018 </w:t>
      </w:r>
      <w:r>
        <w:rPr>
          <w:spacing w:val="-2"/>
        </w:rPr>
        <w:t>年仍未盈利。</w:t>
      </w:r>
    </w:p>
    <w:p>
      <w:pPr>
        <w:pStyle w:val="BodyText"/>
        <w:ind w:left="27" w:right="105" w:firstLine="593"/>
        <w:spacing w:before="273" w:line="260" w:lineRule="auto"/>
        <w:rPr/>
      </w:pPr>
      <w:r>
        <w:rPr>
          <w:rFonts w:ascii="Times New Roman" w:hAnsi="Times New Roman" w:eastAsia="Times New Roman" w:cs="Times New Roman"/>
          <w:spacing w:val="-5"/>
        </w:rPr>
        <w:t>2018 </w:t>
      </w:r>
      <w:r>
        <w:rPr>
          <w:spacing w:val="-5"/>
        </w:rPr>
        <w:t>年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5"/>
        </w:rPr>
        <w:t>月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28  </w:t>
      </w:r>
      <w:r>
        <w:rPr>
          <w:spacing w:val="-5"/>
        </w:rPr>
        <w:t>日，哔哩哔哩（</w:t>
      </w:r>
      <w:r>
        <w:rPr>
          <w:rFonts w:ascii="Times New Roman" w:hAnsi="Times New Roman" w:eastAsia="Times New Roman" w:cs="Times New Roman"/>
          <w:spacing w:val="-5"/>
        </w:rPr>
        <w:t>BILI.O</w:t>
      </w:r>
      <w:r>
        <w:rPr>
          <w:spacing w:val="-5"/>
        </w:rPr>
        <w:t>）在纳斯达克上市。</w:t>
      </w:r>
      <w:r>
        <w:rPr>
          <w:spacing w:val="-2"/>
        </w:rPr>
        <w:t>虽然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IPO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-2"/>
        </w:rPr>
        <w:t>时公司拥有稳定收入，但按照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PS </w:t>
      </w:r>
      <w:r>
        <w:rPr>
          <w:spacing w:val="-2"/>
        </w:rPr>
        <w:t>估值与可比公司（欢</w:t>
      </w:r>
      <w:r>
        <w:rPr>
          <w:spacing w:val="-2"/>
        </w:rPr>
        <w:t>聚时代、微博和 </w:t>
      </w:r>
      <w:r>
        <w:rPr>
          <w:rFonts w:ascii="Times New Roman" w:hAnsi="Times New Roman" w:eastAsia="Times New Roman" w:cs="Times New Roman"/>
          <w:spacing w:val="-2"/>
        </w:rPr>
        <w:t>LINE</w:t>
      </w:r>
      <w:r>
        <w:rPr>
          <w:spacing w:val="-2"/>
        </w:rPr>
        <w:t>）相距甚远。可比公</w:t>
      </w:r>
      <w:r>
        <w:rPr>
          <w:spacing w:val="-3"/>
        </w:rPr>
        <w:t>司的 </w:t>
      </w:r>
      <w:r>
        <w:rPr>
          <w:rFonts w:ascii="Times New Roman" w:hAnsi="Times New Roman" w:eastAsia="Times New Roman" w:cs="Times New Roman"/>
          <w:spacing w:val="-3"/>
        </w:rPr>
        <w:t>P/MAU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spacing w:val="-3"/>
        </w:rPr>
        <w:t>平均为</w:t>
      </w:r>
      <w:r>
        <w:rPr>
          <w:rFonts w:ascii="Times New Roman" w:hAnsi="Times New Roman" w:eastAsia="Times New Roman" w:cs="Times New Roman"/>
          <w:spacing w:val="-4"/>
        </w:rPr>
        <w:t>68.5</w:t>
      </w:r>
      <w:r>
        <w:rPr>
          <w:spacing w:val="-4"/>
        </w:rPr>
        <w:t>，按照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P/MAU </w:t>
      </w:r>
      <w:r>
        <w:rPr>
          <w:spacing w:val="-4"/>
        </w:rPr>
        <w:t>进行估值，哔哩哔哩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2017Q4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4"/>
        </w:rPr>
        <w:t>的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M</w:t>
      </w:r>
      <w:r>
        <w:rPr>
          <w:rFonts w:ascii="Times New Roman" w:hAnsi="Times New Roman" w:eastAsia="Times New Roman" w:cs="Times New Roman"/>
          <w:spacing w:val="-5"/>
        </w:rPr>
        <w:t>AU </w:t>
      </w:r>
      <w:r>
        <w:rPr>
          <w:spacing w:val="-5"/>
        </w:rPr>
        <w:t>为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71.8</w:t>
      </w:r>
      <w:r>
        <w:rPr>
          <w:spacing w:val="-2"/>
        </w:rPr>
        <w:t>万人，对应市值区间 (±</w:t>
      </w:r>
      <w:r>
        <w:rPr>
          <w:rFonts w:ascii="Times New Roman" w:hAnsi="Times New Roman" w:eastAsia="Times New Roman" w:cs="Times New Roman"/>
          <w:spacing w:val="-2"/>
        </w:rPr>
        <w:t>10%</w:t>
      </w:r>
      <w:r>
        <w:rPr>
          <w:spacing w:val="-2"/>
        </w:rPr>
        <w:t>）为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44~54 </w:t>
      </w:r>
      <w:r>
        <w:rPr>
          <w:spacing w:val="-2"/>
        </w:rPr>
        <w:t>亿美元。</w:t>
      </w:r>
    </w:p>
    <w:p>
      <w:pPr>
        <w:spacing w:line="260" w:lineRule="auto"/>
        <w:sectPr>
          <w:pgSz w:w="11907" w:h="16839"/>
          <w:pgMar w:top="1431" w:right="1690" w:bottom="0" w:left="1785" w:header="0" w:footer="0" w:gutter="0"/>
        </w:sectPr>
        <w:rPr/>
      </w:pPr>
    </w:p>
    <w:p>
      <w:pPr>
        <w:pStyle w:val="BodyText"/>
        <w:ind w:left="31" w:right="84" w:firstLine="610"/>
        <w:spacing w:before="83" w:line="259" w:lineRule="auto"/>
        <w:jc w:val="both"/>
        <w:rPr/>
      </w:pPr>
      <w:r>
        <w:rPr>
          <w:spacing w:val="-10"/>
        </w:rPr>
        <w:t>哔哩哔哩上市首日市值为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31 </w:t>
      </w:r>
      <w:r>
        <w:rPr>
          <w:spacing w:val="-10"/>
        </w:rPr>
        <w:t>亿美元，这是由于其特有</w:t>
      </w:r>
      <w:r>
        <w:rPr>
          <w:spacing w:val="-11"/>
        </w:rPr>
        <w:t>的“二</w:t>
      </w:r>
      <w:r>
        <w:rPr>
          <w:spacing w:val="-6"/>
        </w:rPr>
        <w:t>次元</w:t>
      </w:r>
      <w:r>
        <w:rPr>
          <w:spacing w:val="-94"/>
        </w:rPr>
        <w:t xml:space="preserve"> </w:t>
      </w:r>
      <w:r>
        <w:rPr>
          <w:spacing w:val="-6"/>
        </w:rPr>
        <w:t>”用户群不被海外投资者所熟知和认可，单用户价值有所折</w:t>
      </w:r>
      <w:r>
        <w:rPr>
          <w:spacing w:val="-5"/>
        </w:rPr>
        <w:t>扣，因而市值小于预测区间。</w:t>
      </w:r>
    </w:p>
    <w:p>
      <w:pPr>
        <w:pStyle w:val="BodyText"/>
        <w:ind w:left="624"/>
        <w:spacing w:before="279" w:line="232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．按照销量对比估值，市值</w:t>
      </w:r>
      <w:r>
        <w:rPr>
          <w:rFonts w:ascii="Times New Roman" w:hAnsi="Times New Roman" w:eastAsia="Times New Roman" w:cs="Times New Roman"/>
          <w:b/>
          <w:bCs/>
          <w:spacing w:val="-3"/>
        </w:rPr>
        <w:t>/</w:t>
      </w:r>
      <w:r>
        <w:rPr>
          <w:b/>
          <w:bCs/>
          <w:spacing w:val="-3"/>
        </w:rPr>
        <w:t>销量</w:t>
      </w:r>
    </w:p>
    <w:p>
      <w:pPr>
        <w:pStyle w:val="BodyText"/>
        <w:ind w:left="26" w:right="86" w:firstLine="633"/>
        <w:spacing w:before="323" w:line="266" w:lineRule="auto"/>
        <w:rPr/>
      </w:pPr>
      <w:r>
        <w:rPr>
          <w:spacing w:val="-6"/>
        </w:rPr>
        <w:t>以新能源汽车为例，通常与可比公司比较汽车销量，利用市</w:t>
      </w:r>
      <w:r>
        <w:rPr>
          <w:spacing w:val="-1"/>
        </w:rPr>
        <w:t>值</w:t>
      </w:r>
      <w:r>
        <w:rPr>
          <w:rFonts w:ascii="Times New Roman" w:hAnsi="Times New Roman" w:eastAsia="Times New Roman" w:cs="Times New Roman"/>
          <w:spacing w:val="-1"/>
        </w:rPr>
        <w:t>/</w:t>
      </w:r>
      <w:r>
        <w:rPr>
          <w:spacing w:val="-1"/>
        </w:rPr>
        <w:t>销量指标进行估值。</w:t>
      </w:r>
    </w:p>
    <w:p>
      <w:pPr>
        <w:pStyle w:val="BodyText"/>
        <w:ind w:left="23" w:right="81" w:firstLine="636"/>
        <w:spacing w:before="257" w:line="259" w:lineRule="auto"/>
        <w:jc w:val="both"/>
        <w:rPr/>
      </w:pPr>
      <w:r>
        <w:rPr>
          <w:spacing w:val="-9"/>
        </w:rPr>
        <w:t>以蔚来汽车为例，对比蔚来汽车和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TESLA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9"/>
        </w:rPr>
        <w:t>的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PS</w:t>
      </w:r>
      <w:r>
        <w:rPr>
          <w:spacing w:val="-9"/>
        </w:rPr>
        <w:t>、市值</w:t>
      </w:r>
      <w:r>
        <w:rPr>
          <w:rFonts w:ascii="Times New Roman" w:hAnsi="Times New Roman" w:eastAsia="Times New Roman" w:cs="Times New Roman"/>
          <w:spacing w:val="-9"/>
        </w:rPr>
        <w:t>/</w:t>
      </w:r>
      <w:r>
        <w:rPr>
          <w:spacing w:val="-9"/>
        </w:rPr>
        <w:t>销量</w:t>
      </w:r>
      <w:r>
        <w:rPr>
          <w:spacing w:val="-2"/>
        </w:rPr>
        <w:t>可以发现，两者的市值</w:t>
      </w:r>
      <w:r>
        <w:rPr>
          <w:rFonts w:ascii="Times New Roman" w:hAnsi="Times New Roman" w:eastAsia="Times New Roman" w:cs="Times New Roman"/>
          <w:spacing w:val="-2"/>
        </w:rPr>
        <w:t>/</w:t>
      </w:r>
      <w:r>
        <w:rPr>
          <w:spacing w:val="-2"/>
        </w:rPr>
        <w:t>销量指标的差距较小。</w:t>
      </w:r>
      <w:r>
        <w:rPr>
          <w:rFonts w:ascii="Times New Roman" w:hAnsi="Times New Roman" w:eastAsia="Times New Roman" w:cs="Times New Roman"/>
          <w:spacing w:val="-2"/>
        </w:rPr>
        <w:t>2018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-2"/>
        </w:rPr>
        <w:t>年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9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2"/>
        </w:rPr>
        <w:t>月上市</w:t>
      </w:r>
      <w:r>
        <w:rPr>
          <w:spacing w:val="-5"/>
        </w:rPr>
        <w:t>到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2019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5"/>
        </w:rPr>
        <w:t>年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5"/>
        </w:rPr>
        <w:t>月底公告三季报，蔚来的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PS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5"/>
        </w:rPr>
        <w:t>均值为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10.44</w:t>
      </w:r>
      <w:r>
        <w:rPr>
          <w:spacing w:val="-5"/>
        </w:rPr>
        <w:t>，远超过</w:t>
      </w:r>
      <w:r>
        <w:rPr>
          <w:rFonts w:ascii="Times New Roman" w:hAnsi="Times New Roman" w:eastAsia="Times New Roman" w:cs="Times New Roman"/>
          <w:spacing w:val="-7"/>
        </w:rPr>
        <w:t>TESLA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7"/>
        </w:rPr>
        <w:t>同期</w:t>
      </w:r>
      <w:r>
        <w:rPr>
          <w:spacing w:val="-87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PS </w:t>
      </w:r>
      <w:r>
        <w:rPr>
          <w:spacing w:val="-7"/>
        </w:rPr>
        <w:t>均值</w:t>
      </w:r>
      <w:r>
        <w:rPr>
          <w:spacing w:val="-86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2.29</w:t>
      </w:r>
      <w:r>
        <w:rPr>
          <w:spacing w:val="-7"/>
        </w:rPr>
        <w:t>，也高于</w:t>
      </w:r>
      <w:r>
        <w:rPr>
          <w:spacing w:val="-84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TESLA </w:t>
      </w:r>
      <w:r>
        <w:rPr>
          <w:spacing w:val="-7"/>
        </w:rPr>
        <w:t>刚</w:t>
      </w:r>
      <w:r>
        <w:rPr>
          <w:spacing w:val="-8"/>
        </w:rPr>
        <w:t>上市时的</w:t>
      </w:r>
      <w:r>
        <w:rPr>
          <w:spacing w:val="-87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PS </w:t>
      </w:r>
      <w:r>
        <w:rPr>
          <w:spacing w:val="-8"/>
        </w:rPr>
        <w:t>值</w:t>
      </w:r>
      <w:r>
        <w:rPr>
          <w:spacing w:val="-8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7.3</w:t>
      </w:r>
      <w:r>
        <w:rPr>
          <w:spacing w:val="-8"/>
        </w:rPr>
        <w:t>。</w:t>
      </w:r>
    </w:p>
    <w:p>
      <w:pPr>
        <w:pStyle w:val="BodyText"/>
        <w:ind w:left="26" w:right="84" w:firstLine="623"/>
        <w:spacing w:before="276" w:line="254" w:lineRule="auto"/>
        <w:rPr/>
      </w:pPr>
      <w:r>
        <w:rPr>
          <w:spacing w:val="-8"/>
        </w:rPr>
        <w:t>因此，对于早期交付量较少的新能源车企，应该使用市值</w:t>
      </w:r>
      <w:r>
        <w:rPr>
          <w:rFonts w:ascii="Times New Roman" w:hAnsi="Times New Roman" w:eastAsia="Times New Roman" w:cs="Times New Roman"/>
          <w:spacing w:val="-8"/>
        </w:rPr>
        <w:t>/</w:t>
      </w:r>
      <w:r>
        <w:rPr>
          <w:spacing w:val="-8"/>
        </w:rPr>
        <w:t>销</w:t>
      </w:r>
      <w:r>
        <w:rPr>
          <w:spacing w:val="-8"/>
        </w:rPr>
        <w:t>量进行估值。</w:t>
      </w:r>
    </w:p>
    <w:p>
      <w:pPr>
        <w:pStyle w:val="BodyText"/>
        <w:ind w:left="621"/>
        <w:spacing w:before="294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．具体情况具体分析</w:t>
      </w:r>
    </w:p>
    <w:p>
      <w:pPr>
        <w:pStyle w:val="BodyText"/>
        <w:ind w:left="19" w:firstLine="640"/>
        <w:spacing w:before="321" w:line="261" w:lineRule="auto"/>
        <w:jc w:val="both"/>
        <w:rPr/>
      </w:pPr>
      <w:r>
        <w:rPr>
          <w:spacing w:val="-6"/>
        </w:rPr>
        <w:t>以互联网金融为例，行业处于快速成长期，企业估值需要具</w:t>
      </w:r>
      <w:r>
        <w:rPr>
          <w:spacing w:val="-2"/>
        </w:rPr>
        <w:t>体情况具体分析，不同赛道采用不同方法，主要是 </w:t>
      </w:r>
      <w:r>
        <w:rPr>
          <w:rFonts w:ascii="Times New Roman" w:hAnsi="Times New Roman" w:eastAsia="Times New Roman" w:cs="Times New Roman"/>
          <w:spacing w:val="-2"/>
        </w:rPr>
        <w:t>PS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P/G</w:t>
      </w:r>
      <w:r>
        <w:rPr>
          <w:rFonts w:ascii="Times New Roman" w:hAnsi="Times New Roman" w:eastAsia="Times New Roman" w:cs="Times New Roman"/>
          <w:spacing w:val="-3"/>
        </w:rPr>
        <w:t>MV</w:t>
      </w:r>
      <w:r>
        <w:rPr>
          <w:spacing w:val="-11"/>
        </w:rPr>
        <w:t>指标，</w:t>
      </w:r>
      <w:r>
        <w:rPr>
          <w:rFonts w:ascii="Times New Roman" w:hAnsi="Times New Roman" w:eastAsia="Times New Roman" w:cs="Times New Roman"/>
          <w:spacing w:val="-11"/>
        </w:rPr>
        <w:t>GMV </w:t>
      </w:r>
      <w:r>
        <w:rPr>
          <w:spacing w:val="-11"/>
        </w:rPr>
        <w:t>包括资产管理规模、交易规</w:t>
      </w:r>
      <w:r>
        <w:rPr>
          <w:spacing w:val="-12"/>
        </w:rPr>
        <w:t>模、贷款规模等。例如，</w:t>
      </w:r>
      <w:r>
        <w:rPr>
          <w:spacing w:val="-7"/>
        </w:rPr>
        <w:t>当前支付行业</w:t>
      </w:r>
      <w:r>
        <w:rPr>
          <w:spacing w:val="-85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PS </w:t>
      </w:r>
      <w:r>
        <w:rPr>
          <w:spacing w:val="-7"/>
        </w:rPr>
        <w:t>多为</w:t>
      </w:r>
      <w:r>
        <w:rPr>
          <w:spacing w:val="-84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2~10 </w:t>
      </w:r>
      <w:r>
        <w:rPr>
          <w:spacing w:val="-7"/>
        </w:rPr>
        <w:t>倍，而市值</w:t>
      </w:r>
      <w:r>
        <w:rPr>
          <w:rFonts w:ascii="Times New Roman" w:hAnsi="Times New Roman" w:eastAsia="Times New Roman" w:cs="Times New Roman"/>
          <w:spacing w:val="-7"/>
        </w:rPr>
        <w:t>/</w:t>
      </w:r>
      <w:r>
        <w:rPr>
          <w:spacing w:val="-7"/>
        </w:rPr>
        <w:t>交易规模为</w:t>
      </w:r>
      <w:r>
        <w:rPr>
          <w:spacing w:val="-79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0.</w:t>
      </w:r>
      <w:r>
        <w:rPr>
          <w:rFonts w:ascii="Times New Roman" w:hAnsi="Times New Roman" w:eastAsia="Times New Roman" w:cs="Times New Roman"/>
          <w:spacing w:val="-8"/>
        </w:rPr>
        <w:t>03~0.37 </w:t>
      </w:r>
      <w:r>
        <w:rPr>
          <w:spacing w:val="-8"/>
        </w:rPr>
        <w:t>倍，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PS </w:t>
      </w:r>
      <w:r>
        <w:rPr>
          <w:spacing w:val="-1"/>
        </w:rPr>
        <w:t>相对比较精确。消费信贷公司宜用市值</w:t>
      </w:r>
      <w:r>
        <w:rPr>
          <w:rFonts w:ascii="Times New Roman" w:hAnsi="Times New Roman" w:eastAsia="Times New Roman" w:cs="Times New Roman"/>
          <w:spacing w:val="-1"/>
        </w:rPr>
        <w:t>/</w:t>
      </w:r>
      <w:r>
        <w:rPr>
          <w:spacing w:val="-2"/>
        </w:rPr>
        <w:t>贷款规模指标。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ind w:left="668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七、现金流折现法（</w:t>
      </w:r>
      <w:r>
        <w:rPr>
          <w:rFonts w:ascii="SimHei" w:hAnsi="SimHei" w:eastAsia="SimHei" w:cs="SimHei"/>
          <w:sz w:val="31"/>
          <w:szCs w:val="31"/>
          <w:b/>
          <w:bCs/>
        </w:rPr>
        <w:t>DCF</w:t>
      </w: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、</w:t>
      </w:r>
      <w:r>
        <w:rPr>
          <w:rFonts w:ascii="SimHei" w:hAnsi="SimHei" w:eastAsia="SimHei" w:cs="SimHei"/>
          <w:sz w:val="31"/>
          <w:szCs w:val="31"/>
          <w:b/>
          <w:bCs/>
        </w:rPr>
        <w:t>rNPV</w:t>
      </w: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）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6" w:firstLine="602"/>
        <w:spacing w:before="98" w:line="260" w:lineRule="auto"/>
        <w:jc w:val="both"/>
        <w:rPr/>
      </w:pPr>
      <w:r>
        <w:rPr>
          <w:spacing w:val="-4"/>
        </w:rPr>
        <w:t>现金流折现（</w:t>
      </w:r>
      <w:r>
        <w:rPr>
          <w:rFonts w:ascii="Times New Roman" w:hAnsi="Times New Roman" w:eastAsia="Times New Roman" w:cs="Times New Roman"/>
          <w:spacing w:val="-4"/>
        </w:rPr>
        <w:t>DCF</w:t>
      </w:r>
      <w:r>
        <w:rPr>
          <w:spacing w:val="-4"/>
        </w:rPr>
        <w:t>）是预测公司未来的自由现金流并折现为</w:t>
      </w:r>
      <w:r>
        <w:rPr>
          <w:spacing w:val="-1"/>
        </w:rPr>
        <w:t>现值，折现率是资本成本。该方法的预测与计算过程比较复杂，</w:t>
      </w:r>
      <w:r>
        <w:rPr>
          <w:spacing w:val="-4"/>
        </w:rPr>
        <w:t>通常用于投资项目的技术经济分析。</w:t>
      </w:r>
    </w:p>
    <w:p>
      <w:pPr>
        <w:pStyle w:val="BodyText"/>
        <w:ind w:left="31" w:right="85" w:firstLine="588"/>
        <w:spacing w:before="270" w:line="260" w:lineRule="auto"/>
        <w:jc w:val="both"/>
        <w:rPr/>
      </w:pPr>
      <w:r>
        <w:rPr>
          <w:rFonts w:ascii="Times New Roman" w:hAnsi="Times New Roman" w:eastAsia="Times New Roman" w:cs="Times New Roman"/>
          <w:spacing w:val="-6"/>
        </w:rPr>
        <w:t>DCF </w:t>
      </w:r>
      <w:r>
        <w:rPr>
          <w:spacing w:val="-6"/>
        </w:rPr>
        <w:t>适用于现金流增长比较稳定、可预测度高的企业，通常</w:t>
      </w:r>
      <w:r>
        <w:rPr>
          <w:spacing w:val="-4"/>
        </w:rPr>
        <w:t>是成长后期及成熟期的企业。当企业缺乏可比公司或产品业务缺</w:t>
      </w:r>
      <w:r>
        <w:rPr>
          <w:spacing w:val="-4"/>
        </w:rPr>
        <w:t>乏销售及利润数据时，相对估值法基本失效，绝对估值法成</w:t>
      </w:r>
      <w:r>
        <w:rPr>
          <w:spacing w:val="-5"/>
        </w:rPr>
        <w:t>为唯</w:t>
      </w:r>
      <w:r>
        <w:rPr>
          <w:spacing w:val="-8"/>
        </w:rPr>
        <w:t>一可行方法。最典型的是创新药企业，</w:t>
      </w:r>
      <w:r>
        <w:rPr>
          <w:spacing w:val="-39"/>
        </w:rPr>
        <w:t xml:space="preserve"> </w:t>
      </w:r>
      <w:r>
        <w:rPr>
          <w:spacing w:val="-8"/>
        </w:rPr>
        <w:t>估值方法是风险调整的现</w:t>
      </w:r>
    </w:p>
    <w:p>
      <w:pPr>
        <w:spacing w:line="260" w:lineRule="auto"/>
        <w:sectPr>
          <w:pgSz w:w="11907" w:h="16839"/>
          <w:pgMar w:top="1431" w:right="1713" w:bottom="0" w:left="1785" w:header="0" w:footer="0" w:gutter="0"/>
        </w:sectPr>
        <w:rPr/>
      </w:pPr>
    </w:p>
    <w:p>
      <w:pPr>
        <w:pStyle w:val="BodyText"/>
        <w:ind w:left="25" w:right="106" w:firstLine="3"/>
        <w:spacing w:before="86" w:line="254" w:lineRule="auto"/>
        <w:rPr/>
      </w:pPr>
      <w:r>
        <w:rPr>
          <w:spacing w:val="-2"/>
        </w:rPr>
        <w:t>金流折现法（</w:t>
      </w:r>
      <w:r>
        <w:rPr>
          <w:rFonts w:ascii="Times New Roman" w:hAnsi="Times New Roman" w:eastAsia="Times New Roman" w:cs="Times New Roman"/>
          <w:spacing w:val="-2"/>
        </w:rPr>
        <w:t>risk-adjusted NPV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-2"/>
        </w:rPr>
        <w:t>，</w:t>
      </w:r>
      <w:r>
        <w:rPr>
          <w:rFonts w:ascii="Times New Roman" w:hAnsi="Times New Roman" w:eastAsia="Times New Roman" w:cs="Times New Roman"/>
          <w:spacing w:val="-2"/>
        </w:rPr>
        <w:t>rNPV</w:t>
      </w:r>
      <w:r>
        <w:rPr>
          <w:spacing w:val="-65"/>
        </w:rPr>
        <w:t>），</w:t>
      </w:r>
      <w:r>
        <w:rPr>
          <w:spacing w:val="-2"/>
        </w:rPr>
        <w:t>就是在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DCF </w:t>
      </w:r>
      <w:r>
        <w:rPr>
          <w:spacing w:val="-2"/>
        </w:rPr>
        <w:t>模型的基</w:t>
      </w:r>
      <w:r>
        <w:rPr>
          <w:spacing w:val="-5"/>
        </w:rPr>
        <w:t>础上增加药品的上市概率。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670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八、股利贴现法（</w:t>
      </w:r>
      <w:r>
        <w:rPr>
          <w:rFonts w:ascii="SimHei" w:hAnsi="SimHei" w:eastAsia="SimHei" w:cs="SimHei"/>
          <w:sz w:val="31"/>
          <w:szCs w:val="31"/>
          <w:b/>
          <w:bCs/>
        </w:rPr>
        <w:t>DDM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）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9" w:firstLine="589"/>
        <w:spacing w:before="97" w:line="261" w:lineRule="auto"/>
        <w:rPr/>
      </w:pPr>
      <w:r>
        <w:rPr>
          <w:rFonts w:ascii="Times New Roman" w:hAnsi="Times New Roman" w:eastAsia="Times New Roman" w:cs="Times New Roman"/>
          <w:spacing w:val="-1"/>
        </w:rPr>
        <w:t>DDM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spacing w:val="-1"/>
        </w:rPr>
        <w:t>适用于长期稳定分红的科创企业。由于科创企业技术</w:t>
      </w:r>
      <w:r>
        <w:rPr/>
        <w:t>更新快，长期稳定分红的企业较少，该方法在实践中应用</w:t>
      </w:r>
      <w:r>
        <w:rPr>
          <w:spacing w:val="-1"/>
        </w:rPr>
        <w:t>较少。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45" w:right="349" w:firstLine="4"/>
        <w:spacing w:before="98" w:line="386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3"/>
        </w:rPr>
        <w:t>资料来源</w:t>
      </w:r>
      <w:r>
        <w:rPr>
          <w:rFonts w:ascii="FangSong" w:hAnsi="FangSong" w:eastAsia="FangSong" w:cs="FangSong"/>
          <w:sz w:val="30"/>
          <w:szCs w:val="30"/>
          <w:spacing w:val="-3"/>
        </w:rPr>
        <w:t>：Wind，上交所，中金公司、中信证券、摩根士丹利</w:t>
      </w:r>
      <w:r>
        <w:rPr>
          <w:rFonts w:ascii="FangSong" w:hAnsi="FangSong" w:eastAsia="FangSong" w:cs="FangSong"/>
          <w:sz w:val="30"/>
          <w:szCs w:val="30"/>
          <w:spacing w:val="-18"/>
        </w:rPr>
        <w:t>等。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39"/>
        <w:spacing w:before="99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ind w:left="13" w:right="203" w:firstLine="569"/>
        <w:spacing w:before="92" w:line="278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姚群峰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中国人民大学企业管理专业硕士，从事战略营销咨询</w:t>
      </w:r>
      <w:r>
        <w:rPr>
          <w:rFonts w:ascii="KaiTi" w:hAnsi="KaiTi" w:eastAsia="KaiTi" w:cs="KaiTi"/>
          <w:sz w:val="28"/>
          <w:szCs w:val="28"/>
          <w:spacing w:val="-4"/>
        </w:rPr>
        <w:t>研究工作</w:t>
      </w:r>
      <w:r>
        <w:rPr>
          <w:rFonts w:ascii="KaiTi" w:hAnsi="KaiTi" w:eastAsia="KaiTi" w:cs="KaiTi"/>
          <w:sz w:val="28"/>
          <w:szCs w:val="28"/>
          <w:spacing w:val="-4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30</w:t>
      </w:r>
      <w:r>
        <w:rPr>
          <w:rFonts w:ascii="KaiTi" w:hAnsi="KaiTi" w:eastAsia="KaiTi" w:cs="KaiTi"/>
          <w:sz w:val="28"/>
          <w:szCs w:val="28"/>
          <w:spacing w:val="-60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年，发表文章百余篇，代表作是“病毒营销三部曲</w:t>
      </w:r>
      <w:r>
        <w:rPr>
          <w:rFonts w:ascii="KaiTi" w:hAnsi="KaiTi" w:eastAsia="KaiTi" w:cs="KaiTi"/>
          <w:sz w:val="28"/>
          <w:szCs w:val="28"/>
          <w:spacing w:val="-10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”：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8"/>
        </w:rPr>
        <w:t>《感染力</w:t>
      </w:r>
      <w:r>
        <w:rPr>
          <w:rFonts w:ascii="KaiTi" w:hAnsi="KaiTi" w:eastAsia="KaiTi" w:cs="KaiTi"/>
          <w:sz w:val="28"/>
          <w:szCs w:val="28"/>
          <w:spacing w:val="-18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8"/>
        </w:rPr>
        <w:t>2.0》《客户经营》《不营而销》。【13301168833】</w:t>
      </w:r>
    </w:p>
    <w:sectPr>
      <w:pgSz w:w="11907" w:h="16839"/>
      <w:pgMar w:top="1431" w:right="1691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2023-04-17T17:37:27Z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2025-11-04T15:55:39</vt:filetime>
  </property>
</Properties>
</file>