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rPr>
          <w:sz w:val="36"/>
          <w:szCs w:val="36"/>
        </w:rPr>
      </w:pPr>
      <w:r>
        <w:rPr>
          <w:rFonts w:hint="eastAsia"/>
          <w:sz w:val="36"/>
          <w:szCs w:val="36"/>
        </w:rPr>
        <w:t>云上数字主权捍卫者：微软主权云及其对中国政务云发展启示</w:t>
      </w:r>
    </w:p>
    <w:p>
      <w:pPr>
        <w:jc w:val="center"/>
        <w:rPr>
          <w:rFonts w:ascii="楷体" w:hAnsi="楷体" w:eastAsia="楷体" w:cs="宋体"/>
          <w:bCs/>
          <w:sz w:val="24"/>
          <w:szCs w:val="32"/>
        </w:rPr>
      </w:pPr>
      <w:r>
        <w:rPr>
          <w:rFonts w:hint="eastAsia" w:ascii="楷体" w:hAnsi="楷体" w:eastAsia="楷体" w:cs="宋体"/>
          <w:bCs/>
          <w:sz w:val="24"/>
          <w:szCs w:val="32"/>
        </w:rPr>
        <w:t>文/ 魏玥</w:t>
      </w:r>
    </w:p>
    <w:p>
      <w:pPr>
        <w:jc w:val="center"/>
        <w:rPr>
          <w:rFonts w:ascii="楷体_GB2312" w:hAnsi="宋体" w:eastAsia="楷体_GB2312" w:cs="宋体"/>
          <w:bCs/>
          <w:sz w:val="24"/>
          <w:szCs w:val="32"/>
        </w:rPr>
      </w:pPr>
    </w:p>
    <w:p>
      <w:pPr>
        <w:ind w:firstLine="560" w:firstLineChars="200"/>
        <w:rPr>
          <w:sz w:val="28"/>
          <w:szCs w:val="30"/>
        </w:rPr>
      </w:pPr>
      <w:r>
        <w:rPr>
          <w:rFonts w:hint="eastAsia"/>
          <w:sz w:val="28"/>
          <w:szCs w:val="30"/>
        </w:rPr>
        <w:t>数字主权指主体在数字世界中自主行动的能力，即不受其他主体制约或干扰，可自主进行数字活动、掌控数字行为所依赖软硬件环境和所产生数据等的能力。</w:t>
      </w:r>
    </w:p>
    <w:p>
      <w:pPr>
        <w:ind w:firstLine="560" w:firstLineChars="200"/>
        <w:rPr>
          <w:sz w:val="28"/>
          <w:szCs w:val="30"/>
        </w:rPr>
      </w:pPr>
      <w:r>
        <w:rPr>
          <w:rFonts w:hint="eastAsia"/>
          <w:sz w:val="28"/>
          <w:szCs w:val="30"/>
        </w:rPr>
        <w:t>随数字经济在全球经济占比提升，全球政府和公共部门愈发重视数字主权。例如，欧盟近年来陆续出台《通用数据保护条例》《数字市场法》《数字服务法》等政策文件与法律框架强化数字主权。云计算改变了传统的软硬件供给方式（如自建、购买），采用XaaS一切皆服务供给模式（软硬件由云厂商及合作伙伴建设运营，客户按需租用），一定程度上削弱了客户对数字行为及环境的控制能力。因此，云上数字主权受到政府普遍关注。如何在满足安全、合规、政策要求的同时最大化云服务益处，成为云厂商争取政务客户的关键。</w:t>
      </w:r>
    </w:p>
    <w:p>
      <w:pPr>
        <w:ind w:firstLine="560" w:firstLineChars="200"/>
        <w:rPr>
          <w:b/>
          <w:sz w:val="24"/>
        </w:rPr>
      </w:pPr>
      <w:r>
        <w:rPr>
          <w:rFonts w:hint="eastAsia"/>
          <w:sz w:val="28"/>
          <w:szCs w:val="30"/>
        </w:rPr>
        <w:t>微软云始终对政务市场高度重视，不仅在美国提供“政府云”，2022年更是面向全球发布“主权云”。微软主权云对云厂商强化政务客户承接能力颇具参考价值，值得关注与学习。</w:t>
      </w:r>
    </w:p>
    <w:p>
      <w:pPr>
        <w:pStyle w:val="3"/>
      </w:pPr>
      <w:r>
        <w:rPr>
          <w:rFonts w:hint="eastAsia"/>
        </w:rPr>
        <w:t>一、微软主权云是面向全球政府和公共部门的行业云，强调基于机密计算实现云上主权自主</w:t>
      </w:r>
    </w:p>
    <w:p>
      <w:pPr>
        <w:ind w:firstLine="600" w:firstLineChars="200"/>
      </w:pPr>
      <w:r>
        <w:rPr>
          <w:rFonts w:hint="eastAsia"/>
        </w:rPr>
        <w:t>微软云2022年7月发布IaaS/PaaS/SaaS全栈政务解决方案——“主权云”（Microsoft Cloud for Sovereignty），基于公有云，通过加密、机密计算</w:t>
      </w:r>
      <w:r>
        <w:rPr>
          <w:rStyle w:val="18"/>
        </w:rPr>
        <w:footnoteReference w:id="0"/>
      </w:r>
      <w:r>
        <w:rPr>
          <w:rFonts w:hint="eastAsia"/>
        </w:rPr>
        <w:t>、审计权等实现数据控制，旨在让全球政府和公共部门客户在满足安全合规和政策要求的同时充分享用微软全部标准云服务。这并不是微软云第一个政务云，其此前已面向美国政府提供“政府云”，依托物理隔离的服务实例和公民身份验证实现数据保护。相比基于专属云的“政府云”，“主权云”支持公有云全部标准服务，兼容性更强、基础设施利用率更高、产品和功能更加丰富。</w:t>
      </w:r>
    </w:p>
    <w:p>
      <w:pPr>
        <w:ind w:firstLine="600" w:firstLineChars="200"/>
      </w:pPr>
      <w:r>
        <w:rPr>
          <w:rFonts w:hint="eastAsia"/>
        </w:rPr>
        <w:t>具体实现上，微软主权云主要发力点在于：尽力满足全球客户数据驻留要求，基于机密计算构建全栈云主权控制，通过政府安全计划GSP提高透明度，借助合作伙伴提高本地化服务水平。</w:t>
      </w:r>
    </w:p>
    <w:p>
      <w:pPr>
        <w:pStyle w:val="4"/>
        <w:ind w:firstLine="602" w:firstLineChars="200"/>
        <w:rPr>
          <w:szCs w:val="30"/>
        </w:rPr>
      </w:pPr>
      <w:r>
        <w:rPr>
          <w:rFonts w:hint="eastAsia"/>
          <w:szCs w:val="30"/>
        </w:rPr>
        <w:t>1. 依托全球Azure数据中心满足数据驻留要求</w:t>
      </w:r>
    </w:p>
    <w:p>
      <w:pPr>
        <w:ind w:firstLine="600" w:firstLineChars="200"/>
      </w:pPr>
      <w:r>
        <w:rPr>
          <w:rFonts w:hint="eastAsia"/>
        </w:rPr>
        <w:t>欧盟成员国、中国、俄罗斯、加拿大、印度等数十个国家均有本国数据在境内存储和处理的数据驻留要求。依托覆盖60+区域、35个国家的Azure数据中心，微软允许客户就大多数服务指定部署国家或地区，以此满足行业、国家或全球安全、隐私与合规要求。同时，微软拥有100+安全合规认证，在全球云商中最为全面，并通过与政府、监管机构、标准机构等合作，保持对最新数字主权要求的及时了解与快速应对。此外，对于当地无数据中心但有数据驻留要求的客户，微软提供Azure</w:t>
      </w:r>
      <w:r>
        <w:t xml:space="preserve"> </w:t>
      </w:r>
      <w:r>
        <w:rPr>
          <w:rFonts w:hint="eastAsia"/>
        </w:rPr>
        <w:t>Stack混合云一体机补充方案。</w:t>
      </w:r>
    </w:p>
    <w:p>
      <w:pPr>
        <w:pStyle w:val="4"/>
        <w:ind w:firstLine="602" w:firstLineChars="200"/>
        <w:rPr>
          <w:szCs w:val="30"/>
        </w:rPr>
      </w:pPr>
      <w:r>
        <w:rPr>
          <w:rFonts w:hint="eastAsia"/>
          <w:szCs w:val="30"/>
        </w:rPr>
        <w:t>2. 机密计算是实现全栈云主权控制的核心</w:t>
      </w:r>
    </w:p>
    <w:p>
      <w:pPr>
        <w:ind w:firstLine="600" w:firstLineChars="200"/>
      </w:pPr>
      <w:r>
        <w:rPr>
          <w:rFonts w:hint="eastAsia"/>
        </w:rPr>
        <w:t xml:space="preserve">微软主权云的数据保护与加密功能贯穿IaaS/PaaS/SaaS全栈。IaaS和PaaS层借助Azure的机密计算，提供机密虚机、机密容器、专用HSM（硬件安全模块）、机密账本等，确保存储、传输、使用中的数据始终加密，并避免数据和密钥遭受不安全访问；SaaS层则主要依靠双密钥加密保障机密安全。此外，微软通过Azure </w:t>
      </w:r>
      <w:r>
        <w:t>Arc</w:t>
      </w:r>
      <w:r>
        <w:rPr>
          <w:rFonts w:hint="eastAsia"/>
        </w:rPr>
        <w:t>多云管理平台将Azure的安全、管理、治理等功能扩展到包括服务器、Kubernetes集群、数据库等在内的非Azure托管环境，帮助客户控制日益复杂的IT环境；同时针对政务行业监管要求提供主权上云框架（</w:t>
      </w:r>
      <w:r>
        <w:t>Sovereignty Landing Zone</w:t>
      </w:r>
      <w:r>
        <w:rPr>
          <w:rFonts w:hint="eastAsia"/>
        </w:rPr>
        <w:t>），简化安全服务与策略控制操作。</w:t>
      </w:r>
    </w:p>
    <w:p>
      <w:r>
        <w:drawing>
          <wp:inline distT="0" distB="0" distL="0" distR="0">
            <wp:extent cx="5274310" cy="878205"/>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
                    <a:stretch>
                      <a:fillRect/>
                    </a:stretch>
                  </pic:blipFill>
                  <pic:spPr>
                    <a:xfrm>
                      <a:off x="0" y="0"/>
                      <a:ext cx="5274310" cy="878205"/>
                    </a:xfrm>
                    <a:prstGeom prst="rect">
                      <a:avLst/>
                    </a:prstGeom>
                  </pic:spPr>
                </pic:pic>
              </a:graphicData>
            </a:graphic>
          </wp:inline>
        </w:drawing>
      </w:r>
    </w:p>
    <w:p>
      <w:pPr>
        <w:spacing w:after="240"/>
        <w:jc w:val="center"/>
        <w:rPr>
          <w:b/>
          <w:sz w:val="21"/>
          <w:szCs w:val="21"/>
        </w:rPr>
      </w:pPr>
      <w:r>
        <w:rPr>
          <w:rFonts w:hint="eastAsia"/>
          <w:b/>
          <w:sz w:val="21"/>
          <w:szCs w:val="21"/>
        </w:rPr>
        <w:t>图1</w:t>
      </w:r>
      <w:r>
        <w:rPr>
          <w:b/>
          <w:sz w:val="21"/>
          <w:szCs w:val="21"/>
        </w:rPr>
        <w:t xml:space="preserve"> </w:t>
      </w:r>
      <w:r>
        <w:rPr>
          <w:rFonts w:hint="eastAsia"/>
          <w:b/>
          <w:sz w:val="21"/>
          <w:szCs w:val="21"/>
        </w:rPr>
        <w:t>机密计算示意</w:t>
      </w:r>
      <w:r>
        <w:rPr>
          <w:rFonts w:hint="eastAsia"/>
          <w:sz w:val="21"/>
          <w:szCs w:val="21"/>
        </w:rPr>
        <w:t>（来源：公开资料整理）</w:t>
      </w:r>
    </w:p>
    <w:p>
      <w:pPr>
        <w:ind w:firstLine="600" w:firstLineChars="200"/>
      </w:pPr>
      <w:r>
        <w:rPr>
          <w:rFonts w:hint="eastAsia"/>
        </w:rPr>
        <w:t>至于机密计算所能达到的数字主权控制程度，Azure主权评估模型</w:t>
      </w:r>
      <w:r>
        <w:rPr>
          <w:rStyle w:val="18"/>
        </w:rPr>
        <w:footnoteReference w:id="1"/>
      </w:r>
      <w:r>
        <w:rPr>
          <w:rFonts w:hint="eastAsia"/>
        </w:rPr>
        <w:t>评估结果显示，“机密云”（即经Azure机密计算加持的公有云）与公有云相比，功能完整性、弹性、可扩展性等几乎无差别，而数据主权保护表现明显更优，甚至与混合云、私有云相当。</w:t>
      </w:r>
    </w:p>
    <w:p>
      <w:pPr>
        <w:jc w:val="center"/>
      </w:pPr>
      <w:r>
        <w:drawing>
          <wp:inline distT="0" distB="0" distL="0" distR="0">
            <wp:extent cx="5274310" cy="265684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274310" cy="2656840"/>
                    </a:xfrm>
                    <a:prstGeom prst="rect">
                      <a:avLst/>
                    </a:prstGeom>
                  </pic:spPr>
                </pic:pic>
              </a:graphicData>
            </a:graphic>
          </wp:inline>
        </w:drawing>
      </w:r>
    </w:p>
    <w:p>
      <w:pPr>
        <w:spacing w:after="240"/>
        <w:ind w:firstLine="422" w:firstLineChars="200"/>
        <w:jc w:val="center"/>
      </w:pPr>
      <w:r>
        <w:rPr>
          <w:rFonts w:hint="eastAsia"/>
          <w:b/>
          <w:sz w:val="21"/>
        </w:rPr>
        <w:t>图2</w:t>
      </w:r>
      <w:r>
        <w:rPr>
          <w:b/>
          <w:sz w:val="21"/>
        </w:rPr>
        <w:t xml:space="preserve"> </w:t>
      </w:r>
      <w:r>
        <w:rPr>
          <w:rFonts w:hint="eastAsia"/>
          <w:b/>
          <w:sz w:val="21"/>
        </w:rPr>
        <w:t>Azure主权评估模型</w:t>
      </w:r>
      <w:r>
        <w:rPr>
          <w:rFonts w:hint="eastAsia"/>
          <w:sz w:val="21"/>
        </w:rPr>
        <w:t>（</w:t>
      </w:r>
      <w:r>
        <w:rPr>
          <w:rFonts w:hint="eastAsia"/>
          <w:sz w:val="21"/>
          <w:szCs w:val="21"/>
        </w:rPr>
        <w:t>来源：微软官网资料整理</w:t>
      </w:r>
      <w:r>
        <w:rPr>
          <w:rFonts w:hint="eastAsia"/>
          <w:sz w:val="21"/>
        </w:rPr>
        <w:t>）</w:t>
      </w:r>
    </w:p>
    <w:p>
      <w:pPr>
        <w:pStyle w:val="4"/>
        <w:ind w:firstLine="602" w:firstLineChars="200"/>
        <w:rPr>
          <w:szCs w:val="30"/>
        </w:rPr>
      </w:pPr>
      <w:r>
        <w:rPr>
          <w:rFonts w:hint="eastAsia"/>
          <w:szCs w:val="30"/>
        </w:rPr>
        <w:t>3. 基于政府安全计划（GSP）和审计权强化治理和透明度</w:t>
      </w:r>
    </w:p>
    <w:p>
      <w:pPr>
        <w:ind w:firstLine="600" w:firstLineChars="200"/>
      </w:pPr>
      <w:r>
        <w:rPr>
          <w:rFonts w:hint="eastAsia"/>
        </w:rPr>
        <w:t>微软主权云将政府安全计划（GSP）</w:t>
      </w:r>
      <w:r>
        <w:rPr>
          <w:rStyle w:val="18"/>
        </w:rPr>
        <w:footnoteReference w:id="2"/>
      </w:r>
      <w:r>
        <w:rPr>
          <w:rFonts w:hint="eastAsia"/>
        </w:rPr>
        <w:t>扩展到了关键Azure基础设施组件等云产品核心，以此提高全栈云的透明度并加强客户信任。此外，微软主权云允许审计权依据保密协议和可用审计条款检查Azure合规流程和证据。</w:t>
      </w:r>
    </w:p>
    <w:p>
      <w:pPr>
        <w:pStyle w:val="4"/>
        <w:ind w:firstLine="602" w:firstLineChars="200"/>
        <w:rPr>
          <w:szCs w:val="30"/>
        </w:rPr>
      </w:pPr>
      <w:r>
        <w:rPr>
          <w:rFonts w:hint="eastAsia"/>
          <w:szCs w:val="30"/>
        </w:rPr>
        <w:t>4. 倚重本地合作伙伴承接当地公共部门客户</w:t>
      </w:r>
    </w:p>
    <w:p>
      <w:pPr>
        <w:ind w:firstLine="600" w:firstLineChars="200"/>
      </w:pPr>
      <w:r>
        <w:rPr>
          <w:rFonts w:hint="eastAsia"/>
        </w:rPr>
        <w:t>微软主权云秉持“合作伙伴主导、合作伙伴优先”理念发展本地生态。微软提供云底座、工具创新、流程定制和透明度，而云环境的规划、部署、管理和运营，以及上云框架定制、审计程序协助等增值服务均由本地合作伙伴负责实施。如在欧洲，微软已先后与Arvato（德）、Capgemini（法）等咨询公司，Minsait（西班牙）、SAP（德）等软件厂商，Orange（法）、Telefonica（西班牙）等电信运营商，以及意大利国防企业Leonardo等展开合作，构建满足本地客户的全栈主权云服务。</w:t>
      </w:r>
    </w:p>
    <w:p>
      <w:pPr>
        <w:pStyle w:val="3"/>
      </w:pPr>
      <w:r>
        <w:rPr>
          <w:rFonts w:hint="eastAsia"/>
        </w:rPr>
        <w:t>二、微软主权云为中国政务云打开新发展思路</w:t>
      </w:r>
    </w:p>
    <w:p>
      <w:pPr>
        <w:ind w:firstLine="600" w:firstLineChars="200"/>
      </w:pPr>
      <w:r>
        <w:rPr>
          <w:rFonts w:hint="eastAsia"/>
        </w:rPr>
        <w:t>近年来，数据泄露、非法访问等事件频发，为满足信息安全需要，政府等客户多选择将关键业务系统部署到物理隔离的专属云，以此提高对数字主权的把控，规避风险。从政务云市场表现来看，政务专属云基础设施（自建私有云和专属云）份额长期远高于政务公有云基础设施，其中2022H1专属云和公有云规模分别为168.65和41.56亿元（</w:t>
      </w:r>
      <w:r>
        <w:t>4:1</w:t>
      </w:r>
      <w:r>
        <w:rPr>
          <w:rFonts w:hint="eastAsia"/>
        </w:rPr>
        <w:t>）。而</w:t>
      </w:r>
      <w:r>
        <w:rPr>
          <w:rFonts w:hint="eastAsia"/>
          <w:b/>
        </w:rPr>
        <w:t>微软主权云实现了与专属云可比的主权控制能力，为政务公有云打开了新思路，即通过机密计算等技术确保各状态（存储、传输和使用中）数据安全，以此争取政务专属云（潜在）客户，为政务公有云拓宽空间。</w:t>
      </w:r>
    </w:p>
    <w:p>
      <w:pPr>
        <w:ind w:firstLine="600" w:firstLineChars="200"/>
      </w:pPr>
      <w:r>
        <w:rPr>
          <w:rFonts w:hint="eastAsia"/>
        </w:rPr>
        <w:t>国内外科技巨头多重视机密计算。微软、谷歌、阿里、百度、腾讯、英特尔、AMD、IBM、红帽、甲骨文、瑞士电信等2019年联合创立针对云服务及硬件生态中的数据安全的机密计算联盟（CCC）。当前，阿里、腾讯、百度均支持机密计算环境构建并提供机密计算平台产品，为客户数据全生命周期的机密性和完整性提供端到端保护。此外，法国国防企业泰雷兹专注云外密钥管理，与AWS、微软云、谷歌云、SAP等云厂商均有合作。</w:t>
      </w:r>
    </w:p>
    <w:p>
      <w:pPr>
        <w:pStyle w:val="3"/>
      </w:pPr>
      <w:r>
        <w:rPr>
          <w:rFonts w:hint="eastAsia"/>
        </w:rPr>
        <w:t>三、</w:t>
      </w:r>
      <w:r>
        <w:rPr>
          <w:rFonts w:hint="eastAsia"/>
          <w:lang w:val="en-US" w:eastAsia="zh-CN"/>
        </w:rPr>
        <w:t>对</w:t>
      </w:r>
      <w:r>
        <w:rPr>
          <w:rFonts w:hint="eastAsia"/>
        </w:rPr>
        <w:t>中国政务云发展</w:t>
      </w:r>
      <w:r>
        <w:rPr>
          <w:rFonts w:hint="eastAsia"/>
          <w:lang w:val="en-US" w:eastAsia="zh-CN"/>
        </w:rPr>
        <w:t>的</w:t>
      </w:r>
      <w:bookmarkStart w:id="0" w:name="_GoBack"/>
      <w:bookmarkEnd w:id="0"/>
      <w:r>
        <w:rPr>
          <w:rFonts w:hint="eastAsia"/>
        </w:rPr>
        <w:t>启示</w:t>
      </w:r>
    </w:p>
    <w:p>
      <w:pPr>
        <w:ind w:firstLine="600" w:firstLineChars="200"/>
      </w:pPr>
      <w:r>
        <w:rPr>
          <w:rFonts w:hint="eastAsia"/>
        </w:rPr>
        <w:t>中国政务公有云厂商，特别是运营商云，云资源池遍布全国，数据驻留基础良好，接下来应加注机密计算，并借助自有区域队伍和合作伙伴加强本地化服务，提高政府需求承接力。</w:t>
      </w:r>
    </w:p>
    <w:p>
      <w:pPr>
        <w:pStyle w:val="4"/>
        <w:ind w:firstLine="602" w:firstLineChars="200"/>
      </w:pPr>
      <w:r>
        <w:rPr>
          <w:rFonts w:hint="eastAsia"/>
        </w:rPr>
        <w:t>1.</w:t>
      </w:r>
      <w:r>
        <w:t xml:space="preserve"> </w:t>
      </w:r>
      <w:r>
        <w:rPr>
          <w:rFonts w:hint="eastAsia"/>
        </w:rPr>
        <w:t>加注机密计算，提供政务云服务新模式</w:t>
      </w:r>
    </w:p>
    <w:p>
      <w:pPr>
        <w:ind w:firstLine="600" w:firstLineChars="200"/>
      </w:pPr>
      <w:r>
        <w:rPr>
          <w:rFonts w:hint="eastAsia"/>
        </w:rPr>
        <w:t>一是，加强与</w:t>
      </w:r>
      <w:r>
        <w:t>专业安全企业合作</w:t>
      </w:r>
      <w:r>
        <w:rPr>
          <w:rFonts w:hint="eastAsia"/>
        </w:rPr>
        <w:t>，面向政府等客户完善云上机密产品，如机密虚机、机密容器及机密集群等，满足政府的安全运营、数据安全、多云安全等要求。二是，加强机密计算自动化部署、工具集等研发，培育机密计算产业生态，引导政府业务向基于机密计算的政务公有云迁移。</w:t>
      </w:r>
    </w:p>
    <w:p>
      <w:pPr>
        <w:pStyle w:val="4"/>
        <w:ind w:firstLine="602" w:firstLineChars="200"/>
      </w:pPr>
      <w:r>
        <w:rPr>
          <w:rFonts w:hint="eastAsia"/>
        </w:rPr>
        <w:t>2.</w:t>
      </w:r>
      <w:r>
        <w:t xml:space="preserve"> </w:t>
      </w:r>
      <w:r>
        <w:rPr>
          <w:rFonts w:hint="eastAsia"/>
        </w:rPr>
        <w:t>完善机密云评估标准，提升客户信任度</w:t>
      </w:r>
    </w:p>
    <w:p>
      <w:pPr>
        <w:ind w:firstLine="600" w:firstLineChars="200"/>
      </w:pPr>
      <w:r>
        <w:rPr>
          <w:rFonts w:hint="eastAsia"/>
        </w:rPr>
        <w:t>联合机密计算、云厂商等产业上下游，成立行业机密云评估联盟，针对业务上机密云的工具集、云产品功能完整性、硬件加密环境、数据可控程度等开展评估，提升客户对基于机密计算的政务公有云的信任度。</w:t>
      </w:r>
    </w:p>
    <w:p/>
    <w:sectPr>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楷体_GB2312">
    <w:altName w:val="楷体"/>
    <w:panose1 w:val="00000000000000000000"/>
    <w:charset w:val="86"/>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48066937"/>
      <w:docPartObj>
        <w:docPartGallery w:val="autotext"/>
      </w:docPartObj>
    </w:sdtPr>
    <w:sdtContent>
      <w:p>
        <w:pPr>
          <w:pStyle w:val="8"/>
          <w:jc w:val="center"/>
        </w:pPr>
        <w:r>
          <w:rPr>
            <w:rFonts w:ascii="宋体" w:hAnsi="宋体" w:eastAsia="宋体"/>
          </w:rPr>
          <w:fldChar w:fldCharType="begin"/>
        </w:r>
        <w:r>
          <w:rPr>
            <w:rFonts w:ascii="宋体" w:hAnsi="宋体" w:eastAsia="宋体"/>
          </w:rPr>
          <w:instrText xml:space="preserve">PAGE   \* MERGEFORMAT</w:instrText>
        </w:r>
        <w:r>
          <w:rPr>
            <w:rFonts w:ascii="宋体" w:hAnsi="宋体" w:eastAsia="宋体"/>
          </w:rPr>
          <w:fldChar w:fldCharType="separate"/>
        </w:r>
        <w:r>
          <w:rPr>
            <w:rFonts w:ascii="宋体" w:hAnsi="宋体" w:eastAsia="宋体"/>
            <w:lang w:val="zh-CN"/>
          </w:rPr>
          <w:t>6</w:t>
        </w:r>
        <w:r>
          <w:rPr>
            <w:rFonts w:ascii="宋体" w:hAnsi="宋体" w:eastAsia="宋体"/>
          </w:rPr>
          <w:fldChar w:fldCharType="end"/>
        </w:r>
      </w:p>
    </w:sdtContent>
  </w:sdt>
  <w:p>
    <w:pPr>
      <w:pStyle w:val="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6">
    <w:p>
      <w:r>
        <w:separator/>
      </w:r>
    </w:p>
  </w:footnote>
  <w:footnote w:type="continuationSeparator" w:id="7">
    <w:p>
      <w:r>
        <w:continuationSeparator/>
      </w:r>
    </w:p>
  </w:footnote>
  <w:footnote w:id="0">
    <w:p>
      <w:pPr>
        <w:pStyle w:val="10"/>
        <w:rPr>
          <w:rFonts w:hint="eastAsia"/>
        </w:rPr>
      </w:pPr>
      <w:r>
        <w:rPr>
          <w:rStyle w:val="18"/>
        </w:rPr>
        <w:footnoteRef/>
      </w:r>
      <w:r>
        <w:t xml:space="preserve"> </w:t>
      </w:r>
      <w:r>
        <w:rPr>
          <w:rFonts w:hint="eastAsia"/>
        </w:rPr>
        <w:t>机密计算（</w:t>
      </w:r>
      <w:r>
        <w:t>Confidential Computing</w:t>
      </w:r>
      <w:r>
        <w:rPr>
          <w:rFonts w:hint="eastAsia"/>
        </w:rPr>
        <w:t>）是通过在基于硬件的可信执行环境（TEE）中执行计算过程，为使用中的数据提供保护的计算模式。</w:t>
      </w:r>
    </w:p>
  </w:footnote>
  <w:footnote w:id="1">
    <w:p>
      <w:pPr>
        <w:pStyle w:val="10"/>
      </w:pPr>
      <w:r>
        <w:rPr>
          <w:rStyle w:val="18"/>
        </w:rPr>
        <w:footnoteRef/>
      </w:r>
      <w:r>
        <w:t xml:space="preserve"> </w:t>
      </w:r>
      <w:r>
        <w:rPr>
          <w:rFonts w:hint="eastAsia"/>
        </w:rPr>
        <w:t>出自《微软Azure主权需求与解决方案评估》白皮书，本意是帮助客户选择最适合的云服务。</w:t>
      </w:r>
    </w:p>
  </w:footnote>
  <w:footnote w:id="2">
    <w:p>
      <w:pPr>
        <w:pStyle w:val="10"/>
      </w:pPr>
      <w:r>
        <w:rPr>
          <w:rStyle w:val="18"/>
        </w:rPr>
        <w:footnoteRef/>
      </w:r>
      <w:r>
        <w:t xml:space="preserve"> </w:t>
      </w:r>
      <w:r>
        <w:rPr>
          <w:rFonts w:cs="Times New Roman"/>
          <w:color w:val="161616"/>
          <w:shd w:val="clear" w:color="auto" w:fill="FFFFFF"/>
        </w:rPr>
        <w:t>GSP旨在为参与者提供信任</w:t>
      </w:r>
      <w:r>
        <w:rPr>
          <w:rFonts w:hint="eastAsia" w:cs="Times New Roman"/>
          <w:color w:val="161616"/>
          <w:shd w:val="clear" w:color="auto" w:fill="FFFFFF"/>
        </w:rPr>
        <w:t>微软</w:t>
      </w:r>
      <w:r>
        <w:rPr>
          <w:rFonts w:cs="Times New Roman"/>
          <w:color w:val="161616"/>
          <w:shd w:val="clear" w:color="auto" w:fill="FFFFFF"/>
        </w:rPr>
        <w:t>产品和服务所需的机密安全信息和资源。目前，参与者包括来自 45个国家/地区和国际组织的90多个机构</w:t>
      </w:r>
      <w:r>
        <w:rPr>
          <w:rFonts w:hint="eastAsia" w:cs="Times New Roman"/>
          <w:color w:val="161616"/>
          <w:shd w:val="clear" w:color="auto" w:fill="FFFFFF"/>
        </w:rPr>
        <w:t>，他们</w:t>
      </w:r>
      <w:r>
        <w:rPr>
          <w:rFonts w:cs="Times New Roman"/>
          <w:color w:val="161616"/>
          <w:shd w:val="clear" w:color="auto" w:fill="FFFFFF"/>
        </w:rPr>
        <w:t>可有控制地访问源代码、交换威胁和漏洞信息、参与有关</w:t>
      </w:r>
      <w:r>
        <w:rPr>
          <w:rFonts w:hint="eastAsia" w:cs="Times New Roman"/>
          <w:color w:val="161616"/>
          <w:shd w:val="clear" w:color="auto" w:fill="FFFFFF"/>
        </w:rPr>
        <w:t>微软</w:t>
      </w:r>
      <w:r>
        <w:rPr>
          <w:rFonts w:cs="Times New Roman"/>
          <w:color w:val="161616"/>
          <w:shd w:val="clear" w:color="auto" w:fill="FFFFFF"/>
        </w:rPr>
        <w:t>产品和服务的技术内容，以及访问位于美国、比利时、新加坡、巴西和中国的五个全球分布式透明中心</w:t>
      </w:r>
      <w:r>
        <w:rPr>
          <w:rFonts w:hint="eastAsia" w:cs="Times New Roman"/>
          <w:color w:val="161616"/>
          <w:shd w:val="clear" w:color="auto" w:fill="FFFFFF"/>
        </w:rPr>
        <w: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9"/>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6"/>
    <w:footnote w:id="7"/>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TQ4ODQwNThiYTg4YTBlNDhkZDRmNGNiNWM5NWE1YzAifQ=="/>
  </w:docVars>
  <w:rsids>
    <w:rsidRoot w:val="00B1105C"/>
    <w:rsid w:val="0000291D"/>
    <w:rsid w:val="0000464A"/>
    <w:rsid w:val="00006943"/>
    <w:rsid w:val="000112E1"/>
    <w:rsid w:val="000114E9"/>
    <w:rsid w:val="000166C8"/>
    <w:rsid w:val="000223A3"/>
    <w:rsid w:val="00024A59"/>
    <w:rsid w:val="00026CD5"/>
    <w:rsid w:val="00032055"/>
    <w:rsid w:val="00034191"/>
    <w:rsid w:val="00037987"/>
    <w:rsid w:val="000410D8"/>
    <w:rsid w:val="00043FCA"/>
    <w:rsid w:val="000550E5"/>
    <w:rsid w:val="00057D71"/>
    <w:rsid w:val="00061809"/>
    <w:rsid w:val="00061E8B"/>
    <w:rsid w:val="000628F3"/>
    <w:rsid w:val="00064793"/>
    <w:rsid w:val="00064CC8"/>
    <w:rsid w:val="000676B6"/>
    <w:rsid w:val="00070157"/>
    <w:rsid w:val="000735E5"/>
    <w:rsid w:val="00074CE8"/>
    <w:rsid w:val="00076203"/>
    <w:rsid w:val="00076288"/>
    <w:rsid w:val="00080570"/>
    <w:rsid w:val="00082E93"/>
    <w:rsid w:val="00087E8B"/>
    <w:rsid w:val="00092592"/>
    <w:rsid w:val="00093141"/>
    <w:rsid w:val="0009455E"/>
    <w:rsid w:val="00096B7A"/>
    <w:rsid w:val="000A68FE"/>
    <w:rsid w:val="000A722F"/>
    <w:rsid w:val="000A7EDC"/>
    <w:rsid w:val="000B0F4D"/>
    <w:rsid w:val="000B1F3C"/>
    <w:rsid w:val="000B39E2"/>
    <w:rsid w:val="000B569D"/>
    <w:rsid w:val="000B5CF3"/>
    <w:rsid w:val="000B756F"/>
    <w:rsid w:val="000B7BDA"/>
    <w:rsid w:val="000C6464"/>
    <w:rsid w:val="000D00F4"/>
    <w:rsid w:val="000D6DE0"/>
    <w:rsid w:val="000D72D8"/>
    <w:rsid w:val="000D781D"/>
    <w:rsid w:val="000E5F91"/>
    <w:rsid w:val="000E6A2A"/>
    <w:rsid w:val="000E7BC9"/>
    <w:rsid w:val="000F245D"/>
    <w:rsid w:val="000F41E1"/>
    <w:rsid w:val="000F752A"/>
    <w:rsid w:val="00100065"/>
    <w:rsid w:val="00100F4E"/>
    <w:rsid w:val="00101178"/>
    <w:rsid w:val="00103223"/>
    <w:rsid w:val="001039EA"/>
    <w:rsid w:val="00103F75"/>
    <w:rsid w:val="001044B3"/>
    <w:rsid w:val="00105669"/>
    <w:rsid w:val="001057F6"/>
    <w:rsid w:val="00107195"/>
    <w:rsid w:val="00112B2C"/>
    <w:rsid w:val="001163E4"/>
    <w:rsid w:val="0012090E"/>
    <w:rsid w:val="00123CAE"/>
    <w:rsid w:val="00123F49"/>
    <w:rsid w:val="0012690F"/>
    <w:rsid w:val="00126AE2"/>
    <w:rsid w:val="001352C6"/>
    <w:rsid w:val="00135EF8"/>
    <w:rsid w:val="0013660C"/>
    <w:rsid w:val="00137E2E"/>
    <w:rsid w:val="00141A2D"/>
    <w:rsid w:val="0014526A"/>
    <w:rsid w:val="0014671D"/>
    <w:rsid w:val="001474BC"/>
    <w:rsid w:val="0015242A"/>
    <w:rsid w:val="001566FC"/>
    <w:rsid w:val="00156D37"/>
    <w:rsid w:val="00157E9C"/>
    <w:rsid w:val="0016251D"/>
    <w:rsid w:val="001638BF"/>
    <w:rsid w:val="00167EA7"/>
    <w:rsid w:val="00167F08"/>
    <w:rsid w:val="00171098"/>
    <w:rsid w:val="00174010"/>
    <w:rsid w:val="00174CEE"/>
    <w:rsid w:val="00174DA1"/>
    <w:rsid w:val="00183C49"/>
    <w:rsid w:val="001845F0"/>
    <w:rsid w:val="00184AAE"/>
    <w:rsid w:val="001859E3"/>
    <w:rsid w:val="001910EE"/>
    <w:rsid w:val="00192907"/>
    <w:rsid w:val="001932B1"/>
    <w:rsid w:val="0019375C"/>
    <w:rsid w:val="00193A55"/>
    <w:rsid w:val="0019408D"/>
    <w:rsid w:val="001A17E7"/>
    <w:rsid w:val="001A6A62"/>
    <w:rsid w:val="001B14B6"/>
    <w:rsid w:val="001B4430"/>
    <w:rsid w:val="001C108F"/>
    <w:rsid w:val="001C19B7"/>
    <w:rsid w:val="001C3436"/>
    <w:rsid w:val="001D08BF"/>
    <w:rsid w:val="001D0E17"/>
    <w:rsid w:val="001D1579"/>
    <w:rsid w:val="001D5719"/>
    <w:rsid w:val="001E0056"/>
    <w:rsid w:val="001E32E5"/>
    <w:rsid w:val="001E6D21"/>
    <w:rsid w:val="001E7CBA"/>
    <w:rsid w:val="001F0451"/>
    <w:rsid w:val="001F1823"/>
    <w:rsid w:val="001F18C8"/>
    <w:rsid w:val="00200812"/>
    <w:rsid w:val="00202EF8"/>
    <w:rsid w:val="00206670"/>
    <w:rsid w:val="00210300"/>
    <w:rsid w:val="00210C48"/>
    <w:rsid w:val="002113F9"/>
    <w:rsid w:val="00215366"/>
    <w:rsid w:val="00216458"/>
    <w:rsid w:val="0022340D"/>
    <w:rsid w:val="00224105"/>
    <w:rsid w:val="00225D62"/>
    <w:rsid w:val="00230968"/>
    <w:rsid w:val="00234C3A"/>
    <w:rsid w:val="00234E09"/>
    <w:rsid w:val="002377FC"/>
    <w:rsid w:val="00242F5C"/>
    <w:rsid w:val="00243B0D"/>
    <w:rsid w:val="00257352"/>
    <w:rsid w:val="00257A38"/>
    <w:rsid w:val="00261C85"/>
    <w:rsid w:val="002660B4"/>
    <w:rsid w:val="002701C0"/>
    <w:rsid w:val="0027057A"/>
    <w:rsid w:val="00270D6D"/>
    <w:rsid w:val="00274133"/>
    <w:rsid w:val="00274590"/>
    <w:rsid w:val="00277B64"/>
    <w:rsid w:val="00277D6D"/>
    <w:rsid w:val="0028157A"/>
    <w:rsid w:val="002825F7"/>
    <w:rsid w:val="0028496E"/>
    <w:rsid w:val="00290337"/>
    <w:rsid w:val="00292772"/>
    <w:rsid w:val="0029504C"/>
    <w:rsid w:val="00295707"/>
    <w:rsid w:val="002A5184"/>
    <w:rsid w:val="002B112D"/>
    <w:rsid w:val="002B1818"/>
    <w:rsid w:val="002B60B5"/>
    <w:rsid w:val="002B7B7A"/>
    <w:rsid w:val="002B7F57"/>
    <w:rsid w:val="002C078E"/>
    <w:rsid w:val="002C0DBF"/>
    <w:rsid w:val="002C4A43"/>
    <w:rsid w:val="002D055F"/>
    <w:rsid w:val="002D0972"/>
    <w:rsid w:val="002D19DD"/>
    <w:rsid w:val="002D2149"/>
    <w:rsid w:val="002D3B35"/>
    <w:rsid w:val="002D5DF8"/>
    <w:rsid w:val="002E148D"/>
    <w:rsid w:val="002E258B"/>
    <w:rsid w:val="002E6201"/>
    <w:rsid w:val="002F74E9"/>
    <w:rsid w:val="00300DF6"/>
    <w:rsid w:val="00302A5B"/>
    <w:rsid w:val="003104D1"/>
    <w:rsid w:val="00310835"/>
    <w:rsid w:val="00312067"/>
    <w:rsid w:val="00320857"/>
    <w:rsid w:val="00322B6C"/>
    <w:rsid w:val="00323BF7"/>
    <w:rsid w:val="00330540"/>
    <w:rsid w:val="0033280D"/>
    <w:rsid w:val="003338F5"/>
    <w:rsid w:val="00340709"/>
    <w:rsid w:val="00341F30"/>
    <w:rsid w:val="003425BE"/>
    <w:rsid w:val="00343DA1"/>
    <w:rsid w:val="00345EFB"/>
    <w:rsid w:val="0035075B"/>
    <w:rsid w:val="00351474"/>
    <w:rsid w:val="00361129"/>
    <w:rsid w:val="00361906"/>
    <w:rsid w:val="0036628D"/>
    <w:rsid w:val="0037019D"/>
    <w:rsid w:val="00370ABF"/>
    <w:rsid w:val="00370D7C"/>
    <w:rsid w:val="003746D2"/>
    <w:rsid w:val="00374F62"/>
    <w:rsid w:val="00375BA4"/>
    <w:rsid w:val="00377A95"/>
    <w:rsid w:val="003809AC"/>
    <w:rsid w:val="00383198"/>
    <w:rsid w:val="00384219"/>
    <w:rsid w:val="00385962"/>
    <w:rsid w:val="00385B00"/>
    <w:rsid w:val="0039036B"/>
    <w:rsid w:val="0039259B"/>
    <w:rsid w:val="00392A49"/>
    <w:rsid w:val="00395F7B"/>
    <w:rsid w:val="003972C7"/>
    <w:rsid w:val="00397460"/>
    <w:rsid w:val="003976F9"/>
    <w:rsid w:val="003A4A50"/>
    <w:rsid w:val="003A6988"/>
    <w:rsid w:val="003A701F"/>
    <w:rsid w:val="003B23E6"/>
    <w:rsid w:val="003B28DF"/>
    <w:rsid w:val="003B7595"/>
    <w:rsid w:val="003B7EDA"/>
    <w:rsid w:val="003C138F"/>
    <w:rsid w:val="003C1C51"/>
    <w:rsid w:val="003C3EB2"/>
    <w:rsid w:val="003C48AD"/>
    <w:rsid w:val="003D1286"/>
    <w:rsid w:val="003D560C"/>
    <w:rsid w:val="003D5D8D"/>
    <w:rsid w:val="003E6113"/>
    <w:rsid w:val="003E76DA"/>
    <w:rsid w:val="003F03B4"/>
    <w:rsid w:val="003F0631"/>
    <w:rsid w:val="003F11FF"/>
    <w:rsid w:val="003F2893"/>
    <w:rsid w:val="003F4DDE"/>
    <w:rsid w:val="003F5CAE"/>
    <w:rsid w:val="003F7338"/>
    <w:rsid w:val="00407B82"/>
    <w:rsid w:val="00413E33"/>
    <w:rsid w:val="00415564"/>
    <w:rsid w:val="0041781B"/>
    <w:rsid w:val="00424CC5"/>
    <w:rsid w:val="004305E5"/>
    <w:rsid w:val="00431914"/>
    <w:rsid w:val="00441BF2"/>
    <w:rsid w:val="00441E7A"/>
    <w:rsid w:val="00444C4A"/>
    <w:rsid w:val="00450EDD"/>
    <w:rsid w:val="00452155"/>
    <w:rsid w:val="00453960"/>
    <w:rsid w:val="00454215"/>
    <w:rsid w:val="00455DFB"/>
    <w:rsid w:val="00466456"/>
    <w:rsid w:val="00470E20"/>
    <w:rsid w:val="00473C48"/>
    <w:rsid w:val="00474C77"/>
    <w:rsid w:val="00475A07"/>
    <w:rsid w:val="00475A4B"/>
    <w:rsid w:val="00480123"/>
    <w:rsid w:val="00480945"/>
    <w:rsid w:val="00480CFC"/>
    <w:rsid w:val="00485960"/>
    <w:rsid w:val="00487357"/>
    <w:rsid w:val="0049104C"/>
    <w:rsid w:val="00493343"/>
    <w:rsid w:val="0049602E"/>
    <w:rsid w:val="00497D41"/>
    <w:rsid w:val="004A4747"/>
    <w:rsid w:val="004A5683"/>
    <w:rsid w:val="004B1232"/>
    <w:rsid w:val="004C79F6"/>
    <w:rsid w:val="004D1E6D"/>
    <w:rsid w:val="004D305E"/>
    <w:rsid w:val="004E7168"/>
    <w:rsid w:val="004F2659"/>
    <w:rsid w:val="004F48DB"/>
    <w:rsid w:val="004F53B4"/>
    <w:rsid w:val="004F5E13"/>
    <w:rsid w:val="004F73BD"/>
    <w:rsid w:val="004F76E5"/>
    <w:rsid w:val="005001A0"/>
    <w:rsid w:val="00502166"/>
    <w:rsid w:val="00502C42"/>
    <w:rsid w:val="00502CE6"/>
    <w:rsid w:val="005047A2"/>
    <w:rsid w:val="00504C53"/>
    <w:rsid w:val="005064BF"/>
    <w:rsid w:val="0050790E"/>
    <w:rsid w:val="00510DAA"/>
    <w:rsid w:val="00510FEF"/>
    <w:rsid w:val="00514426"/>
    <w:rsid w:val="0051490C"/>
    <w:rsid w:val="0051621D"/>
    <w:rsid w:val="00521E13"/>
    <w:rsid w:val="005248F4"/>
    <w:rsid w:val="005338E6"/>
    <w:rsid w:val="00533B5A"/>
    <w:rsid w:val="00543187"/>
    <w:rsid w:val="005453F8"/>
    <w:rsid w:val="00547623"/>
    <w:rsid w:val="00553A91"/>
    <w:rsid w:val="00556921"/>
    <w:rsid w:val="00562001"/>
    <w:rsid w:val="005655EC"/>
    <w:rsid w:val="00565961"/>
    <w:rsid w:val="00573254"/>
    <w:rsid w:val="00573C8D"/>
    <w:rsid w:val="0057670F"/>
    <w:rsid w:val="0058453F"/>
    <w:rsid w:val="005920DF"/>
    <w:rsid w:val="00592BC5"/>
    <w:rsid w:val="0059480D"/>
    <w:rsid w:val="00594D07"/>
    <w:rsid w:val="00595AC4"/>
    <w:rsid w:val="005A0C08"/>
    <w:rsid w:val="005B344A"/>
    <w:rsid w:val="005B35F8"/>
    <w:rsid w:val="005B3AEB"/>
    <w:rsid w:val="005B54F7"/>
    <w:rsid w:val="005C0DD1"/>
    <w:rsid w:val="005C1F3F"/>
    <w:rsid w:val="005C46B5"/>
    <w:rsid w:val="005C512F"/>
    <w:rsid w:val="005C6395"/>
    <w:rsid w:val="005C783B"/>
    <w:rsid w:val="005D0417"/>
    <w:rsid w:val="005D06B1"/>
    <w:rsid w:val="005D1CCA"/>
    <w:rsid w:val="005D216E"/>
    <w:rsid w:val="005D3CED"/>
    <w:rsid w:val="005D6F38"/>
    <w:rsid w:val="005D7792"/>
    <w:rsid w:val="005E13D5"/>
    <w:rsid w:val="005E1F8F"/>
    <w:rsid w:val="005F12E6"/>
    <w:rsid w:val="005F39E8"/>
    <w:rsid w:val="005F5E90"/>
    <w:rsid w:val="0060031E"/>
    <w:rsid w:val="00614291"/>
    <w:rsid w:val="00617B74"/>
    <w:rsid w:val="006231BD"/>
    <w:rsid w:val="006242C4"/>
    <w:rsid w:val="00624A3A"/>
    <w:rsid w:val="00634926"/>
    <w:rsid w:val="00634A8D"/>
    <w:rsid w:val="00642BB7"/>
    <w:rsid w:val="006439F5"/>
    <w:rsid w:val="00646A2B"/>
    <w:rsid w:val="00647319"/>
    <w:rsid w:val="0064749D"/>
    <w:rsid w:val="0065036F"/>
    <w:rsid w:val="006526D0"/>
    <w:rsid w:val="0065576F"/>
    <w:rsid w:val="00655E57"/>
    <w:rsid w:val="00661368"/>
    <w:rsid w:val="00661CB9"/>
    <w:rsid w:val="006636D1"/>
    <w:rsid w:val="00665428"/>
    <w:rsid w:val="00665B29"/>
    <w:rsid w:val="00666680"/>
    <w:rsid w:val="00667B8F"/>
    <w:rsid w:val="00670055"/>
    <w:rsid w:val="0067087D"/>
    <w:rsid w:val="00682DF5"/>
    <w:rsid w:val="00683CDD"/>
    <w:rsid w:val="00684913"/>
    <w:rsid w:val="00692C26"/>
    <w:rsid w:val="00693707"/>
    <w:rsid w:val="00694DE7"/>
    <w:rsid w:val="00696B39"/>
    <w:rsid w:val="006A31F9"/>
    <w:rsid w:val="006A3569"/>
    <w:rsid w:val="006B0FB2"/>
    <w:rsid w:val="006B205F"/>
    <w:rsid w:val="006B311F"/>
    <w:rsid w:val="006B5B80"/>
    <w:rsid w:val="006B5E7C"/>
    <w:rsid w:val="006C1D36"/>
    <w:rsid w:val="006C1FAF"/>
    <w:rsid w:val="006C20B1"/>
    <w:rsid w:val="006C2EE4"/>
    <w:rsid w:val="006C3236"/>
    <w:rsid w:val="006C5732"/>
    <w:rsid w:val="006D03DB"/>
    <w:rsid w:val="006D082C"/>
    <w:rsid w:val="006D33A3"/>
    <w:rsid w:val="006D3E3A"/>
    <w:rsid w:val="006D44DD"/>
    <w:rsid w:val="006E015B"/>
    <w:rsid w:val="006E44FE"/>
    <w:rsid w:val="006E65C5"/>
    <w:rsid w:val="006E6A98"/>
    <w:rsid w:val="006E77B8"/>
    <w:rsid w:val="006F063D"/>
    <w:rsid w:val="006F135B"/>
    <w:rsid w:val="006F28E1"/>
    <w:rsid w:val="006F54EA"/>
    <w:rsid w:val="006F5649"/>
    <w:rsid w:val="00703A41"/>
    <w:rsid w:val="007044D2"/>
    <w:rsid w:val="00705C6E"/>
    <w:rsid w:val="007108D4"/>
    <w:rsid w:val="007115D7"/>
    <w:rsid w:val="007124DD"/>
    <w:rsid w:val="007124DE"/>
    <w:rsid w:val="00712E87"/>
    <w:rsid w:val="00716388"/>
    <w:rsid w:val="007166C1"/>
    <w:rsid w:val="00722EAC"/>
    <w:rsid w:val="00723F65"/>
    <w:rsid w:val="007245BF"/>
    <w:rsid w:val="00733766"/>
    <w:rsid w:val="00733DA7"/>
    <w:rsid w:val="0073569C"/>
    <w:rsid w:val="00735FCB"/>
    <w:rsid w:val="00740E5D"/>
    <w:rsid w:val="007417A5"/>
    <w:rsid w:val="00741EE7"/>
    <w:rsid w:val="00743A6F"/>
    <w:rsid w:val="007465C4"/>
    <w:rsid w:val="00746A36"/>
    <w:rsid w:val="007501B7"/>
    <w:rsid w:val="00754574"/>
    <w:rsid w:val="00754D4E"/>
    <w:rsid w:val="00756DE2"/>
    <w:rsid w:val="0076435C"/>
    <w:rsid w:val="00765431"/>
    <w:rsid w:val="00766A56"/>
    <w:rsid w:val="0076737B"/>
    <w:rsid w:val="00767EB8"/>
    <w:rsid w:val="00770FF6"/>
    <w:rsid w:val="0077589B"/>
    <w:rsid w:val="00781472"/>
    <w:rsid w:val="00781B5D"/>
    <w:rsid w:val="00782580"/>
    <w:rsid w:val="00785FB6"/>
    <w:rsid w:val="00790231"/>
    <w:rsid w:val="007905D0"/>
    <w:rsid w:val="007939D8"/>
    <w:rsid w:val="00793A68"/>
    <w:rsid w:val="00794B19"/>
    <w:rsid w:val="00795379"/>
    <w:rsid w:val="00796B06"/>
    <w:rsid w:val="00796C69"/>
    <w:rsid w:val="007972C2"/>
    <w:rsid w:val="007978D6"/>
    <w:rsid w:val="007B2358"/>
    <w:rsid w:val="007B2B44"/>
    <w:rsid w:val="007B610F"/>
    <w:rsid w:val="007C1C50"/>
    <w:rsid w:val="007C22BE"/>
    <w:rsid w:val="007C2EE7"/>
    <w:rsid w:val="007C72EC"/>
    <w:rsid w:val="007D493C"/>
    <w:rsid w:val="007D696F"/>
    <w:rsid w:val="007E05E0"/>
    <w:rsid w:val="007E1C40"/>
    <w:rsid w:val="007F1F77"/>
    <w:rsid w:val="007F6E05"/>
    <w:rsid w:val="008019DD"/>
    <w:rsid w:val="00801FC2"/>
    <w:rsid w:val="00802297"/>
    <w:rsid w:val="008023BF"/>
    <w:rsid w:val="00803A88"/>
    <w:rsid w:val="00804CAC"/>
    <w:rsid w:val="00806D85"/>
    <w:rsid w:val="008120A4"/>
    <w:rsid w:val="00812255"/>
    <w:rsid w:val="008132C8"/>
    <w:rsid w:val="008139BA"/>
    <w:rsid w:val="00813D3D"/>
    <w:rsid w:val="00815E69"/>
    <w:rsid w:val="0081639D"/>
    <w:rsid w:val="00820FC1"/>
    <w:rsid w:val="0082189B"/>
    <w:rsid w:val="00822847"/>
    <w:rsid w:val="008235AE"/>
    <w:rsid w:val="0082757F"/>
    <w:rsid w:val="00831F6B"/>
    <w:rsid w:val="00834111"/>
    <w:rsid w:val="00835A13"/>
    <w:rsid w:val="0084008D"/>
    <w:rsid w:val="008413B5"/>
    <w:rsid w:val="008422E8"/>
    <w:rsid w:val="00842ACC"/>
    <w:rsid w:val="00844C96"/>
    <w:rsid w:val="00844E0B"/>
    <w:rsid w:val="00845D0A"/>
    <w:rsid w:val="00846DB0"/>
    <w:rsid w:val="00852BFC"/>
    <w:rsid w:val="00854BDD"/>
    <w:rsid w:val="00856D12"/>
    <w:rsid w:val="00863792"/>
    <w:rsid w:val="008652D7"/>
    <w:rsid w:val="00870662"/>
    <w:rsid w:val="00870F1B"/>
    <w:rsid w:val="00872115"/>
    <w:rsid w:val="008755FE"/>
    <w:rsid w:val="008823BE"/>
    <w:rsid w:val="00885715"/>
    <w:rsid w:val="008901F5"/>
    <w:rsid w:val="00890976"/>
    <w:rsid w:val="00890E8D"/>
    <w:rsid w:val="00891FF1"/>
    <w:rsid w:val="008930D4"/>
    <w:rsid w:val="008968C7"/>
    <w:rsid w:val="008A2B9A"/>
    <w:rsid w:val="008B0715"/>
    <w:rsid w:val="008B3FD1"/>
    <w:rsid w:val="008B5BBD"/>
    <w:rsid w:val="008B7B39"/>
    <w:rsid w:val="008C0124"/>
    <w:rsid w:val="008C239B"/>
    <w:rsid w:val="008C3BE8"/>
    <w:rsid w:val="008D05E4"/>
    <w:rsid w:val="008D4BDC"/>
    <w:rsid w:val="008D57DD"/>
    <w:rsid w:val="008E56EC"/>
    <w:rsid w:val="008F0107"/>
    <w:rsid w:val="008F2B60"/>
    <w:rsid w:val="008F380A"/>
    <w:rsid w:val="008F4131"/>
    <w:rsid w:val="008F6E1C"/>
    <w:rsid w:val="009034D5"/>
    <w:rsid w:val="00903E28"/>
    <w:rsid w:val="0090455D"/>
    <w:rsid w:val="00905653"/>
    <w:rsid w:val="00905F34"/>
    <w:rsid w:val="009073B0"/>
    <w:rsid w:val="009079DF"/>
    <w:rsid w:val="009168EE"/>
    <w:rsid w:val="00916EC5"/>
    <w:rsid w:val="00921DE6"/>
    <w:rsid w:val="009228DD"/>
    <w:rsid w:val="00926864"/>
    <w:rsid w:val="00926F7B"/>
    <w:rsid w:val="00930DD0"/>
    <w:rsid w:val="00932DAE"/>
    <w:rsid w:val="00936ADA"/>
    <w:rsid w:val="00952C26"/>
    <w:rsid w:val="00952EA1"/>
    <w:rsid w:val="00954A87"/>
    <w:rsid w:val="009608D2"/>
    <w:rsid w:val="009613B3"/>
    <w:rsid w:val="00961E98"/>
    <w:rsid w:val="00966465"/>
    <w:rsid w:val="00970575"/>
    <w:rsid w:val="00972A53"/>
    <w:rsid w:val="00980931"/>
    <w:rsid w:val="00981B7B"/>
    <w:rsid w:val="009844CA"/>
    <w:rsid w:val="00987A7E"/>
    <w:rsid w:val="009929C4"/>
    <w:rsid w:val="00992BA4"/>
    <w:rsid w:val="00992C16"/>
    <w:rsid w:val="00994171"/>
    <w:rsid w:val="00994679"/>
    <w:rsid w:val="009979A5"/>
    <w:rsid w:val="009A24F5"/>
    <w:rsid w:val="009A2833"/>
    <w:rsid w:val="009A2C16"/>
    <w:rsid w:val="009A3FC9"/>
    <w:rsid w:val="009A54E6"/>
    <w:rsid w:val="009A6599"/>
    <w:rsid w:val="009A6F0B"/>
    <w:rsid w:val="009B1D09"/>
    <w:rsid w:val="009B294A"/>
    <w:rsid w:val="009B7138"/>
    <w:rsid w:val="009B74B8"/>
    <w:rsid w:val="009B79A9"/>
    <w:rsid w:val="009B7A52"/>
    <w:rsid w:val="009C08AD"/>
    <w:rsid w:val="009C1087"/>
    <w:rsid w:val="009C1732"/>
    <w:rsid w:val="009C1E0F"/>
    <w:rsid w:val="009C3912"/>
    <w:rsid w:val="009C3DB7"/>
    <w:rsid w:val="009C4061"/>
    <w:rsid w:val="009C4F4F"/>
    <w:rsid w:val="009C6B56"/>
    <w:rsid w:val="009D09CC"/>
    <w:rsid w:val="009D3066"/>
    <w:rsid w:val="009D3BE6"/>
    <w:rsid w:val="009D5320"/>
    <w:rsid w:val="009D70BA"/>
    <w:rsid w:val="009D7EED"/>
    <w:rsid w:val="009E0F8D"/>
    <w:rsid w:val="009E3887"/>
    <w:rsid w:val="009E4B68"/>
    <w:rsid w:val="009E5503"/>
    <w:rsid w:val="009E76A2"/>
    <w:rsid w:val="009F2A35"/>
    <w:rsid w:val="009F3791"/>
    <w:rsid w:val="009F4056"/>
    <w:rsid w:val="009F5738"/>
    <w:rsid w:val="009F7785"/>
    <w:rsid w:val="009F7FCD"/>
    <w:rsid w:val="00A051F7"/>
    <w:rsid w:val="00A13339"/>
    <w:rsid w:val="00A13BB1"/>
    <w:rsid w:val="00A20DE0"/>
    <w:rsid w:val="00A22200"/>
    <w:rsid w:val="00A25CF8"/>
    <w:rsid w:val="00A26BED"/>
    <w:rsid w:val="00A33AFE"/>
    <w:rsid w:val="00A3556C"/>
    <w:rsid w:val="00A41567"/>
    <w:rsid w:val="00A41C5B"/>
    <w:rsid w:val="00A43981"/>
    <w:rsid w:val="00A50571"/>
    <w:rsid w:val="00A53F89"/>
    <w:rsid w:val="00A60C02"/>
    <w:rsid w:val="00A61E53"/>
    <w:rsid w:val="00A61E55"/>
    <w:rsid w:val="00A622FC"/>
    <w:rsid w:val="00A623EF"/>
    <w:rsid w:val="00A667CB"/>
    <w:rsid w:val="00A72633"/>
    <w:rsid w:val="00A72D70"/>
    <w:rsid w:val="00A74B0B"/>
    <w:rsid w:val="00A776A3"/>
    <w:rsid w:val="00A80355"/>
    <w:rsid w:val="00A82A77"/>
    <w:rsid w:val="00A82E06"/>
    <w:rsid w:val="00A84236"/>
    <w:rsid w:val="00A86591"/>
    <w:rsid w:val="00A86E54"/>
    <w:rsid w:val="00A9011B"/>
    <w:rsid w:val="00A906D3"/>
    <w:rsid w:val="00A90C7D"/>
    <w:rsid w:val="00AA2BFF"/>
    <w:rsid w:val="00AA68D4"/>
    <w:rsid w:val="00AB206A"/>
    <w:rsid w:val="00AB2A53"/>
    <w:rsid w:val="00AB50E3"/>
    <w:rsid w:val="00AB624A"/>
    <w:rsid w:val="00AC0FED"/>
    <w:rsid w:val="00AC15CB"/>
    <w:rsid w:val="00AC1DAE"/>
    <w:rsid w:val="00AC1F4E"/>
    <w:rsid w:val="00AD079A"/>
    <w:rsid w:val="00AD3107"/>
    <w:rsid w:val="00AD4260"/>
    <w:rsid w:val="00AD461C"/>
    <w:rsid w:val="00AD5332"/>
    <w:rsid w:val="00AE6623"/>
    <w:rsid w:val="00AE68E3"/>
    <w:rsid w:val="00AF04A0"/>
    <w:rsid w:val="00AF6B11"/>
    <w:rsid w:val="00B05324"/>
    <w:rsid w:val="00B10784"/>
    <w:rsid w:val="00B10813"/>
    <w:rsid w:val="00B10F59"/>
    <w:rsid w:val="00B1105C"/>
    <w:rsid w:val="00B113AF"/>
    <w:rsid w:val="00B12A4B"/>
    <w:rsid w:val="00B143CB"/>
    <w:rsid w:val="00B175E4"/>
    <w:rsid w:val="00B20665"/>
    <w:rsid w:val="00B2166E"/>
    <w:rsid w:val="00B216C5"/>
    <w:rsid w:val="00B240A2"/>
    <w:rsid w:val="00B27120"/>
    <w:rsid w:val="00B3161E"/>
    <w:rsid w:val="00B348FB"/>
    <w:rsid w:val="00B349CF"/>
    <w:rsid w:val="00B4082A"/>
    <w:rsid w:val="00B4751E"/>
    <w:rsid w:val="00B47A4C"/>
    <w:rsid w:val="00B521FC"/>
    <w:rsid w:val="00B53DDF"/>
    <w:rsid w:val="00B57E4C"/>
    <w:rsid w:val="00B66C1E"/>
    <w:rsid w:val="00B7435A"/>
    <w:rsid w:val="00B8126C"/>
    <w:rsid w:val="00B84C8D"/>
    <w:rsid w:val="00B85A62"/>
    <w:rsid w:val="00B90520"/>
    <w:rsid w:val="00B93829"/>
    <w:rsid w:val="00B949DB"/>
    <w:rsid w:val="00B95945"/>
    <w:rsid w:val="00BA3D05"/>
    <w:rsid w:val="00BA48E0"/>
    <w:rsid w:val="00BA5A92"/>
    <w:rsid w:val="00BB164F"/>
    <w:rsid w:val="00BB4AD0"/>
    <w:rsid w:val="00BB4DD2"/>
    <w:rsid w:val="00BD002E"/>
    <w:rsid w:val="00BD180B"/>
    <w:rsid w:val="00BD2304"/>
    <w:rsid w:val="00BD38E7"/>
    <w:rsid w:val="00BD426B"/>
    <w:rsid w:val="00BD4F4B"/>
    <w:rsid w:val="00BD6E35"/>
    <w:rsid w:val="00BE0ADB"/>
    <w:rsid w:val="00BE0E02"/>
    <w:rsid w:val="00BE22B3"/>
    <w:rsid w:val="00BE3554"/>
    <w:rsid w:val="00BE3D8C"/>
    <w:rsid w:val="00BE6158"/>
    <w:rsid w:val="00BF60D6"/>
    <w:rsid w:val="00C02730"/>
    <w:rsid w:val="00C02F3F"/>
    <w:rsid w:val="00C04B9F"/>
    <w:rsid w:val="00C065D1"/>
    <w:rsid w:val="00C0705E"/>
    <w:rsid w:val="00C077D0"/>
    <w:rsid w:val="00C1399D"/>
    <w:rsid w:val="00C147BC"/>
    <w:rsid w:val="00C22F99"/>
    <w:rsid w:val="00C23397"/>
    <w:rsid w:val="00C23A6F"/>
    <w:rsid w:val="00C25D1F"/>
    <w:rsid w:val="00C26008"/>
    <w:rsid w:val="00C27492"/>
    <w:rsid w:val="00C32541"/>
    <w:rsid w:val="00C348E1"/>
    <w:rsid w:val="00C4035B"/>
    <w:rsid w:val="00C40375"/>
    <w:rsid w:val="00C407D0"/>
    <w:rsid w:val="00C42573"/>
    <w:rsid w:val="00C42927"/>
    <w:rsid w:val="00C450C3"/>
    <w:rsid w:val="00C45D6B"/>
    <w:rsid w:val="00C50320"/>
    <w:rsid w:val="00C50CF3"/>
    <w:rsid w:val="00C547A5"/>
    <w:rsid w:val="00C60073"/>
    <w:rsid w:val="00C63A04"/>
    <w:rsid w:val="00C63A64"/>
    <w:rsid w:val="00C6423F"/>
    <w:rsid w:val="00C6471E"/>
    <w:rsid w:val="00C663E0"/>
    <w:rsid w:val="00C66CC5"/>
    <w:rsid w:val="00C67EE7"/>
    <w:rsid w:val="00C73161"/>
    <w:rsid w:val="00C74461"/>
    <w:rsid w:val="00C75942"/>
    <w:rsid w:val="00C77FF1"/>
    <w:rsid w:val="00C81356"/>
    <w:rsid w:val="00C83D85"/>
    <w:rsid w:val="00C84FDA"/>
    <w:rsid w:val="00C85ADB"/>
    <w:rsid w:val="00C86125"/>
    <w:rsid w:val="00C87C7C"/>
    <w:rsid w:val="00C906A1"/>
    <w:rsid w:val="00C930A5"/>
    <w:rsid w:val="00C9491C"/>
    <w:rsid w:val="00C94E85"/>
    <w:rsid w:val="00CA11DD"/>
    <w:rsid w:val="00CA24A4"/>
    <w:rsid w:val="00CA3E81"/>
    <w:rsid w:val="00CB0200"/>
    <w:rsid w:val="00CB10B2"/>
    <w:rsid w:val="00CB4A01"/>
    <w:rsid w:val="00CB6693"/>
    <w:rsid w:val="00CC2E79"/>
    <w:rsid w:val="00CC326B"/>
    <w:rsid w:val="00CC49E0"/>
    <w:rsid w:val="00CD170D"/>
    <w:rsid w:val="00CD6455"/>
    <w:rsid w:val="00CE1266"/>
    <w:rsid w:val="00CE38C0"/>
    <w:rsid w:val="00CE7FF5"/>
    <w:rsid w:val="00CF1925"/>
    <w:rsid w:val="00CF60C2"/>
    <w:rsid w:val="00D00185"/>
    <w:rsid w:val="00D045D9"/>
    <w:rsid w:val="00D060FD"/>
    <w:rsid w:val="00D110EE"/>
    <w:rsid w:val="00D12E1B"/>
    <w:rsid w:val="00D135F3"/>
    <w:rsid w:val="00D13EC0"/>
    <w:rsid w:val="00D16605"/>
    <w:rsid w:val="00D27347"/>
    <w:rsid w:val="00D30B54"/>
    <w:rsid w:val="00D32F98"/>
    <w:rsid w:val="00D33C0B"/>
    <w:rsid w:val="00D34E8C"/>
    <w:rsid w:val="00D36685"/>
    <w:rsid w:val="00D40D04"/>
    <w:rsid w:val="00D434C4"/>
    <w:rsid w:val="00D513F0"/>
    <w:rsid w:val="00D540F0"/>
    <w:rsid w:val="00D54D66"/>
    <w:rsid w:val="00D574CA"/>
    <w:rsid w:val="00D6021E"/>
    <w:rsid w:val="00D62EE1"/>
    <w:rsid w:val="00D630B8"/>
    <w:rsid w:val="00D63AE0"/>
    <w:rsid w:val="00D66742"/>
    <w:rsid w:val="00D73F60"/>
    <w:rsid w:val="00D74363"/>
    <w:rsid w:val="00D7510B"/>
    <w:rsid w:val="00D77713"/>
    <w:rsid w:val="00D77B90"/>
    <w:rsid w:val="00D77F50"/>
    <w:rsid w:val="00D81C71"/>
    <w:rsid w:val="00D85D91"/>
    <w:rsid w:val="00D87702"/>
    <w:rsid w:val="00D94159"/>
    <w:rsid w:val="00D9545E"/>
    <w:rsid w:val="00DA1624"/>
    <w:rsid w:val="00DA1641"/>
    <w:rsid w:val="00DA1929"/>
    <w:rsid w:val="00DA6D3A"/>
    <w:rsid w:val="00DA71C9"/>
    <w:rsid w:val="00DA750D"/>
    <w:rsid w:val="00DA7D8B"/>
    <w:rsid w:val="00DB2D36"/>
    <w:rsid w:val="00DB48E3"/>
    <w:rsid w:val="00DB6282"/>
    <w:rsid w:val="00DB7F43"/>
    <w:rsid w:val="00DC09FC"/>
    <w:rsid w:val="00DC27E9"/>
    <w:rsid w:val="00DC612F"/>
    <w:rsid w:val="00DC63E0"/>
    <w:rsid w:val="00DC743C"/>
    <w:rsid w:val="00DD13FE"/>
    <w:rsid w:val="00DD23D2"/>
    <w:rsid w:val="00DD53AC"/>
    <w:rsid w:val="00DD7D7E"/>
    <w:rsid w:val="00DE1AA8"/>
    <w:rsid w:val="00DE36A5"/>
    <w:rsid w:val="00DE4150"/>
    <w:rsid w:val="00DF0587"/>
    <w:rsid w:val="00DF0727"/>
    <w:rsid w:val="00DF0CE7"/>
    <w:rsid w:val="00DF7145"/>
    <w:rsid w:val="00E07DF7"/>
    <w:rsid w:val="00E10568"/>
    <w:rsid w:val="00E11420"/>
    <w:rsid w:val="00E12AEE"/>
    <w:rsid w:val="00E1754F"/>
    <w:rsid w:val="00E206F2"/>
    <w:rsid w:val="00E209B6"/>
    <w:rsid w:val="00E21FCC"/>
    <w:rsid w:val="00E22822"/>
    <w:rsid w:val="00E22ED2"/>
    <w:rsid w:val="00E27974"/>
    <w:rsid w:val="00E3039D"/>
    <w:rsid w:val="00E33C78"/>
    <w:rsid w:val="00E412FA"/>
    <w:rsid w:val="00E4306B"/>
    <w:rsid w:val="00E44039"/>
    <w:rsid w:val="00E50401"/>
    <w:rsid w:val="00E5123A"/>
    <w:rsid w:val="00E5690C"/>
    <w:rsid w:val="00E6194E"/>
    <w:rsid w:val="00E61998"/>
    <w:rsid w:val="00E61A36"/>
    <w:rsid w:val="00E6219F"/>
    <w:rsid w:val="00E66680"/>
    <w:rsid w:val="00E70271"/>
    <w:rsid w:val="00E708DA"/>
    <w:rsid w:val="00E739A7"/>
    <w:rsid w:val="00E774D0"/>
    <w:rsid w:val="00E810A5"/>
    <w:rsid w:val="00E8262E"/>
    <w:rsid w:val="00E8266A"/>
    <w:rsid w:val="00E828A1"/>
    <w:rsid w:val="00E85F2C"/>
    <w:rsid w:val="00E93262"/>
    <w:rsid w:val="00E94F36"/>
    <w:rsid w:val="00E96270"/>
    <w:rsid w:val="00E96B1D"/>
    <w:rsid w:val="00E9788F"/>
    <w:rsid w:val="00EA24F4"/>
    <w:rsid w:val="00EA7CEB"/>
    <w:rsid w:val="00EB0E1C"/>
    <w:rsid w:val="00EB0F46"/>
    <w:rsid w:val="00EB3EBB"/>
    <w:rsid w:val="00EB51AF"/>
    <w:rsid w:val="00EB5A29"/>
    <w:rsid w:val="00EB65D9"/>
    <w:rsid w:val="00EB7C1B"/>
    <w:rsid w:val="00EC0188"/>
    <w:rsid w:val="00EC0D26"/>
    <w:rsid w:val="00EC273A"/>
    <w:rsid w:val="00EC3CD5"/>
    <w:rsid w:val="00EC4259"/>
    <w:rsid w:val="00EC6C73"/>
    <w:rsid w:val="00EC782F"/>
    <w:rsid w:val="00ED17CB"/>
    <w:rsid w:val="00ED44AD"/>
    <w:rsid w:val="00ED55B5"/>
    <w:rsid w:val="00ED6552"/>
    <w:rsid w:val="00EE054C"/>
    <w:rsid w:val="00EE057C"/>
    <w:rsid w:val="00EE26A9"/>
    <w:rsid w:val="00EE5EC8"/>
    <w:rsid w:val="00EE6B53"/>
    <w:rsid w:val="00EE7702"/>
    <w:rsid w:val="00EF16D1"/>
    <w:rsid w:val="00EF5D00"/>
    <w:rsid w:val="00EF75AC"/>
    <w:rsid w:val="00F011C7"/>
    <w:rsid w:val="00F02AFC"/>
    <w:rsid w:val="00F041AD"/>
    <w:rsid w:val="00F0464F"/>
    <w:rsid w:val="00F04DA8"/>
    <w:rsid w:val="00F05732"/>
    <w:rsid w:val="00F05AC6"/>
    <w:rsid w:val="00F06278"/>
    <w:rsid w:val="00F0780A"/>
    <w:rsid w:val="00F10CB1"/>
    <w:rsid w:val="00F1126D"/>
    <w:rsid w:val="00F11C07"/>
    <w:rsid w:val="00F17B96"/>
    <w:rsid w:val="00F17FFE"/>
    <w:rsid w:val="00F21266"/>
    <w:rsid w:val="00F21769"/>
    <w:rsid w:val="00F237EC"/>
    <w:rsid w:val="00F246A6"/>
    <w:rsid w:val="00F24F75"/>
    <w:rsid w:val="00F25985"/>
    <w:rsid w:val="00F26BE8"/>
    <w:rsid w:val="00F2755A"/>
    <w:rsid w:val="00F27C3B"/>
    <w:rsid w:val="00F30C62"/>
    <w:rsid w:val="00F33ECD"/>
    <w:rsid w:val="00F347DF"/>
    <w:rsid w:val="00F34E65"/>
    <w:rsid w:val="00F351A4"/>
    <w:rsid w:val="00F370EF"/>
    <w:rsid w:val="00F378A3"/>
    <w:rsid w:val="00F43F3B"/>
    <w:rsid w:val="00F44461"/>
    <w:rsid w:val="00F456E4"/>
    <w:rsid w:val="00F46323"/>
    <w:rsid w:val="00F475EF"/>
    <w:rsid w:val="00F50D29"/>
    <w:rsid w:val="00F52903"/>
    <w:rsid w:val="00F52AD2"/>
    <w:rsid w:val="00F54033"/>
    <w:rsid w:val="00F54168"/>
    <w:rsid w:val="00F61DB1"/>
    <w:rsid w:val="00F64E17"/>
    <w:rsid w:val="00F65D85"/>
    <w:rsid w:val="00F65ECC"/>
    <w:rsid w:val="00F67AE9"/>
    <w:rsid w:val="00F70160"/>
    <w:rsid w:val="00F72527"/>
    <w:rsid w:val="00F7397A"/>
    <w:rsid w:val="00F74014"/>
    <w:rsid w:val="00F76F30"/>
    <w:rsid w:val="00F824E6"/>
    <w:rsid w:val="00F84A83"/>
    <w:rsid w:val="00F86E9B"/>
    <w:rsid w:val="00F8712B"/>
    <w:rsid w:val="00F9063B"/>
    <w:rsid w:val="00F9157D"/>
    <w:rsid w:val="00F926DA"/>
    <w:rsid w:val="00F9451E"/>
    <w:rsid w:val="00F951C9"/>
    <w:rsid w:val="00F95A1B"/>
    <w:rsid w:val="00F95B3F"/>
    <w:rsid w:val="00F97A5C"/>
    <w:rsid w:val="00FA17F7"/>
    <w:rsid w:val="00FA1CAB"/>
    <w:rsid w:val="00FA31FF"/>
    <w:rsid w:val="00FA3D08"/>
    <w:rsid w:val="00FA3E25"/>
    <w:rsid w:val="00FA40DD"/>
    <w:rsid w:val="00FA4350"/>
    <w:rsid w:val="00FB08CA"/>
    <w:rsid w:val="00FB1093"/>
    <w:rsid w:val="00FB2C73"/>
    <w:rsid w:val="00FB464F"/>
    <w:rsid w:val="00FB4CE4"/>
    <w:rsid w:val="00FB6810"/>
    <w:rsid w:val="00FC2DE2"/>
    <w:rsid w:val="00FC4600"/>
    <w:rsid w:val="00FD0E78"/>
    <w:rsid w:val="00FD2974"/>
    <w:rsid w:val="00FD484D"/>
    <w:rsid w:val="00FD795D"/>
    <w:rsid w:val="00FE0581"/>
    <w:rsid w:val="00FE483A"/>
    <w:rsid w:val="00FE54F9"/>
    <w:rsid w:val="00FE6454"/>
    <w:rsid w:val="00FF079D"/>
    <w:rsid w:val="00FF3659"/>
    <w:rsid w:val="00FF478E"/>
    <w:rsid w:val="00FF639B"/>
    <w:rsid w:val="475470AC"/>
    <w:rsid w:val="631569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 w:cstheme="minorBidi"/>
      <w:kern w:val="2"/>
      <w:sz w:val="30"/>
      <w:szCs w:val="22"/>
      <w:lang w:val="en-US" w:eastAsia="zh-CN" w:bidi="ar-SA"/>
    </w:rPr>
  </w:style>
  <w:style w:type="paragraph" w:styleId="2">
    <w:name w:val="heading 1"/>
    <w:basedOn w:val="1"/>
    <w:next w:val="1"/>
    <w:link w:val="21"/>
    <w:qFormat/>
    <w:uiPriority w:val="9"/>
    <w:pPr>
      <w:keepNext/>
      <w:keepLines/>
      <w:spacing w:before="340" w:after="330" w:line="578" w:lineRule="auto"/>
      <w:jc w:val="center"/>
      <w:outlineLvl w:val="0"/>
    </w:pPr>
    <w:rPr>
      <w:rFonts w:eastAsia="黑体"/>
      <w:b/>
      <w:bCs/>
      <w:kern w:val="44"/>
      <w:sz w:val="44"/>
      <w:szCs w:val="44"/>
    </w:rPr>
  </w:style>
  <w:style w:type="paragraph" w:styleId="3">
    <w:name w:val="heading 2"/>
    <w:basedOn w:val="1"/>
    <w:next w:val="1"/>
    <w:link w:val="22"/>
    <w:unhideWhenUsed/>
    <w:qFormat/>
    <w:uiPriority w:val="9"/>
    <w:pPr>
      <w:keepNext/>
      <w:keepLines/>
      <w:spacing w:before="260" w:after="260" w:line="416" w:lineRule="auto"/>
      <w:outlineLvl w:val="1"/>
    </w:pPr>
    <w:rPr>
      <w:rFonts w:eastAsia="楷体" w:cs="宋体"/>
      <w:b/>
      <w:bCs/>
      <w:sz w:val="32"/>
      <w:szCs w:val="32"/>
    </w:rPr>
  </w:style>
  <w:style w:type="paragraph" w:styleId="4">
    <w:name w:val="heading 3"/>
    <w:basedOn w:val="1"/>
    <w:next w:val="1"/>
    <w:link w:val="25"/>
    <w:unhideWhenUsed/>
    <w:qFormat/>
    <w:uiPriority w:val="9"/>
    <w:pPr>
      <w:keepNext/>
      <w:keepLines/>
      <w:spacing w:before="260" w:after="260" w:line="416" w:lineRule="auto"/>
      <w:outlineLvl w:val="2"/>
    </w:pPr>
    <w:rPr>
      <w:b/>
      <w:bCs/>
      <w:szCs w:val="32"/>
    </w:rPr>
  </w:style>
  <w:style w:type="character" w:default="1" w:styleId="14">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5">
    <w:name w:val="annotation text"/>
    <w:basedOn w:val="1"/>
    <w:link w:val="27"/>
    <w:semiHidden/>
    <w:unhideWhenUsed/>
    <w:uiPriority w:val="99"/>
    <w:pPr>
      <w:jc w:val="left"/>
    </w:pPr>
  </w:style>
  <w:style w:type="paragraph" w:styleId="6">
    <w:name w:val="endnote text"/>
    <w:basedOn w:val="1"/>
    <w:link w:val="26"/>
    <w:semiHidden/>
    <w:unhideWhenUsed/>
    <w:uiPriority w:val="99"/>
    <w:pPr>
      <w:snapToGrid w:val="0"/>
      <w:jc w:val="left"/>
    </w:pPr>
  </w:style>
  <w:style w:type="paragraph" w:styleId="7">
    <w:name w:val="Balloon Text"/>
    <w:basedOn w:val="1"/>
    <w:link w:val="24"/>
    <w:semiHidden/>
    <w:unhideWhenUsed/>
    <w:qFormat/>
    <w:uiPriority w:val="99"/>
    <w:rPr>
      <w:sz w:val="18"/>
      <w:szCs w:val="18"/>
    </w:rPr>
  </w:style>
  <w:style w:type="paragraph" w:styleId="8">
    <w:name w:val="footer"/>
    <w:basedOn w:val="1"/>
    <w:link w:val="20"/>
    <w:unhideWhenUsed/>
    <w:qFormat/>
    <w:uiPriority w:val="99"/>
    <w:pPr>
      <w:tabs>
        <w:tab w:val="center" w:pos="4153"/>
        <w:tab w:val="right" w:pos="8306"/>
      </w:tabs>
      <w:snapToGrid w:val="0"/>
      <w:jc w:val="left"/>
    </w:pPr>
    <w:rPr>
      <w:sz w:val="18"/>
      <w:szCs w:val="18"/>
    </w:rPr>
  </w:style>
  <w:style w:type="paragraph" w:styleId="9">
    <w:name w:val="header"/>
    <w:basedOn w:val="1"/>
    <w:link w:val="19"/>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footnote text"/>
    <w:basedOn w:val="1"/>
    <w:link w:val="23"/>
    <w:semiHidden/>
    <w:unhideWhenUsed/>
    <w:qFormat/>
    <w:uiPriority w:val="99"/>
    <w:pPr>
      <w:snapToGrid w:val="0"/>
      <w:jc w:val="left"/>
    </w:pPr>
    <w:rPr>
      <w:sz w:val="18"/>
      <w:szCs w:val="18"/>
    </w:rPr>
  </w:style>
  <w:style w:type="paragraph" w:styleId="11">
    <w:name w:val="annotation subject"/>
    <w:basedOn w:val="5"/>
    <w:next w:val="5"/>
    <w:link w:val="28"/>
    <w:semiHidden/>
    <w:unhideWhenUsed/>
    <w:uiPriority w:val="99"/>
    <w:rPr>
      <w:b/>
      <w:bCs/>
    </w:rPr>
  </w:style>
  <w:style w:type="table" w:styleId="13">
    <w:name w:val="Table Grid"/>
    <w:basedOn w:val="12"/>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22"/>
    <w:rPr>
      <w:b/>
      <w:bCs/>
    </w:rPr>
  </w:style>
  <w:style w:type="character" w:styleId="16">
    <w:name w:val="endnote reference"/>
    <w:basedOn w:val="14"/>
    <w:semiHidden/>
    <w:unhideWhenUsed/>
    <w:uiPriority w:val="99"/>
    <w:rPr>
      <w:vertAlign w:val="superscript"/>
    </w:rPr>
  </w:style>
  <w:style w:type="character" w:styleId="17">
    <w:name w:val="annotation reference"/>
    <w:basedOn w:val="14"/>
    <w:semiHidden/>
    <w:unhideWhenUsed/>
    <w:uiPriority w:val="99"/>
    <w:rPr>
      <w:sz w:val="21"/>
      <w:szCs w:val="21"/>
    </w:rPr>
  </w:style>
  <w:style w:type="character" w:styleId="18">
    <w:name w:val="footnote reference"/>
    <w:basedOn w:val="14"/>
    <w:semiHidden/>
    <w:unhideWhenUsed/>
    <w:qFormat/>
    <w:uiPriority w:val="99"/>
    <w:rPr>
      <w:vertAlign w:val="superscript"/>
    </w:rPr>
  </w:style>
  <w:style w:type="character" w:customStyle="1" w:styleId="19">
    <w:name w:val="页眉 字符"/>
    <w:basedOn w:val="14"/>
    <w:link w:val="9"/>
    <w:qFormat/>
    <w:uiPriority w:val="99"/>
    <w:rPr>
      <w:sz w:val="18"/>
      <w:szCs w:val="18"/>
    </w:rPr>
  </w:style>
  <w:style w:type="character" w:customStyle="1" w:styleId="20">
    <w:name w:val="页脚 字符"/>
    <w:basedOn w:val="14"/>
    <w:link w:val="8"/>
    <w:qFormat/>
    <w:uiPriority w:val="99"/>
    <w:rPr>
      <w:sz w:val="18"/>
      <w:szCs w:val="18"/>
    </w:rPr>
  </w:style>
  <w:style w:type="character" w:customStyle="1" w:styleId="21">
    <w:name w:val="标题 1 字符"/>
    <w:basedOn w:val="14"/>
    <w:link w:val="2"/>
    <w:qFormat/>
    <w:uiPriority w:val="9"/>
    <w:rPr>
      <w:rFonts w:ascii="Times New Roman" w:hAnsi="Times New Roman" w:eastAsia="黑体"/>
      <w:b/>
      <w:bCs/>
      <w:kern w:val="44"/>
      <w:sz w:val="44"/>
      <w:szCs w:val="44"/>
    </w:rPr>
  </w:style>
  <w:style w:type="character" w:customStyle="1" w:styleId="22">
    <w:name w:val="标题 2 字符"/>
    <w:basedOn w:val="14"/>
    <w:link w:val="3"/>
    <w:qFormat/>
    <w:uiPriority w:val="9"/>
    <w:rPr>
      <w:rFonts w:ascii="Times New Roman" w:hAnsi="Times New Roman" w:eastAsia="楷体" w:cs="宋体"/>
      <w:b/>
      <w:bCs/>
      <w:kern w:val="2"/>
      <w:sz w:val="32"/>
      <w:szCs w:val="32"/>
    </w:rPr>
  </w:style>
  <w:style w:type="character" w:customStyle="1" w:styleId="23">
    <w:name w:val="脚注文本 字符"/>
    <w:basedOn w:val="14"/>
    <w:link w:val="10"/>
    <w:semiHidden/>
    <w:qFormat/>
    <w:uiPriority w:val="99"/>
    <w:rPr>
      <w:rFonts w:ascii="Times New Roman" w:hAnsi="Times New Roman" w:eastAsia="仿宋"/>
      <w:sz w:val="18"/>
      <w:szCs w:val="18"/>
    </w:rPr>
  </w:style>
  <w:style w:type="character" w:customStyle="1" w:styleId="24">
    <w:name w:val="批注框文本 字符"/>
    <w:basedOn w:val="14"/>
    <w:link w:val="7"/>
    <w:semiHidden/>
    <w:uiPriority w:val="99"/>
    <w:rPr>
      <w:rFonts w:ascii="Times New Roman" w:hAnsi="Times New Roman" w:eastAsia="仿宋"/>
      <w:sz w:val="18"/>
      <w:szCs w:val="18"/>
    </w:rPr>
  </w:style>
  <w:style w:type="character" w:customStyle="1" w:styleId="25">
    <w:name w:val="标题 3 字符"/>
    <w:basedOn w:val="14"/>
    <w:link w:val="4"/>
    <w:uiPriority w:val="9"/>
    <w:rPr>
      <w:rFonts w:ascii="Times New Roman" w:hAnsi="Times New Roman" w:eastAsia="仿宋"/>
      <w:b/>
      <w:bCs/>
      <w:kern w:val="2"/>
      <w:sz w:val="30"/>
      <w:szCs w:val="32"/>
    </w:rPr>
  </w:style>
  <w:style w:type="character" w:customStyle="1" w:styleId="26">
    <w:name w:val="尾注文本 字符"/>
    <w:basedOn w:val="14"/>
    <w:link w:val="6"/>
    <w:semiHidden/>
    <w:uiPriority w:val="99"/>
    <w:rPr>
      <w:rFonts w:ascii="Times New Roman" w:hAnsi="Times New Roman" w:eastAsia="仿宋"/>
      <w:kern w:val="2"/>
      <w:sz w:val="30"/>
      <w:szCs w:val="22"/>
    </w:rPr>
  </w:style>
  <w:style w:type="character" w:customStyle="1" w:styleId="27">
    <w:name w:val="批注文字 字符"/>
    <w:basedOn w:val="14"/>
    <w:link w:val="5"/>
    <w:semiHidden/>
    <w:uiPriority w:val="99"/>
    <w:rPr>
      <w:rFonts w:ascii="Times New Roman" w:hAnsi="Times New Roman" w:eastAsia="仿宋"/>
      <w:kern w:val="2"/>
      <w:sz w:val="30"/>
      <w:szCs w:val="22"/>
    </w:rPr>
  </w:style>
  <w:style w:type="character" w:customStyle="1" w:styleId="28">
    <w:name w:val="批注主题 字符"/>
    <w:basedOn w:val="27"/>
    <w:link w:val="11"/>
    <w:semiHidden/>
    <w:uiPriority w:val="99"/>
    <w:rPr>
      <w:rFonts w:ascii="Times New Roman" w:hAnsi="Times New Roman" w:eastAsia="仿宋"/>
      <w:b/>
      <w:bCs/>
      <w:kern w:val="2"/>
      <w:sz w:val="30"/>
      <w:szCs w:val="22"/>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4FEE19-82BE-4ABA-A577-6D398C10FAFD}">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6</Pages>
  <Words>417</Words>
  <Characters>2380</Characters>
  <Lines>19</Lines>
  <Paragraphs>5</Paragraphs>
  <TotalTime>162</TotalTime>
  <ScaleCrop>false</ScaleCrop>
  <LinksUpToDate>false</LinksUpToDate>
  <CharactersWithSpaces>2792</CharactersWithSpaces>
  <Application>WPS Office_11.1.0.12763_F1E327BC-269C-435d-A152-05C5408002CA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2023-03-01T03:12:00Z</dcterms:created>
  <dc:creator>魏玥</dc:creator>
  <cp:lastModifiedBy>ysr72</cp:lastModifiedBy>
  <dcterms:modified xsi:type="dcterms:W3CDTF">2023-03-02T07:51:28Z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ADCD7F890D154BFFA09D605C77CE0265</vt:lpwstr>
  </property>
</Properties>
</file>