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90E07">
      <w:pPr>
        <w:pStyle w:val="2"/>
        <w:bidi w:val="0"/>
        <w:jc w:val="center"/>
        <w:rPr>
          <w:rFonts w:hint="eastAsia"/>
          <w:sz w:val="36"/>
          <w:szCs w:val="21"/>
          <w:lang w:val="en-US" w:eastAsia="zh-CN"/>
        </w:rPr>
      </w:pPr>
      <w:r>
        <w:rPr>
          <w:rFonts w:hint="eastAsia"/>
          <w:sz w:val="36"/>
          <w:szCs w:val="21"/>
          <w:lang w:val="en-US" w:eastAsia="zh-CN"/>
        </w:rPr>
        <w:t>云电脑C端市场优秀厂商运营策略及对天翼云电脑的启示与建议</w:t>
      </w:r>
    </w:p>
    <w:p w14:paraId="78ACE1FE">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288" w:lineRule="auto"/>
        <w:ind w:left="0" w:leftChars="0" w:firstLine="0" w:firstLineChars="0"/>
        <w:jc w:val="center"/>
        <w:textAlignment w:val="auto"/>
        <w:rPr>
          <w:rFonts w:hint="eastAsia"/>
          <w:b w:val="0"/>
          <w:bCs w:val="0"/>
          <w:sz w:val="24"/>
          <w:szCs w:val="24"/>
          <w:lang w:val="en-US" w:eastAsia="zh-CN"/>
        </w:rPr>
      </w:pPr>
      <w:r>
        <w:rPr>
          <w:rFonts w:hint="eastAsia"/>
          <w:b w:val="0"/>
          <w:bCs w:val="0"/>
          <w:sz w:val="24"/>
          <w:szCs w:val="24"/>
          <w:lang w:val="en-US" w:eastAsia="zh-CN"/>
        </w:rPr>
        <w:t>企业发展与战新业务研究中心   柴雪芳</w:t>
      </w:r>
    </w:p>
    <w:p w14:paraId="4E702B8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r>
        <w:rPr>
          <w:rFonts w:hint="eastAsia"/>
          <w:b w:val="0"/>
          <w:bCs w:val="0"/>
          <w:sz w:val="24"/>
          <w:szCs w:val="24"/>
          <w:lang w:val="en-US" w:eastAsia="zh-CN"/>
        </w:rPr>
        <w:t>2024年，以《黑神话·悟空》为代表的3A游戏爆火，玩家们对电脑硬件性能的需求迅速攀升，而传统的个人电脑往往难以满足用户对计算能力的高要求。面对这种日益增长的需求，涌现了一批面向个人用户高性能场景的云电脑厂商，如ToDesk、青椒云、顺网云、海马云、网易云游戏、易腾云、极云普惠云等。C端云电脑市场迎来了高光时刻。</w:t>
      </w:r>
    </w:p>
    <w:p w14:paraId="739604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r>
        <w:rPr>
          <w:rFonts w:hint="eastAsia"/>
          <w:b w:val="0"/>
          <w:bCs w:val="0"/>
          <w:sz w:val="24"/>
          <w:szCs w:val="24"/>
          <w:lang w:val="en-US" w:eastAsia="zh-CN"/>
        </w:rPr>
        <w:t>本文重点分析了C端市场的代表性厂商ToDesk。从目标客户群、技术、场景与功能、产品配置、计费模式等多方面分析其运营策略，并针对天翼云电脑的运营提出启示与建议。</w:t>
      </w:r>
    </w:p>
    <w:p w14:paraId="23726D43">
      <w:pPr>
        <w:pStyle w:val="2"/>
        <w:numPr>
          <w:ilvl w:val="0"/>
          <w:numId w:val="1"/>
        </w:numPr>
        <w:bidi w:val="0"/>
        <w:ind w:left="0" w:leftChars="0" w:firstLine="0" w:firstLineChars="0"/>
        <w:jc w:val="left"/>
        <w:rPr>
          <w:rFonts w:hint="eastAsia"/>
          <w:b/>
          <w:sz w:val="36"/>
          <w:szCs w:val="21"/>
          <w:lang w:val="en-US" w:eastAsia="zh-CN"/>
        </w:rPr>
      </w:pPr>
      <w:r>
        <w:rPr>
          <w:rFonts w:hint="eastAsia"/>
          <w:b/>
          <w:sz w:val="36"/>
          <w:szCs w:val="21"/>
          <w:lang w:val="en-US" w:eastAsia="zh-CN"/>
        </w:rPr>
        <w:t>ToDesk基本情况</w:t>
      </w:r>
    </w:p>
    <w:p w14:paraId="1CDB6E0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r>
        <w:rPr>
          <w:rFonts w:hint="eastAsia"/>
          <w:b w:val="0"/>
          <w:bCs w:val="0"/>
          <w:sz w:val="24"/>
          <w:szCs w:val="24"/>
          <w:lang w:val="en-US" w:eastAsia="zh-CN"/>
        </w:rPr>
        <w:t>ToDesk是一家专注于远程连接和云电脑服务的公司，其云电脑服务在市场上享有较高的知名度，产品线全面覆盖普通办公及高性能需求场景，且用户数量大。其发展经历了两个阶段：</w:t>
      </w:r>
    </w:p>
    <w:p w14:paraId="272EB32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第一阶段：规模化扩张</w:t>
      </w:r>
      <w:r>
        <w:rPr>
          <w:rFonts w:hint="eastAsia"/>
          <w:b w:val="0"/>
          <w:bCs w:val="0"/>
          <w:sz w:val="24"/>
          <w:szCs w:val="24"/>
          <w:lang w:val="en-US" w:eastAsia="zh-CN"/>
        </w:rPr>
        <w:t>。2020年疫情时期，ToDesk敏锐察觉到居家办公和远程办公所带来的机会，于是凭借在远程连接领域过硬的技术实力和优质的远程控制使用体验，进入云电脑市场。从2020年到2022年短短2年，ToDesk的C端云电脑账户数达到千万级。</w:t>
      </w:r>
    </w:p>
    <w:p w14:paraId="00C7600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第二阶段：精细化运营</w:t>
      </w:r>
      <w:r>
        <w:rPr>
          <w:rFonts w:hint="eastAsia"/>
          <w:b w:val="0"/>
          <w:bCs w:val="0"/>
          <w:sz w:val="24"/>
          <w:szCs w:val="24"/>
          <w:lang w:val="en-US" w:eastAsia="zh-CN"/>
        </w:rPr>
        <w:t>。用户规模迅速增长之后，ToDesk的运营策略从前期的粗放扩张转变为精耕细作。首先，洞察市场需求变化趋势；其次，基于自身技术优势定位三大重点目标客户群体——游戏人群、设计师人群、AIGC人群，对应三类人群形成三条产品线；从而最终实现自我变革，进一步提高了产品的市场占有率及市场影响力。2023年，ToDesk云电脑的账户数量已经达到1亿，2024年被评为用户最喜爱的云电脑厂商TOP1。</w:t>
      </w:r>
    </w:p>
    <w:p w14:paraId="76C054D3">
      <w:pPr>
        <w:pStyle w:val="2"/>
        <w:numPr>
          <w:ilvl w:val="0"/>
          <w:numId w:val="1"/>
        </w:numPr>
        <w:bidi w:val="0"/>
        <w:ind w:left="0" w:leftChars="0" w:firstLine="0" w:firstLineChars="0"/>
        <w:jc w:val="left"/>
        <w:rPr>
          <w:rFonts w:hint="eastAsia"/>
          <w:b/>
          <w:sz w:val="36"/>
          <w:szCs w:val="21"/>
          <w:lang w:val="en-US" w:eastAsia="zh-CN"/>
        </w:rPr>
      </w:pPr>
      <w:r>
        <w:rPr>
          <w:rFonts w:hint="eastAsia"/>
          <w:b/>
          <w:sz w:val="36"/>
          <w:szCs w:val="21"/>
          <w:lang w:val="en-US" w:eastAsia="zh-CN"/>
        </w:rPr>
        <w:t>ToDesk运营策略：聚焦刚需人群，从功能、技术、配置等多方面保障操作体验。</w:t>
      </w:r>
    </w:p>
    <w:p w14:paraId="084BBF2F">
      <w:pPr>
        <w:pStyle w:val="3"/>
        <w:numPr>
          <w:ilvl w:val="0"/>
          <w:numId w:val="2"/>
        </w:numPr>
        <w:bidi w:val="0"/>
        <w:ind w:left="0" w:leftChars="0" w:firstLine="420" w:firstLineChars="0"/>
        <w:rPr>
          <w:rFonts w:hint="eastAsia"/>
          <w:lang w:val="en-US" w:eastAsia="zh-CN"/>
        </w:rPr>
      </w:pPr>
      <w:r>
        <w:rPr>
          <w:rFonts w:hint="eastAsia"/>
          <w:lang w:val="en-US" w:eastAsia="zh-CN"/>
        </w:rPr>
        <w:t>瞄准重点人群，确保功能贴合需求场景，抢占市场先机。</w:t>
      </w:r>
    </w:p>
    <w:p w14:paraId="39A73C3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default"/>
          <w:b w:val="0"/>
          <w:bCs w:val="0"/>
          <w:sz w:val="24"/>
          <w:szCs w:val="24"/>
          <w:lang w:val="en-US" w:eastAsia="zh-CN"/>
        </w:rPr>
      </w:pPr>
      <w:r>
        <w:rPr>
          <w:rFonts w:hint="eastAsia"/>
          <w:b w:val="0"/>
          <w:bCs w:val="0"/>
          <w:sz w:val="24"/>
          <w:szCs w:val="24"/>
          <w:lang w:val="en-US" w:eastAsia="zh-CN"/>
        </w:rPr>
        <w:t>在用户规模迅速扩张后，精细化运营是重中之重。ToDesk开始进行精耕细作，最终</w:t>
      </w:r>
      <w:r>
        <w:rPr>
          <w:rFonts w:hint="eastAsia"/>
          <w:b/>
          <w:bCs/>
          <w:sz w:val="24"/>
          <w:szCs w:val="24"/>
          <w:lang w:val="en-US" w:eastAsia="zh-CN"/>
        </w:rPr>
        <w:t>聚焦在对高性能云电脑有刚需的重点人群，即</w:t>
      </w:r>
      <w:r>
        <w:rPr>
          <w:rFonts w:hint="eastAsia"/>
          <w:b w:val="0"/>
          <w:bCs w:val="0"/>
          <w:sz w:val="24"/>
          <w:szCs w:val="24"/>
          <w:lang w:val="en-US" w:eastAsia="zh-CN"/>
        </w:rPr>
        <w:t>：设计师群体、AIGC创意群体、游戏群体；进而形成云设计、云建模、云电竞三条产品线。这三类细分群体有两个共同特征：高度依赖硬件性能、且对远程传输画面有相对较高的清晰度要求。因而，ToDesk基于重点群体的核心需求，提供特色功能。</w:t>
      </w:r>
    </w:p>
    <w:p w14:paraId="693A691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针对设计师人群</w:t>
      </w:r>
      <w:r>
        <w:rPr>
          <w:rFonts w:hint="eastAsia"/>
          <w:b w:val="0"/>
          <w:bCs w:val="0"/>
          <w:sz w:val="24"/>
          <w:szCs w:val="24"/>
          <w:lang w:val="en-US" w:eastAsia="zh-CN"/>
        </w:rPr>
        <w:t>，ToDesk开发了高性能版和4:4:4真彩模式两个功能</w:t>
      </w:r>
      <w:r>
        <w:rPr>
          <w:rFonts w:hint="default"/>
          <w:b w:val="0"/>
          <w:bCs w:val="0"/>
          <w:sz w:val="24"/>
          <w:szCs w:val="24"/>
          <w:lang w:val="en-US" w:eastAsia="zh-CN"/>
        </w:rPr>
        <w:t>，以满足对画面清晰度有不同要求的用户</w:t>
      </w:r>
      <w:r>
        <w:rPr>
          <w:rFonts w:hint="eastAsia"/>
          <w:b w:val="0"/>
          <w:bCs w:val="0"/>
          <w:sz w:val="24"/>
          <w:szCs w:val="24"/>
          <w:lang w:val="en-US" w:eastAsia="zh-CN"/>
        </w:rPr>
        <w:t>。高性能版在原有的2K 30帧超清画面基础上，新增了2K60帧和4K30帧的画面支持，能够最大程度还原远程画面效果，清晰展示细节。而4:4:4真彩模式，能够让远控画面呈现的亮度与色度，不会受到压缩和抽样，远程设计时画面一对一呈现。</w:t>
      </w:r>
    </w:p>
    <w:p w14:paraId="4CBF7E9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针对AIGC创意群体</w:t>
      </w:r>
      <w:r>
        <w:rPr>
          <w:rFonts w:hint="eastAsia"/>
          <w:b w:val="0"/>
          <w:bCs w:val="0"/>
          <w:sz w:val="24"/>
          <w:szCs w:val="24"/>
          <w:lang w:val="en-US" w:eastAsia="zh-CN"/>
        </w:rPr>
        <w:t>，ToDesk主打强大的计算能力和储存空间，能够支持AIGC软件高效运行，并且ToDesk未来还会与用户进行共创，用户无需再烦恼复杂的AIGC软件装载过程，只需要打开ToDesk云电脑即可快速上手。用户可以利用ToDesk云电脑进行图像生成、音频生成、视频生成等多种AIGC创作，释放创造力，提升内容生产效率。另外还支持接入数位板等外接设备，为动画/海报创作、游戏开发、工业设计等创意工作者，带来极度舒适的远程创作体验。</w:t>
      </w:r>
    </w:p>
    <w:p w14:paraId="53F27D1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针对游戏人群</w:t>
      </w:r>
      <w:r>
        <w:rPr>
          <w:rFonts w:hint="eastAsia"/>
          <w:b w:val="0"/>
          <w:bCs w:val="0"/>
          <w:sz w:val="24"/>
          <w:szCs w:val="24"/>
          <w:lang w:val="en-US" w:eastAsia="zh-CN"/>
        </w:rPr>
        <w:t>，ToDesk先后支持外接游戏键鼠、游戏手柄以及增加3D鼠标功能，辅以最高4K30帧的超清画质，远控时还能呈现更加稳定的刷新帧率，避免掉帧的情况，用户可随时远程畅玩大型游戏，并能感受到如同在本地设备玩游戏的操作和体验。</w:t>
      </w:r>
    </w:p>
    <w:p w14:paraId="774217A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r>
        <w:rPr>
          <w:rFonts w:hint="eastAsia"/>
          <w:b w:val="0"/>
          <w:bCs w:val="0"/>
          <w:sz w:val="24"/>
          <w:szCs w:val="24"/>
          <w:lang w:val="en-US" w:eastAsia="zh-CN"/>
        </w:rPr>
        <w:t>这些针对特定人群使用场景的个性化功能，展示着ToDesk超强的用户需求洞察能力，也为其快速抢占市场赢得了先机。</w:t>
      </w:r>
    </w:p>
    <w:p w14:paraId="61EFE6D2">
      <w:pPr>
        <w:pStyle w:val="3"/>
        <w:numPr>
          <w:ilvl w:val="0"/>
          <w:numId w:val="2"/>
        </w:numPr>
        <w:bidi w:val="0"/>
        <w:ind w:left="0" w:leftChars="0" w:firstLine="420" w:firstLineChars="0"/>
        <w:rPr>
          <w:rFonts w:hint="eastAsia"/>
          <w:lang w:val="en-US" w:eastAsia="zh-CN"/>
        </w:rPr>
      </w:pPr>
      <w:r>
        <w:rPr>
          <w:rFonts w:hint="eastAsia"/>
          <w:lang w:val="en-US" w:eastAsia="zh-CN"/>
        </w:rPr>
        <w:t>围绕核心需求，打造核心技术，并形成技术壁垒。</w:t>
      </w:r>
    </w:p>
    <w:p w14:paraId="6ECB80F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default"/>
          <w:b w:val="0"/>
          <w:bCs w:val="0"/>
          <w:sz w:val="24"/>
          <w:szCs w:val="24"/>
          <w:lang w:val="en-US" w:eastAsia="zh-CN"/>
        </w:rPr>
      </w:pPr>
      <w:r>
        <w:rPr>
          <w:rFonts w:hint="eastAsia"/>
          <w:b w:val="0"/>
          <w:bCs w:val="0"/>
          <w:sz w:val="24"/>
          <w:szCs w:val="24"/>
          <w:lang w:val="en-US" w:eastAsia="zh-CN"/>
        </w:rPr>
        <w:t>ToDesk聚焦的三类群体有两个共同特征：</w:t>
      </w:r>
      <w:r>
        <w:rPr>
          <w:rFonts w:hint="eastAsia"/>
          <w:b/>
          <w:bCs/>
          <w:sz w:val="24"/>
          <w:szCs w:val="24"/>
          <w:lang w:val="en-US" w:eastAsia="zh-CN"/>
        </w:rPr>
        <w:t>高度依赖硬件性能、且对远程传输画面有相对较高的清晰度要求</w:t>
      </w:r>
      <w:r>
        <w:rPr>
          <w:rFonts w:hint="eastAsia"/>
          <w:b w:val="0"/>
          <w:bCs w:val="0"/>
          <w:sz w:val="24"/>
          <w:szCs w:val="24"/>
          <w:lang w:val="en-US" w:eastAsia="zh-CN"/>
        </w:rPr>
        <w:t>。因此ToDesk打造了“ZeroSync引擎、音视频编解码器、OTT SD-WAN网络”三大核心技术，并叠加PC Farm平台，进一步打破硬件限制，摆脱虚拟化层的性能损耗，从而实现接近物理机的算力表现。</w:t>
      </w:r>
    </w:p>
    <w:p w14:paraId="4913479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ZeroSync引擎（RTC技术）</w:t>
      </w:r>
      <w:r>
        <w:rPr>
          <w:rFonts w:hint="eastAsia"/>
          <w:b w:val="0"/>
          <w:bCs w:val="0"/>
          <w:sz w:val="24"/>
          <w:szCs w:val="24"/>
          <w:lang w:val="en-US" w:eastAsia="zh-CN"/>
        </w:rPr>
        <w:t>是从底层结构提升远控数据的传输性能，</w:t>
      </w:r>
      <w:r>
        <w:rPr>
          <w:rFonts w:hint="eastAsia"/>
          <w:b/>
          <w:bCs/>
          <w:sz w:val="24"/>
          <w:szCs w:val="24"/>
          <w:lang w:val="en-US" w:eastAsia="zh-CN"/>
        </w:rPr>
        <w:t>大幅度提升网络吞吐能力和弱网对抗能力</w:t>
      </w:r>
      <w:r>
        <w:rPr>
          <w:rFonts w:hint="eastAsia"/>
          <w:b w:val="0"/>
          <w:bCs w:val="0"/>
          <w:sz w:val="24"/>
          <w:szCs w:val="24"/>
          <w:lang w:val="en-US" w:eastAsia="zh-CN"/>
        </w:rPr>
        <w:t>，确保数据能快速稳定的精准传递。ToDesk自研的</w:t>
      </w:r>
      <w:r>
        <w:rPr>
          <w:rFonts w:hint="eastAsia"/>
          <w:b/>
          <w:bCs/>
          <w:sz w:val="24"/>
          <w:szCs w:val="24"/>
          <w:lang w:val="en-US" w:eastAsia="zh-CN"/>
        </w:rPr>
        <w:t>音视频编码技术，让远控画质可至4K60帧/2K144帧原画级</w:t>
      </w:r>
      <w:r>
        <w:rPr>
          <w:rFonts w:hint="eastAsia"/>
          <w:b w:val="0"/>
          <w:bCs w:val="0"/>
          <w:sz w:val="24"/>
          <w:szCs w:val="24"/>
          <w:lang w:val="en-US" w:eastAsia="zh-CN"/>
        </w:rPr>
        <w:t>。这两项技术相结合，让远程传输速度和画质呈现都有了更进一步的提升，能充分满足其目标客户群体对时延和画面还原度的高要求。</w:t>
      </w:r>
    </w:p>
    <w:p w14:paraId="214F6DA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ToDesk还在全球部署软件定义实时传输网络</w:t>
      </w:r>
      <w:r>
        <w:rPr>
          <w:rFonts w:hint="eastAsia"/>
          <w:b w:val="0"/>
          <w:bCs w:val="0"/>
          <w:sz w:val="24"/>
          <w:szCs w:val="24"/>
          <w:lang w:val="en-US" w:eastAsia="zh-CN"/>
        </w:rPr>
        <w:t>。依靠 OTT SD-WAN 技术，ToDesk不仅拥有200+的网络节点，而且具备智能路径优化能力，可减少由于网络传输和多级转发带来延迟损耗，提升网络传输质量。</w:t>
      </w:r>
    </w:p>
    <w:p w14:paraId="21A44A9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r>
        <w:rPr>
          <w:rFonts w:hint="eastAsia"/>
          <w:b w:val="0"/>
          <w:bCs w:val="0"/>
          <w:sz w:val="24"/>
          <w:szCs w:val="24"/>
          <w:lang w:val="en-US" w:eastAsia="zh-CN"/>
        </w:rPr>
        <w:t>综合以上多项核心技术，ToDesk才能在刚进入市场时，快速实现丝滑的操作、高清的画质与流畅的传输，真正做到远程操作宛如本机。</w:t>
      </w:r>
    </w:p>
    <w:p w14:paraId="217F7F05">
      <w:pPr>
        <w:pStyle w:val="3"/>
        <w:numPr>
          <w:ilvl w:val="0"/>
          <w:numId w:val="2"/>
        </w:numPr>
        <w:bidi w:val="0"/>
        <w:ind w:left="0" w:leftChars="0" w:firstLine="420" w:firstLineChars="0"/>
        <w:rPr>
          <w:rFonts w:hint="eastAsia"/>
          <w:lang w:val="en-US" w:eastAsia="zh-CN"/>
        </w:rPr>
      </w:pPr>
      <w:r>
        <w:rPr>
          <w:rFonts w:hint="eastAsia"/>
          <w:lang w:val="en-US" w:eastAsia="zh-CN"/>
        </w:rPr>
        <w:t>产品配置高端化，从计算能力上保障云电脑的高性能表现。</w:t>
      </w:r>
    </w:p>
    <w:p w14:paraId="30037D5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r>
        <w:rPr>
          <w:rFonts w:hint="eastAsia"/>
          <w:b w:val="0"/>
          <w:bCs w:val="0"/>
          <w:sz w:val="24"/>
          <w:szCs w:val="24"/>
          <w:lang w:val="en-US" w:eastAsia="zh-CN"/>
        </w:rPr>
        <w:t>ToDesk的云电脑提供强大的硬件支持，为用户提供高性能、低延迟的云端计算资源，以满足重点目标人群对高性能云电脑的需求。无独有偶，青椒云电脑面对AIGC和设计师这样的专业群体，也是通过高配置满足其高性能要求。对比两家厂商的高配置：CPU配置8核-16核为主，内存24G-64G为主，系统盘120G-300G，显卡分 RTX3060/4070/4090 等多种规格（具体参见表1）。这种高配置能够轻松应对AIGC、图形渲染、电竞游戏等高负载任务。因此无论是云端渲染的效率效果，还是游戏的画质与时延，都达到了业界最优的高性能呈现。</w:t>
      </w:r>
    </w:p>
    <w:p w14:paraId="25B9EAF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387" w:firstLineChars="175"/>
        <w:textAlignment w:val="auto"/>
        <w:rPr>
          <w:rFonts w:hint="default"/>
          <w:b/>
          <w:bCs/>
          <w:sz w:val="22"/>
          <w:szCs w:val="22"/>
          <w:lang w:val="en-US" w:eastAsia="zh-CN"/>
        </w:rPr>
      </w:pPr>
      <w:r>
        <w:rPr>
          <w:rFonts w:hint="eastAsia"/>
          <w:b/>
          <w:bCs/>
          <w:sz w:val="22"/>
          <w:szCs w:val="22"/>
          <w:lang w:val="en-US" w:eastAsia="zh-CN"/>
        </w:rPr>
        <w:t>表1：ToDesk和青椒云电脑不同产品线配置对比</w:t>
      </w:r>
    </w:p>
    <w:tbl>
      <w:tblPr>
        <w:tblStyle w:val="6"/>
        <w:tblW w:w="8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3040"/>
        <w:gridCol w:w="3867"/>
      </w:tblGrid>
      <w:tr w14:paraId="04B8E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200BF58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sz w:val="21"/>
                <w:szCs w:val="21"/>
                <w:vertAlign w:val="baseline"/>
                <w:lang w:val="en-US" w:eastAsia="zh-CN"/>
              </w:rPr>
            </w:pPr>
          </w:p>
        </w:tc>
        <w:tc>
          <w:tcPr>
            <w:tcW w:w="3040" w:type="dxa"/>
            <w:vAlign w:val="center"/>
          </w:tcPr>
          <w:p w14:paraId="1ADACCA1">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ToDesk</w:t>
            </w:r>
          </w:p>
        </w:tc>
        <w:tc>
          <w:tcPr>
            <w:tcW w:w="3867" w:type="dxa"/>
            <w:vAlign w:val="center"/>
          </w:tcPr>
          <w:p w14:paraId="35A681A9">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青椒云</w:t>
            </w:r>
          </w:p>
        </w:tc>
      </w:tr>
      <w:tr w14:paraId="2743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4BD2F0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b/>
                <w:bCs/>
                <w:sz w:val="21"/>
                <w:szCs w:val="21"/>
                <w:vertAlign w:val="baseline"/>
                <w:lang w:val="en-US" w:eastAsia="zh-CN"/>
              </w:rPr>
            </w:pPr>
            <w:r>
              <w:rPr>
                <w:rFonts w:hint="eastAsia"/>
                <w:b/>
                <w:bCs/>
                <w:sz w:val="21"/>
                <w:szCs w:val="21"/>
                <w:vertAlign w:val="baseline"/>
                <w:lang w:val="en-US" w:eastAsia="zh-CN"/>
              </w:rPr>
              <w:t>CPU</w:t>
            </w:r>
          </w:p>
        </w:tc>
        <w:tc>
          <w:tcPr>
            <w:tcW w:w="3040" w:type="dxa"/>
            <w:vAlign w:val="center"/>
          </w:tcPr>
          <w:p w14:paraId="4C6D4E7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8核16线程/12核20线程</w:t>
            </w:r>
          </w:p>
        </w:tc>
        <w:tc>
          <w:tcPr>
            <w:tcW w:w="3867" w:type="dxa"/>
            <w:vAlign w:val="center"/>
          </w:tcPr>
          <w:p w14:paraId="43CDF16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bCs/>
                <w:sz w:val="21"/>
                <w:szCs w:val="21"/>
                <w:vertAlign w:val="baseline"/>
                <w:lang w:val="en-US" w:eastAsia="zh-CN"/>
              </w:rPr>
              <w:t>AIGC</w:t>
            </w:r>
            <w:r>
              <w:rPr>
                <w:rFonts w:hint="eastAsia"/>
                <w:b w:val="0"/>
                <w:bCs w:val="0"/>
                <w:sz w:val="21"/>
                <w:szCs w:val="21"/>
                <w:vertAlign w:val="baseline"/>
                <w:lang w:val="en-US" w:eastAsia="zh-CN"/>
              </w:rPr>
              <w:t>：16核；</w:t>
            </w:r>
            <w:r>
              <w:rPr>
                <w:rFonts w:hint="eastAsia"/>
                <w:b/>
                <w:bCs/>
                <w:sz w:val="21"/>
                <w:szCs w:val="21"/>
                <w:vertAlign w:val="baseline"/>
                <w:lang w:val="en-US" w:eastAsia="zh-CN"/>
              </w:rPr>
              <w:t>游戏</w:t>
            </w:r>
            <w:r>
              <w:rPr>
                <w:rFonts w:hint="eastAsia"/>
                <w:b w:val="0"/>
                <w:bCs w:val="0"/>
                <w:sz w:val="21"/>
                <w:szCs w:val="21"/>
                <w:vertAlign w:val="baseline"/>
                <w:lang w:val="en-US" w:eastAsia="zh-CN"/>
              </w:rPr>
              <w:t>：16核；</w:t>
            </w:r>
          </w:p>
          <w:p w14:paraId="7742AC2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bCs/>
                <w:sz w:val="21"/>
                <w:szCs w:val="21"/>
                <w:vertAlign w:val="baseline"/>
                <w:lang w:val="en-US" w:eastAsia="zh-CN"/>
              </w:rPr>
              <w:t>设计</w:t>
            </w:r>
            <w:r>
              <w:rPr>
                <w:rFonts w:hint="eastAsia"/>
                <w:b w:val="0"/>
                <w:bCs w:val="0"/>
                <w:sz w:val="21"/>
                <w:szCs w:val="21"/>
                <w:vertAlign w:val="baseline"/>
                <w:lang w:val="en-US" w:eastAsia="zh-CN"/>
              </w:rPr>
              <w:t>：16核/96核</w:t>
            </w:r>
          </w:p>
        </w:tc>
      </w:tr>
      <w:tr w14:paraId="37EF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F8EEFF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b/>
                <w:bCs/>
                <w:sz w:val="21"/>
                <w:szCs w:val="21"/>
                <w:vertAlign w:val="baseline"/>
                <w:lang w:val="en-US" w:eastAsia="zh-CN"/>
              </w:rPr>
            </w:pPr>
            <w:r>
              <w:rPr>
                <w:rFonts w:hint="eastAsia"/>
                <w:b/>
                <w:bCs/>
                <w:sz w:val="21"/>
                <w:szCs w:val="21"/>
                <w:vertAlign w:val="baseline"/>
                <w:lang w:val="en-US" w:eastAsia="zh-CN"/>
              </w:rPr>
              <w:t>内存</w:t>
            </w:r>
          </w:p>
        </w:tc>
        <w:tc>
          <w:tcPr>
            <w:tcW w:w="3040" w:type="dxa"/>
            <w:vAlign w:val="center"/>
          </w:tcPr>
          <w:p w14:paraId="6CE14C9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bCs/>
                <w:sz w:val="21"/>
                <w:szCs w:val="21"/>
                <w:vertAlign w:val="baseline"/>
                <w:lang w:val="en-US" w:eastAsia="zh-CN"/>
              </w:rPr>
              <w:t>AIGC</w:t>
            </w:r>
            <w:r>
              <w:rPr>
                <w:rFonts w:hint="eastAsia"/>
                <w:b w:val="0"/>
                <w:bCs w:val="0"/>
                <w:sz w:val="21"/>
                <w:szCs w:val="21"/>
                <w:vertAlign w:val="baseline"/>
                <w:lang w:val="en-US" w:eastAsia="zh-CN"/>
              </w:rPr>
              <w:t>：64G；</w:t>
            </w:r>
            <w:r>
              <w:rPr>
                <w:rFonts w:hint="eastAsia"/>
                <w:b/>
                <w:bCs/>
                <w:sz w:val="21"/>
                <w:szCs w:val="21"/>
                <w:vertAlign w:val="baseline"/>
                <w:lang w:val="en-US" w:eastAsia="zh-CN"/>
              </w:rPr>
              <w:t>游戏</w:t>
            </w:r>
            <w:r>
              <w:rPr>
                <w:rFonts w:hint="eastAsia"/>
                <w:b w:val="0"/>
                <w:bCs w:val="0"/>
                <w:sz w:val="21"/>
                <w:szCs w:val="21"/>
                <w:vertAlign w:val="baseline"/>
                <w:lang w:val="en-US" w:eastAsia="zh-CN"/>
              </w:rPr>
              <w:t>：32G起；</w:t>
            </w:r>
          </w:p>
          <w:p w14:paraId="6DE69D5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bCs/>
                <w:sz w:val="21"/>
                <w:szCs w:val="21"/>
                <w:vertAlign w:val="baseline"/>
                <w:lang w:val="en-US" w:eastAsia="zh-CN"/>
              </w:rPr>
              <w:t>设计</w:t>
            </w:r>
            <w:r>
              <w:rPr>
                <w:rFonts w:hint="eastAsia"/>
                <w:b w:val="0"/>
                <w:bCs w:val="0"/>
                <w:sz w:val="21"/>
                <w:szCs w:val="21"/>
                <w:vertAlign w:val="baseline"/>
                <w:lang w:val="en-US" w:eastAsia="zh-CN"/>
              </w:rPr>
              <w:t>：24G起</w:t>
            </w:r>
          </w:p>
        </w:tc>
        <w:tc>
          <w:tcPr>
            <w:tcW w:w="3867" w:type="dxa"/>
            <w:shd w:val="clear" w:color="auto" w:fill="auto"/>
            <w:vAlign w:val="center"/>
          </w:tcPr>
          <w:p w14:paraId="14B855F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1"/>
                <w:szCs w:val="21"/>
                <w:vertAlign w:val="baseline"/>
                <w:lang w:val="en-US" w:eastAsia="zh-CN"/>
              </w:rPr>
            </w:pPr>
            <w:r>
              <w:rPr>
                <w:rFonts w:hint="eastAsia"/>
                <w:b/>
                <w:bCs/>
                <w:sz w:val="21"/>
                <w:szCs w:val="21"/>
                <w:vertAlign w:val="baseline"/>
                <w:lang w:val="en-US" w:eastAsia="zh-CN"/>
              </w:rPr>
              <w:t>AIGC</w:t>
            </w:r>
            <w:r>
              <w:rPr>
                <w:rFonts w:hint="eastAsia"/>
                <w:b w:val="0"/>
                <w:bCs w:val="0"/>
                <w:sz w:val="21"/>
                <w:szCs w:val="21"/>
                <w:vertAlign w:val="baseline"/>
                <w:lang w:val="en-US" w:eastAsia="zh-CN"/>
              </w:rPr>
              <w:t>：32G；</w:t>
            </w:r>
            <w:r>
              <w:rPr>
                <w:rFonts w:hint="eastAsia"/>
                <w:b/>
                <w:bCs/>
                <w:sz w:val="21"/>
                <w:szCs w:val="21"/>
                <w:vertAlign w:val="baseline"/>
                <w:lang w:val="en-US" w:eastAsia="zh-CN"/>
              </w:rPr>
              <w:t>游戏</w:t>
            </w:r>
            <w:r>
              <w:rPr>
                <w:rFonts w:hint="eastAsia"/>
                <w:b w:val="0"/>
                <w:bCs w:val="0"/>
                <w:sz w:val="21"/>
                <w:szCs w:val="21"/>
                <w:vertAlign w:val="baseline"/>
                <w:lang w:val="en-US" w:eastAsia="zh-CN"/>
              </w:rPr>
              <w:t>：32G；</w:t>
            </w:r>
          </w:p>
          <w:p w14:paraId="330C411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bCs/>
                <w:sz w:val="21"/>
                <w:szCs w:val="21"/>
                <w:vertAlign w:val="baseline"/>
                <w:lang w:val="en-US" w:eastAsia="zh-CN"/>
              </w:rPr>
              <w:t>设计</w:t>
            </w:r>
            <w:r>
              <w:rPr>
                <w:rFonts w:hint="eastAsia"/>
                <w:b w:val="0"/>
                <w:bCs w:val="0"/>
                <w:sz w:val="21"/>
                <w:szCs w:val="21"/>
                <w:vertAlign w:val="baseline"/>
                <w:lang w:val="en-US" w:eastAsia="zh-CN"/>
              </w:rPr>
              <w:t>：32G/64G/256G</w:t>
            </w:r>
          </w:p>
        </w:tc>
      </w:tr>
      <w:tr w14:paraId="3A01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57497E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系统盘</w:t>
            </w:r>
          </w:p>
        </w:tc>
        <w:tc>
          <w:tcPr>
            <w:tcW w:w="3040" w:type="dxa"/>
            <w:vAlign w:val="center"/>
          </w:tcPr>
          <w:p w14:paraId="2B1C040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1"/>
                <w:szCs w:val="21"/>
                <w:vertAlign w:val="baseline"/>
                <w:lang w:val="en-US" w:eastAsia="zh-CN"/>
              </w:rPr>
            </w:pPr>
            <w:r>
              <w:rPr>
                <w:rFonts w:hint="default"/>
                <w:b w:val="0"/>
                <w:bCs w:val="0"/>
                <w:sz w:val="21"/>
                <w:szCs w:val="21"/>
                <w:vertAlign w:val="baseline"/>
                <w:lang w:val="en-US" w:eastAsia="zh-CN"/>
              </w:rPr>
              <w:t>240GB SSD</w:t>
            </w:r>
          </w:p>
        </w:tc>
        <w:tc>
          <w:tcPr>
            <w:tcW w:w="3867" w:type="dxa"/>
            <w:shd w:val="clear" w:color="auto" w:fill="auto"/>
            <w:vAlign w:val="center"/>
          </w:tcPr>
          <w:p w14:paraId="2D47AAB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1"/>
                <w:szCs w:val="21"/>
                <w:vertAlign w:val="baseline"/>
                <w:lang w:val="en-US" w:eastAsia="zh-CN"/>
              </w:rPr>
            </w:pPr>
            <w:r>
              <w:rPr>
                <w:rFonts w:hint="eastAsia"/>
                <w:b/>
                <w:bCs/>
                <w:sz w:val="21"/>
                <w:szCs w:val="21"/>
                <w:vertAlign w:val="baseline"/>
                <w:lang w:val="en-US" w:eastAsia="zh-CN"/>
              </w:rPr>
              <w:t>AIG</w:t>
            </w:r>
            <w:r>
              <w:rPr>
                <w:rFonts w:hint="eastAsia"/>
                <w:b w:val="0"/>
                <w:bCs w:val="0"/>
                <w:sz w:val="21"/>
                <w:szCs w:val="21"/>
                <w:vertAlign w:val="baseline"/>
                <w:lang w:val="en-US" w:eastAsia="zh-CN"/>
              </w:rPr>
              <w:t>：200G/300G；</w:t>
            </w:r>
            <w:r>
              <w:rPr>
                <w:rFonts w:hint="eastAsia"/>
                <w:b/>
                <w:bCs/>
                <w:sz w:val="21"/>
                <w:szCs w:val="21"/>
                <w:vertAlign w:val="baseline"/>
                <w:lang w:val="en-US" w:eastAsia="zh-CN"/>
              </w:rPr>
              <w:t>游戏</w:t>
            </w:r>
            <w:r>
              <w:rPr>
                <w:rFonts w:hint="eastAsia"/>
                <w:b w:val="0"/>
                <w:bCs w:val="0"/>
                <w:sz w:val="21"/>
                <w:szCs w:val="21"/>
                <w:vertAlign w:val="baseline"/>
                <w:lang w:val="en-US" w:eastAsia="zh-CN"/>
              </w:rPr>
              <w:t>：200G；</w:t>
            </w:r>
          </w:p>
          <w:p w14:paraId="4A377F9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heme="minorHAnsi" w:hAnsiTheme="minorHAnsi" w:eastAsiaTheme="minorEastAsia" w:cstheme="minorBidi"/>
                <w:b w:val="0"/>
                <w:bCs w:val="0"/>
                <w:kern w:val="2"/>
                <w:sz w:val="21"/>
                <w:szCs w:val="21"/>
                <w:vertAlign w:val="baseline"/>
                <w:lang w:val="en-US" w:eastAsia="zh-CN" w:bidi="ar-SA"/>
              </w:rPr>
            </w:pPr>
            <w:r>
              <w:rPr>
                <w:rFonts w:hint="eastAsia"/>
                <w:b/>
                <w:bCs/>
                <w:sz w:val="21"/>
                <w:szCs w:val="21"/>
                <w:vertAlign w:val="baseline"/>
                <w:lang w:val="en-US" w:eastAsia="zh-CN"/>
              </w:rPr>
              <w:t>设计</w:t>
            </w:r>
            <w:r>
              <w:rPr>
                <w:rFonts w:hint="eastAsia"/>
                <w:b w:val="0"/>
                <w:bCs w:val="0"/>
                <w:sz w:val="21"/>
                <w:szCs w:val="21"/>
                <w:vertAlign w:val="baseline"/>
                <w:lang w:val="en-US" w:eastAsia="zh-CN"/>
              </w:rPr>
              <w:t>：120G/200G</w:t>
            </w:r>
          </w:p>
        </w:tc>
      </w:tr>
      <w:tr w14:paraId="5F53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shd w:val="clear" w:color="auto" w:fill="auto"/>
            <w:vAlign w:val="center"/>
          </w:tcPr>
          <w:p w14:paraId="4C34E3B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Theme="minorHAnsi" w:hAnsiTheme="minorHAnsi" w:eastAsiaTheme="minorEastAsia" w:cstheme="minorBidi"/>
                <w:b/>
                <w:bCs/>
                <w:kern w:val="2"/>
                <w:sz w:val="21"/>
                <w:szCs w:val="21"/>
                <w:vertAlign w:val="baseline"/>
                <w:lang w:val="en-US" w:eastAsia="zh-CN" w:bidi="ar-SA"/>
              </w:rPr>
            </w:pPr>
            <w:r>
              <w:rPr>
                <w:rFonts w:hint="eastAsia"/>
                <w:b/>
                <w:bCs/>
                <w:sz w:val="21"/>
                <w:szCs w:val="21"/>
                <w:vertAlign w:val="baseline"/>
                <w:lang w:val="en-US" w:eastAsia="zh-CN"/>
              </w:rPr>
              <w:t>数据盘</w:t>
            </w:r>
          </w:p>
        </w:tc>
        <w:tc>
          <w:tcPr>
            <w:tcW w:w="3040" w:type="dxa"/>
            <w:shd w:val="clear" w:color="auto" w:fill="auto"/>
            <w:vAlign w:val="center"/>
          </w:tcPr>
          <w:p w14:paraId="02F630A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100GB/200GB/500GB/1000GB</w:t>
            </w:r>
          </w:p>
        </w:tc>
        <w:tc>
          <w:tcPr>
            <w:tcW w:w="3867" w:type="dxa"/>
            <w:shd w:val="clear" w:color="auto" w:fill="auto"/>
            <w:vAlign w:val="center"/>
          </w:tcPr>
          <w:p w14:paraId="4CEB276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1"/>
                <w:szCs w:val="21"/>
                <w:vertAlign w:val="baseline"/>
                <w:lang w:val="en-US" w:eastAsia="zh-CN"/>
              </w:rPr>
            </w:pPr>
            <w:r>
              <w:rPr>
                <w:rFonts w:hint="eastAsia"/>
                <w:b/>
                <w:bCs/>
                <w:sz w:val="21"/>
                <w:szCs w:val="21"/>
                <w:vertAlign w:val="baseline"/>
                <w:lang w:val="en-US" w:eastAsia="zh-CN"/>
              </w:rPr>
              <w:t>AIG</w:t>
            </w:r>
            <w:r>
              <w:rPr>
                <w:rFonts w:hint="eastAsia"/>
                <w:b w:val="0"/>
                <w:bCs w:val="0"/>
                <w:sz w:val="21"/>
                <w:szCs w:val="21"/>
                <w:vertAlign w:val="baseline"/>
                <w:lang w:val="en-US" w:eastAsia="zh-CN"/>
              </w:rPr>
              <w:t>：200G/300G；</w:t>
            </w:r>
            <w:r>
              <w:rPr>
                <w:rFonts w:hint="eastAsia"/>
                <w:b/>
                <w:bCs/>
                <w:sz w:val="21"/>
                <w:szCs w:val="21"/>
                <w:vertAlign w:val="baseline"/>
                <w:lang w:val="en-US" w:eastAsia="zh-CN"/>
              </w:rPr>
              <w:t>游戏</w:t>
            </w:r>
            <w:r>
              <w:rPr>
                <w:rFonts w:hint="eastAsia"/>
                <w:b w:val="0"/>
                <w:bCs w:val="0"/>
                <w:sz w:val="21"/>
                <w:szCs w:val="21"/>
                <w:vertAlign w:val="baseline"/>
                <w:lang w:val="en-US" w:eastAsia="zh-CN"/>
              </w:rPr>
              <w:t>：200G；</w:t>
            </w:r>
          </w:p>
          <w:p w14:paraId="70786E9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Theme="minorHAnsi" w:hAnsiTheme="minorHAnsi" w:eastAsiaTheme="minorEastAsia" w:cstheme="minorBidi"/>
                <w:b w:val="0"/>
                <w:bCs w:val="0"/>
                <w:kern w:val="2"/>
                <w:sz w:val="21"/>
                <w:szCs w:val="21"/>
                <w:vertAlign w:val="baseline"/>
                <w:lang w:val="en-US" w:eastAsia="zh-CN" w:bidi="ar-SA"/>
              </w:rPr>
            </w:pPr>
            <w:r>
              <w:rPr>
                <w:rFonts w:hint="eastAsia"/>
                <w:b/>
                <w:bCs/>
                <w:sz w:val="21"/>
                <w:szCs w:val="21"/>
                <w:vertAlign w:val="baseline"/>
                <w:lang w:val="en-US" w:eastAsia="zh-CN"/>
              </w:rPr>
              <w:t>设计</w:t>
            </w:r>
            <w:r>
              <w:rPr>
                <w:rFonts w:hint="eastAsia"/>
                <w:b w:val="0"/>
                <w:bCs w:val="0"/>
                <w:sz w:val="21"/>
                <w:szCs w:val="21"/>
                <w:vertAlign w:val="baseline"/>
                <w:lang w:val="en-US" w:eastAsia="zh-CN"/>
              </w:rPr>
              <w:t>：120G/200G</w:t>
            </w:r>
          </w:p>
        </w:tc>
      </w:tr>
      <w:tr w14:paraId="30756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40215F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b/>
                <w:bCs/>
                <w:sz w:val="21"/>
                <w:szCs w:val="21"/>
                <w:vertAlign w:val="baseline"/>
                <w:lang w:val="en-US" w:eastAsia="zh-CN"/>
              </w:rPr>
            </w:pPr>
            <w:r>
              <w:rPr>
                <w:rFonts w:hint="eastAsia"/>
                <w:b/>
                <w:bCs/>
                <w:sz w:val="21"/>
                <w:szCs w:val="21"/>
                <w:vertAlign w:val="baseline"/>
                <w:lang w:val="en-US" w:eastAsia="zh-CN"/>
              </w:rPr>
              <w:t>显卡</w:t>
            </w:r>
          </w:p>
        </w:tc>
        <w:tc>
          <w:tcPr>
            <w:tcW w:w="3040" w:type="dxa"/>
            <w:shd w:val="clear" w:color="auto" w:fill="auto"/>
            <w:vAlign w:val="center"/>
          </w:tcPr>
          <w:p w14:paraId="68B2906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bCs/>
                <w:sz w:val="21"/>
                <w:szCs w:val="21"/>
                <w:vertAlign w:val="baseline"/>
                <w:lang w:val="en-US" w:eastAsia="zh-CN"/>
              </w:rPr>
              <w:t>AIGC</w:t>
            </w:r>
            <w:r>
              <w:rPr>
                <w:rFonts w:hint="eastAsia"/>
                <w:b w:val="0"/>
                <w:bCs w:val="0"/>
                <w:sz w:val="21"/>
                <w:szCs w:val="21"/>
                <w:vertAlign w:val="baseline"/>
                <w:lang w:val="en-US" w:eastAsia="zh-CN"/>
              </w:rPr>
              <w:t>：GTX4070/4090；</w:t>
            </w:r>
          </w:p>
          <w:p w14:paraId="0A71AC1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1"/>
                <w:szCs w:val="21"/>
                <w:vertAlign w:val="baseline"/>
                <w:lang w:val="en-US" w:eastAsia="zh-CN"/>
              </w:rPr>
            </w:pPr>
            <w:r>
              <w:rPr>
                <w:rFonts w:hint="eastAsia"/>
                <w:b/>
                <w:bCs/>
                <w:sz w:val="21"/>
                <w:szCs w:val="21"/>
                <w:vertAlign w:val="baseline"/>
                <w:lang w:val="en-US" w:eastAsia="zh-CN"/>
              </w:rPr>
              <w:t>游戏</w:t>
            </w:r>
            <w:r>
              <w:rPr>
                <w:rFonts w:hint="eastAsia"/>
                <w:b w:val="0"/>
                <w:bCs w:val="0"/>
                <w:sz w:val="21"/>
                <w:szCs w:val="21"/>
                <w:vertAlign w:val="baseline"/>
                <w:lang w:val="en-US" w:eastAsia="zh-CN"/>
              </w:rPr>
              <w:t>：RTX3060/4070；</w:t>
            </w:r>
          </w:p>
          <w:p w14:paraId="181E7A1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heme="minorHAnsi" w:hAnsiTheme="minorHAnsi" w:eastAsiaTheme="minorEastAsia" w:cstheme="minorBidi"/>
                <w:b w:val="0"/>
                <w:bCs w:val="0"/>
                <w:kern w:val="2"/>
                <w:sz w:val="21"/>
                <w:szCs w:val="21"/>
                <w:vertAlign w:val="baseline"/>
                <w:lang w:val="en-US" w:eastAsia="zh-CN" w:bidi="ar-SA"/>
              </w:rPr>
            </w:pPr>
            <w:r>
              <w:rPr>
                <w:rFonts w:hint="eastAsia"/>
                <w:b/>
                <w:bCs/>
                <w:sz w:val="21"/>
                <w:szCs w:val="21"/>
                <w:vertAlign w:val="baseline"/>
                <w:lang w:val="en-US" w:eastAsia="zh-CN"/>
              </w:rPr>
              <w:t>设计</w:t>
            </w:r>
            <w:r>
              <w:rPr>
                <w:rFonts w:hint="eastAsia"/>
                <w:b w:val="0"/>
                <w:bCs w:val="0"/>
                <w:sz w:val="21"/>
                <w:szCs w:val="21"/>
                <w:vertAlign w:val="baseline"/>
                <w:lang w:val="en-US" w:eastAsia="zh-CN"/>
              </w:rPr>
              <w:t>：RTX4070</w:t>
            </w:r>
          </w:p>
        </w:tc>
        <w:tc>
          <w:tcPr>
            <w:tcW w:w="3867" w:type="dxa"/>
            <w:shd w:val="clear" w:color="auto" w:fill="auto"/>
            <w:vAlign w:val="center"/>
          </w:tcPr>
          <w:p w14:paraId="20B9321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bCs/>
                <w:sz w:val="21"/>
                <w:szCs w:val="21"/>
                <w:vertAlign w:val="baseline"/>
                <w:lang w:val="en-US" w:eastAsia="zh-CN"/>
              </w:rPr>
              <w:t>AIGC</w:t>
            </w:r>
            <w:r>
              <w:rPr>
                <w:rFonts w:hint="eastAsia"/>
                <w:b w:val="0"/>
                <w:bCs w:val="0"/>
                <w:sz w:val="21"/>
                <w:szCs w:val="21"/>
                <w:vertAlign w:val="baseline"/>
                <w:lang w:val="en-US" w:eastAsia="zh-CN"/>
              </w:rPr>
              <w:t>：A4000/RTX4060Ti/RTX3090/4090D；</w:t>
            </w:r>
          </w:p>
          <w:p w14:paraId="56A3818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1"/>
                <w:szCs w:val="21"/>
                <w:vertAlign w:val="baseline"/>
                <w:lang w:val="en-US" w:eastAsia="zh-CN"/>
              </w:rPr>
            </w:pPr>
            <w:r>
              <w:rPr>
                <w:rFonts w:hint="eastAsia"/>
                <w:b/>
                <w:bCs/>
                <w:sz w:val="21"/>
                <w:szCs w:val="21"/>
                <w:vertAlign w:val="baseline"/>
                <w:lang w:val="en-US" w:eastAsia="zh-CN"/>
              </w:rPr>
              <w:t>游戏</w:t>
            </w:r>
            <w:r>
              <w:rPr>
                <w:rFonts w:hint="eastAsia"/>
                <w:b w:val="0"/>
                <w:bCs w:val="0"/>
                <w:sz w:val="21"/>
                <w:szCs w:val="21"/>
                <w:vertAlign w:val="baseline"/>
                <w:lang w:val="en-US" w:eastAsia="zh-CN"/>
              </w:rPr>
              <w:t>：RTX3060；</w:t>
            </w:r>
          </w:p>
          <w:p w14:paraId="3F339E7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bCs/>
                <w:sz w:val="21"/>
                <w:szCs w:val="21"/>
                <w:vertAlign w:val="baseline"/>
                <w:lang w:val="en-US" w:eastAsia="zh-CN"/>
              </w:rPr>
              <w:t>设计</w:t>
            </w:r>
            <w:r>
              <w:rPr>
                <w:rFonts w:hint="eastAsia"/>
                <w:b w:val="0"/>
                <w:bCs w:val="0"/>
                <w:sz w:val="21"/>
                <w:szCs w:val="21"/>
                <w:vertAlign w:val="baseline"/>
                <w:lang w:val="en-US" w:eastAsia="zh-CN"/>
              </w:rPr>
              <w:t>：A4000/A5000/A6000</w:t>
            </w:r>
          </w:p>
        </w:tc>
      </w:tr>
    </w:tbl>
    <w:p w14:paraId="52E6339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p>
    <w:p w14:paraId="24976AE4">
      <w:pPr>
        <w:pStyle w:val="3"/>
        <w:numPr>
          <w:ilvl w:val="0"/>
          <w:numId w:val="2"/>
        </w:numPr>
        <w:bidi w:val="0"/>
        <w:ind w:left="0" w:leftChars="0" w:firstLine="420" w:firstLineChars="0"/>
        <w:rPr>
          <w:rFonts w:hint="eastAsia"/>
          <w:lang w:val="en-US" w:eastAsia="zh-CN"/>
        </w:rPr>
      </w:pPr>
      <w:r>
        <w:rPr>
          <w:rFonts w:hint="eastAsia"/>
          <w:lang w:val="en-US" w:eastAsia="zh-CN"/>
        </w:rPr>
        <w:t>计费模式灵活多样，降低用户使用和购买门槛。</w:t>
      </w:r>
    </w:p>
    <w:p w14:paraId="0B186FE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ToDesk的计费方式非常灵活</w:t>
      </w:r>
      <w:r>
        <w:rPr>
          <w:rFonts w:hint="eastAsia"/>
          <w:b w:val="0"/>
          <w:bCs w:val="0"/>
          <w:sz w:val="24"/>
          <w:szCs w:val="24"/>
          <w:lang w:val="en-US" w:eastAsia="zh-CN"/>
        </w:rPr>
        <w:t>。首先，</w:t>
      </w:r>
      <w:r>
        <w:rPr>
          <w:rFonts w:hint="eastAsia"/>
          <w:b/>
          <w:bCs/>
          <w:sz w:val="24"/>
          <w:szCs w:val="24"/>
          <w:lang w:val="en-US" w:eastAsia="zh-CN"/>
        </w:rPr>
        <w:t>用户可根据自身情况选择不同配置</w:t>
      </w:r>
      <w:r>
        <w:rPr>
          <w:rFonts w:hint="eastAsia"/>
          <w:b w:val="0"/>
          <w:bCs w:val="0"/>
          <w:sz w:val="24"/>
          <w:szCs w:val="24"/>
          <w:lang w:val="en-US" w:eastAsia="zh-CN"/>
        </w:rPr>
        <w:t>，且可选择性大，如表1所示。其次，</w:t>
      </w:r>
      <w:r>
        <w:rPr>
          <w:rFonts w:hint="eastAsia"/>
          <w:b/>
          <w:bCs/>
          <w:sz w:val="24"/>
          <w:szCs w:val="24"/>
          <w:lang w:val="en-US" w:eastAsia="zh-CN"/>
        </w:rPr>
        <w:t>使用时长</w:t>
      </w:r>
      <w:r>
        <w:rPr>
          <w:rFonts w:hint="default"/>
          <w:b/>
          <w:bCs/>
          <w:sz w:val="24"/>
          <w:szCs w:val="24"/>
          <w:lang w:val="en-US" w:eastAsia="zh-CN"/>
        </w:rPr>
        <w:t>可按小时进行购买</w:t>
      </w:r>
      <w:r>
        <w:rPr>
          <w:rFonts w:hint="default"/>
          <w:b w:val="0"/>
          <w:bCs w:val="0"/>
          <w:sz w:val="24"/>
          <w:szCs w:val="24"/>
          <w:lang w:val="en-US" w:eastAsia="zh-CN"/>
        </w:rPr>
        <w:t>，分别有1小时、6小时</w:t>
      </w:r>
      <w:r>
        <w:rPr>
          <w:rFonts w:hint="eastAsia"/>
          <w:b w:val="0"/>
          <w:bCs w:val="0"/>
          <w:sz w:val="24"/>
          <w:szCs w:val="24"/>
          <w:lang w:val="en-US" w:eastAsia="zh-CN"/>
        </w:rPr>
        <w:t>，且</w:t>
      </w:r>
      <w:r>
        <w:rPr>
          <w:rFonts w:hint="eastAsia"/>
          <w:b/>
          <w:bCs/>
          <w:sz w:val="24"/>
          <w:szCs w:val="24"/>
          <w:lang w:val="en-US" w:eastAsia="zh-CN"/>
        </w:rPr>
        <w:t>可选</w:t>
      </w:r>
      <w:r>
        <w:rPr>
          <w:rFonts w:hint="default"/>
          <w:b/>
          <w:bCs/>
          <w:sz w:val="24"/>
          <w:szCs w:val="24"/>
          <w:lang w:val="en-US" w:eastAsia="zh-CN"/>
        </w:rPr>
        <w:t>包</w:t>
      </w:r>
      <w:r>
        <w:rPr>
          <w:rFonts w:hint="eastAsia"/>
          <w:b/>
          <w:bCs/>
          <w:sz w:val="24"/>
          <w:szCs w:val="24"/>
          <w:lang w:val="en-US" w:eastAsia="zh-CN"/>
        </w:rPr>
        <w:t>日、</w:t>
      </w:r>
      <w:r>
        <w:rPr>
          <w:rFonts w:hint="default"/>
          <w:b/>
          <w:bCs/>
          <w:sz w:val="24"/>
          <w:szCs w:val="24"/>
          <w:lang w:val="en-US" w:eastAsia="zh-CN"/>
        </w:rPr>
        <w:t>包周</w:t>
      </w:r>
      <w:r>
        <w:rPr>
          <w:rFonts w:hint="eastAsia"/>
          <w:b/>
          <w:bCs/>
          <w:sz w:val="24"/>
          <w:szCs w:val="24"/>
          <w:lang w:val="en-US" w:eastAsia="zh-CN"/>
        </w:rPr>
        <w:t>、包月、包年等多种套餐，且即开即用</w:t>
      </w:r>
      <w:r>
        <w:rPr>
          <w:rFonts w:hint="default"/>
          <w:b w:val="0"/>
          <w:bCs w:val="0"/>
          <w:sz w:val="24"/>
          <w:szCs w:val="24"/>
          <w:lang w:val="en-US" w:eastAsia="zh-CN"/>
        </w:rPr>
        <w:t>。</w:t>
      </w:r>
      <w:r>
        <w:rPr>
          <w:rFonts w:hint="eastAsia"/>
          <w:b w:val="0"/>
          <w:bCs w:val="0"/>
          <w:sz w:val="24"/>
          <w:szCs w:val="24"/>
          <w:lang w:val="en-US" w:eastAsia="zh-CN"/>
        </w:rPr>
        <w:t>这不仅给了用户更灵活的选择，也尽可能覆盖了不同用户群体；包月包年套餐覆盖了重度和中度用户，而包时、包日、包周等短时套餐则覆盖了轻度和尝鲜型用户。</w:t>
      </w:r>
    </w:p>
    <w:p w14:paraId="16A994D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default"/>
          <w:b w:val="0"/>
          <w:bCs w:val="0"/>
          <w:sz w:val="24"/>
          <w:szCs w:val="24"/>
          <w:lang w:val="en-US" w:eastAsia="zh-CN"/>
        </w:rPr>
      </w:pPr>
      <w:r>
        <w:rPr>
          <w:rFonts w:hint="eastAsia"/>
          <w:b w:val="0"/>
          <w:bCs w:val="0"/>
          <w:sz w:val="24"/>
          <w:szCs w:val="24"/>
          <w:lang w:val="en-US" w:eastAsia="zh-CN"/>
        </w:rPr>
        <w:t>另外</w:t>
      </w:r>
      <w:r>
        <w:rPr>
          <w:rFonts w:hint="default"/>
          <w:b w:val="0"/>
          <w:bCs w:val="0"/>
          <w:sz w:val="24"/>
          <w:szCs w:val="24"/>
          <w:lang w:val="en-US" w:eastAsia="zh-CN"/>
        </w:rPr>
        <w:t>，</w:t>
      </w:r>
      <w:r>
        <w:rPr>
          <w:rFonts w:hint="eastAsia"/>
          <w:b w:val="0"/>
          <w:bCs w:val="0"/>
          <w:sz w:val="24"/>
          <w:szCs w:val="24"/>
          <w:lang w:val="en-US" w:eastAsia="zh-CN"/>
        </w:rPr>
        <w:t>在上述计费时长的基础上，</w:t>
      </w:r>
      <w:r>
        <w:rPr>
          <w:rFonts w:hint="default"/>
          <w:b w:val="0"/>
          <w:bCs w:val="0"/>
          <w:sz w:val="24"/>
          <w:szCs w:val="24"/>
          <w:lang w:val="en-US" w:eastAsia="zh-CN"/>
        </w:rPr>
        <w:t>ToDesK云电脑</w:t>
      </w:r>
      <w:r>
        <w:rPr>
          <w:rFonts w:hint="eastAsia"/>
          <w:b w:val="0"/>
          <w:bCs w:val="0"/>
          <w:sz w:val="24"/>
          <w:szCs w:val="24"/>
          <w:lang w:val="en-US" w:eastAsia="zh-CN"/>
        </w:rPr>
        <w:t>还区分</w:t>
      </w:r>
      <w:r>
        <w:rPr>
          <w:rFonts w:hint="default"/>
          <w:b w:val="0"/>
          <w:bCs w:val="0"/>
          <w:sz w:val="24"/>
          <w:szCs w:val="24"/>
          <w:lang w:val="en-US" w:eastAsia="zh-CN"/>
        </w:rPr>
        <w:t>计时机计费和包时机计费</w:t>
      </w:r>
      <w:r>
        <w:rPr>
          <w:rFonts w:hint="eastAsia"/>
          <w:b w:val="0"/>
          <w:bCs w:val="0"/>
          <w:sz w:val="24"/>
          <w:szCs w:val="24"/>
          <w:lang w:val="en-US" w:eastAsia="zh-CN"/>
        </w:rPr>
        <w:t>两种</w:t>
      </w:r>
      <w:r>
        <w:rPr>
          <w:rFonts w:hint="default"/>
          <w:b w:val="0"/>
          <w:bCs w:val="0"/>
          <w:sz w:val="24"/>
          <w:szCs w:val="24"/>
          <w:lang w:val="en-US" w:eastAsia="zh-CN"/>
        </w:rPr>
        <w:t>模式。包时机</w:t>
      </w:r>
      <w:r>
        <w:rPr>
          <w:rFonts w:hint="eastAsia"/>
          <w:b w:val="0"/>
          <w:bCs w:val="0"/>
          <w:sz w:val="24"/>
          <w:szCs w:val="24"/>
          <w:lang w:val="en-US" w:eastAsia="zh-CN"/>
        </w:rPr>
        <w:t>计费</w:t>
      </w:r>
      <w:r>
        <w:rPr>
          <w:rFonts w:hint="default"/>
          <w:b w:val="0"/>
          <w:bCs w:val="0"/>
          <w:sz w:val="24"/>
          <w:szCs w:val="24"/>
          <w:lang w:val="en-US" w:eastAsia="zh-CN"/>
        </w:rPr>
        <w:t>开启后需一直使用到结束</w:t>
      </w:r>
      <w:r>
        <w:rPr>
          <w:rFonts w:hint="eastAsia"/>
          <w:b w:val="0"/>
          <w:bCs w:val="0"/>
          <w:sz w:val="24"/>
          <w:szCs w:val="24"/>
          <w:lang w:val="en-US" w:eastAsia="zh-CN"/>
        </w:rPr>
        <w:t>，</w:t>
      </w:r>
      <w:r>
        <w:rPr>
          <w:rFonts w:hint="default"/>
          <w:b w:val="0"/>
          <w:bCs w:val="0"/>
          <w:sz w:val="24"/>
          <w:szCs w:val="24"/>
          <w:lang w:val="en-US" w:eastAsia="zh-CN"/>
        </w:rPr>
        <w:t>而计时机</w:t>
      </w:r>
      <w:r>
        <w:rPr>
          <w:rFonts w:hint="eastAsia"/>
          <w:b w:val="0"/>
          <w:bCs w:val="0"/>
          <w:sz w:val="24"/>
          <w:szCs w:val="24"/>
          <w:lang w:val="en-US" w:eastAsia="zh-CN"/>
        </w:rPr>
        <w:t>计费则</w:t>
      </w:r>
      <w:r>
        <w:rPr>
          <w:rFonts w:hint="default"/>
          <w:b w:val="0"/>
          <w:bCs w:val="0"/>
          <w:sz w:val="24"/>
          <w:szCs w:val="24"/>
          <w:lang w:val="en-US" w:eastAsia="zh-CN"/>
        </w:rPr>
        <w:t>在购买后可随时暂停使用</w:t>
      </w:r>
      <w:r>
        <w:rPr>
          <w:rFonts w:hint="eastAsia"/>
          <w:b w:val="0"/>
          <w:bCs w:val="0"/>
          <w:sz w:val="24"/>
          <w:szCs w:val="24"/>
          <w:lang w:val="en-US" w:eastAsia="zh-CN"/>
        </w:rPr>
        <w:t>，最终按总时长计费</w:t>
      </w:r>
      <w:r>
        <w:rPr>
          <w:rFonts w:hint="default"/>
          <w:b w:val="0"/>
          <w:bCs w:val="0"/>
          <w:sz w:val="24"/>
          <w:szCs w:val="24"/>
          <w:lang w:val="en-US" w:eastAsia="zh-CN"/>
        </w:rPr>
        <w:t>。</w:t>
      </w:r>
    </w:p>
    <w:p w14:paraId="62ACAE8B">
      <w:pPr>
        <w:pStyle w:val="2"/>
        <w:numPr>
          <w:ilvl w:val="0"/>
          <w:numId w:val="1"/>
        </w:numPr>
        <w:bidi w:val="0"/>
        <w:ind w:left="0" w:leftChars="0" w:firstLine="0" w:firstLineChars="0"/>
        <w:jc w:val="left"/>
        <w:rPr>
          <w:rFonts w:hint="default"/>
          <w:b/>
          <w:sz w:val="36"/>
          <w:szCs w:val="21"/>
          <w:lang w:val="en-US" w:eastAsia="zh-CN"/>
        </w:rPr>
      </w:pPr>
      <w:r>
        <w:rPr>
          <w:rFonts w:hint="eastAsia"/>
          <w:b/>
          <w:sz w:val="36"/>
          <w:szCs w:val="21"/>
          <w:lang w:val="en-US" w:eastAsia="zh-CN"/>
        </w:rPr>
        <w:t>对天翼云电脑的启示与建议</w:t>
      </w:r>
    </w:p>
    <w:p w14:paraId="7583A273">
      <w:pPr>
        <w:pStyle w:val="3"/>
        <w:numPr>
          <w:ilvl w:val="0"/>
          <w:numId w:val="3"/>
        </w:numPr>
        <w:bidi w:val="0"/>
        <w:ind w:left="0" w:leftChars="0" w:firstLine="420" w:firstLineChars="0"/>
        <w:rPr>
          <w:rFonts w:hint="eastAsia"/>
          <w:lang w:val="en-US" w:eastAsia="zh-CN"/>
        </w:rPr>
      </w:pPr>
      <w:r>
        <w:rPr>
          <w:rFonts w:hint="eastAsia"/>
          <w:lang w:val="en-US" w:eastAsia="zh-CN"/>
        </w:rPr>
        <w:t>重视市场洞察，精准定位，深挖需求场景</w:t>
      </w:r>
    </w:p>
    <w:p w14:paraId="4DD63FD8">
      <w:pPr>
        <w:keepNext w:val="0"/>
        <w:keepLines w:val="0"/>
        <w:pageBreakBefore w:val="0"/>
        <w:widowControl w:val="0"/>
        <w:numPr>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投入更多资源深度洞察市场</w:t>
      </w:r>
      <w:r>
        <w:rPr>
          <w:rFonts w:hint="eastAsia"/>
          <w:b w:val="0"/>
          <w:bCs w:val="0"/>
          <w:sz w:val="24"/>
          <w:szCs w:val="24"/>
          <w:lang w:val="en-US" w:eastAsia="zh-CN"/>
        </w:rPr>
        <w:t>。通过用户研究等方式，洞察C端用户应用场景、性能期望、功能偏好、及目前的需求痛点。同时，对市场上的主流云电脑产品进行定期跟踪，挖掘市场空白与差异化竞争机会。</w:t>
      </w:r>
    </w:p>
    <w:p w14:paraId="0F973A19">
      <w:pPr>
        <w:keepNext w:val="0"/>
        <w:keepLines w:val="0"/>
        <w:pageBreakBefore w:val="0"/>
        <w:widowControl w:val="0"/>
        <w:numPr>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default"/>
          <w:b w:val="0"/>
          <w:bCs w:val="0"/>
          <w:sz w:val="24"/>
          <w:szCs w:val="24"/>
          <w:lang w:val="en-US" w:eastAsia="zh-CN"/>
        </w:rPr>
      </w:pPr>
      <w:r>
        <w:rPr>
          <w:rFonts w:hint="eastAsia"/>
          <w:b/>
          <w:bCs/>
          <w:sz w:val="24"/>
          <w:szCs w:val="24"/>
          <w:lang w:val="en-US" w:eastAsia="zh-CN"/>
        </w:rPr>
        <w:t>基于深入的市场研究，精准聚焦目标用户</w:t>
      </w:r>
      <w:r>
        <w:rPr>
          <w:rFonts w:hint="eastAsia"/>
          <w:b w:val="0"/>
          <w:bCs w:val="0"/>
          <w:sz w:val="24"/>
          <w:szCs w:val="24"/>
          <w:lang w:val="en-US" w:eastAsia="zh-CN"/>
        </w:rPr>
        <w:t>。围绕重点目标用户的主要应用场景和关键需求优化产品、打造特色功能，才能更好地满足市场需求，提升产品市场竞争力。</w:t>
      </w:r>
    </w:p>
    <w:p w14:paraId="71031D02">
      <w:pPr>
        <w:pStyle w:val="3"/>
        <w:numPr>
          <w:ilvl w:val="0"/>
          <w:numId w:val="3"/>
        </w:numPr>
        <w:bidi w:val="0"/>
        <w:ind w:left="0" w:leftChars="0" w:firstLine="420" w:firstLineChars="0"/>
        <w:rPr>
          <w:rFonts w:hint="eastAsia"/>
          <w:lang w:val="en-US" w:eastAsia="zh-CN"/>
        </w:rPr>
      </w:pPr>
      <w:r>
        <w:rPr>
          <w:rFonts w:hint="eastAsia"/>
          <w:lang w:val="en-US" w:eastAsia="zh-CN"/>
        </w:rPr>
        <w:t>提升产品能力，优化用户体验</w:t>
      </w:r>
    </w:p>
    <w:p w14:paraId="733A1E4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在技术层面</w:t>
      </w:r>
      <w:r>
        <w:rPr>
          <w:rFonts w:hint="eastAsia"/>
          <w:b w:val="0"/>
          <w:bCs w:val="0"/>
          <w:sz w:val="24"/>
          <w:szCs w:val="24"/>
          <w:lang w:val="en-US" w:eastAsia="zh-CN"/>
        </w:rPr>
        <w:t>，优化网络传输协议，减少延迟，提高数据传输速度。</w:t>
      </w:r>
      <w:r>
        <w:rPr>
          <w:rFonts w:hint="eastAsia"/>
          <w:b/>
          <w:bCs/>
          <w:sz w:val="24"/>
          <w:szCs w:val="24"/>
          <w:lang w:val="en-US" w:eastAsia="zh-CN"/>
        </w:rPr>
        <w:t>在存储方案上</w:t>
      </w:r>
      <w:r>
        <w:rPr>
          <w:rFonts w:hint="eastAsia"/>
          <w:b w:val="0"/>
          <w:bCs w:val="0"/>
          <w:sz w:val="24"/>
          <w:szCs w:val="24"/>
          <w:lang w:val="en-US" w:eastAsia="zh-CN"/>
        </w:rPr>
        <w:t>，大力推广高速存储解决方案，全面采用 SSD（固态硬盘）作为云电脑的存储介质；其具有读写速度快、随机访问时间短的优势，能够极大提升云电脑的启动速度、文件读写速度以及应用程序的加载速度。</w:t>
      </w:r>
    </w:p>
    <w:p w14:paraId="31F1414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default"/>
          <w:b w:val="0"/>
          <w:bCs w:val="0"/>
          <w:sz w:val="24"/>
          <w:szCs w:val="24"/>
          <w:lang w:val="en-US" w:eastAsia="zh-CN"/>
        </w:rPr>
      </w:pPr>
      <w:r>
        <w:rPr>
          <w:rFonts w:hint="eastAsia"/>
          <w:b/>
          <w:bCs/>
          <w:sz w:val="24"/>
          <w:szCs w:val="24"/>
          <w:lang w:val="en-US" w:eastAsia="zh-CN"/>
        </w:rPr>
        <w:t>在产品配置上</w:t>
      </w:r>
      <w:r>
        <w:rPr>
          <w:rFonts w:hint="eastAsia"/>
          <w:b w:val="0"/>
          <w:bCs w:val="0"/>
          <w:sz w:val="24"/>
          <w:szCs w:val="24"/>
          <w:lang w:val="en-US" w:eastAsia="zh-CN"/>
        </w:rPr>
        <w:t>，为满足不同用户的多样化需求，</w:t>
      </w:r>
      <w:r>
        <w:rPr>
          <w:rFonts w:hint="eastAsia"/>
          <w:b/>
          <w:bCs/>
          <w:sz w:val="24"/>
          <w:szCs w:val="24"/>
          <w:lang w:val="en-US" w:eastAsia="zh-CN"/>
        </w:rPr>
        <w:t>提供从入门级到高性能的不同算力配置选项</w:t>
      </w:r>
      <w:r>
        <w:rPr>
          <w:rFonts w:hint="eastAsia"/>
          <w:b w:val="0"/>
          <w:bCs w:val="0"/>
          <w:sz w:val="24"/>
          <w:szCs w:val="24"/>
          <w:lang w:val="en-US" w:eastAsia="zh-CN"/>
        </w:rPr>
        <w:t>。对于普通办公用户，推出基础配置的云电脑；而面向对性能要求较高的游戏玩家、设计师和 AIGC 创意工作者等专业用户，提供高端配置的云电脑。通过丰富的配置选项，让用户能够根据自身需求和预算，灵活选择最适合自己的云电脑配置。</w:t>
      </w:r>
    </w:p>
    <w:p w14:paraId="48AFBBF7">
      <w:pPr>
        <w:pStyle w:val="3"/>
        <w:numPr>
          <w:ilvl w:val="0"/>
          <w:numId w:val="3"/>
        </w:numPr>
        <w:bidi w:val="0"/>
        <w:ind w:left="0" w:leftChars="0" w:firstLine="420" w:firstLineChars="0"/>
        <w:rPr>
          <w:rFonts w:hint="default"/>
          <w:lang w:val="en-US" w:eastAsia="zh-CN"/>
        </w:rPr>
      </w:pPr>
      <w:r>
        <w:rPr>
          <w:rFonts w:hint="eastAsia"/>
          <w:lang w:val="en-US" w:eastAsia="zh-CN"/>
        </w:rPr>
        <w:t>采用更灵活的资费策略，吸引有刚需的优质用户</w:t>
      </w:r>
    </w:p>
    <w:p w14:paraId="0BDFADC7">
      <w:pPr>
        <w:keepNext w:val="0"/>
        <w:keepLines w:val="0"/>
        <w:pageBreakBefore w:val="0"/>
        <w:widowControl w:val="0"/>
        <w:numPr>
          <w:numId w:val="0"/>
        </w:numPr>
        <w:kinsoku/>
        <w:wordWrap/>
        <w:overflowPunct/>
        <w:topLinePunct w:val="0"/>
        <w:autoSpaceDE/>
        <w:autoSpaceDN/>
        <w:bidi w:val="0"/>
        <w:adjustRightInd/>
        <w:snapToGrid/>
        <w:spacing w:after="157" w:afterLines="50" w:line="288" w:lineRule="auto"/>
        <w:ind w:left="0" w:leftChars="0" w:firstLine="422" w:firstLineChars="175"/>
        <w:jc w:val="both"/>
        <w:textAlignment w:val="auto"/>
        <w:rPr>
          <w:rFonts w:hint="eastAsia"/>
          <w:b w:val="0"/>
          <w:bCs w:val="0"/>
          <w:sz w:val="24"/>
          <w:szCs w:val="24"/>
          <w:lang w:val="en-US" w:eastAsia="zh-CN"/>
        </w:rPr>
      </w:pPr>
      <w:r>
        <w:rPr>
          <w:rFonts w:hint="eastAsia"/>
          <w:b/>
          <w:bCs/>
          <w:sz w:val="24"/>
          <w:szCs w:val="24"/>
          <w:lang w:val="en-US" w:eastAsia="zh-CN"/>
        </w:rPr>
        <w:t>一是支持业界常见的按小时计费模式，</w:t>
      </w:r>
      <w:r>
        <w:rPr>
          <w:rFonts w:hint="eastAsia"/>
          <w:b/>
          <w:bCs/>
          <w:sz w:val="24"/>
          <w:szCs w:val="24"/>
          <w:lang w:val="en-US" w:eastAsia="zh-CN"/>
        </w:rPr>
        <w:t>有效扩大用户群体</w:t>
      </w:r>
      <w:r>
        <w:rPr>
          <w:rFonts w:hint="eastAsia"/>
          <w:b w:val="0"/>
          <w:bCs w:val="0"/>
          <w:sz w:val="24"/>
          <w:szCs w:val="24"/>
          <w:lang w:val="en-US" w:eastAsia="zh-CN"/>
        </w:rPr>
        <w:t>。按小时计费模式使零散需求用户无需支付较高的长期使用费用，只需根据实际使用的时长付费，大大降低其使用成本。这种计费模式能够吸引更多对云电脑有潜在需求但又存有</w:t>
      </w:r>
      <w:bookmarkStart w:id="0" w:name="_GoBack"/>
      <w:bookmarkEnd w:id="0"/>
      <w:r>
        <w:rPr>
          <w:rFonts w:hint="eastAsia"/>
          <w:b w:val="0"/>
          <w:bCs w:val="0"/>
          <w:sz w:val="24"/>
          <w:szCs w:val="24"/>
          <w:lang w:val="en-US" w:eastAsia="zh-CN"/>
        </w:rPr>
        <w:t>使用顾虑的用户尝试使用天翼云电脑，有效扩大用户群体，提高产品的市场覆盖率。同时，按小时计费也能让用户更加自由地控制使用成本，根据自身的经济状况和使用需求灵活安排使用时间，提升用户对产品的满意度和认可度。</w:t>
      </w:r>
    </w:p>
    <w:p w14:paraId="1E0961C8">
      <w:pPr>
        <w:keepNext w:val="0"/>
        <w:keepLines w:val="0"/>
        <w:pageBreakBefore w:val="0"/>
        <w:widowControl w:val="0"/>
        <w:numPr>
          <w:numId w:val="0"/>
        </w:numPr>
        <w:kinsoku/>
        <w:wordWrap/>
        <w:overflowPunct/>
        <w:topLinePunct w:val="0"/>
        <w:autoSpaceDE/>
        <w:autoSpaceDN/>
        <w:bidi w:val="0"/>
        <w:adjustRightInd/>
        <w:snapToGrid/>
        <w:spacing w:after="157" w:afterLines="50" w:line="288" w:lineRule="auto"/>
        <w:ind w:left="0" w:leftChars="0" w:firstLine="422" w:firstLineChars="175"/>
        <w:jc w:val="both"/>
        <w:textAlignment w:val="auto"/>
        <w:rPr>
          <w:rFonts w:hint="default"/>
          <w:b w:val="0"/>
          <w:bCs w:val="0"/>
          <w:sz w:val="24"/>
          <w:szCs w:val="24"/>
          <w:lang w:val="en-US" w:eastAsia="zh-CN"/>
        </w:rPr>
      </w:pPr>
      <w:r>
        <w:rPr>
          <w:rFonts w:hint="eastAsia"/>
          <w:b/>
          <w:bCs/>
          <w:sz w:val="24"/>
          <w:szCs w:val="24"/>
          <w:lang w:val="en-US" w:eastAsia="zh-CN"/>
        </w:rPr>
        <w:t>二是与主流应用厂商展开深度合作，共同推出分场景的云电脑会员模式</w:t>
      </w:r>
      <w:r>
        <w:rPr>
          <w:rFonts w:hint="eastAsia"/>
          <w:b w:val="0"/>
          <w:bCs w:val="0"/>
          <w:sz w:val="24"/>
          <w:szCs w:val="24"/>
          <w:lang w:val="en-US" w:eastAsia="zh-CN"/>
        </w:rPr>
        <w:t>，如办公会员套餐、游戏会员套餐等。</w:t>
      </w:r>
      <w:r>
        <w:rPr>
          <w:rFonts w:hint="default"/>
          <w:b w:val="0"/>
          <w:bCs w:val="0"/>
          <w:sz w:val="24"/>
          <w:szCs w:val="24"/>
          <w:lang w:val="en-US" w:eastAsia="zh-CN"/>
        </w:rPr>
        <w:t>通过这种合作方式，一方面能够满足用户在不同场景下的中长期需求，为用户提供更加全面、优质的服务；另一方面，能够借助主流应用厂商的品牌影响力和用户基础，吸引更多目标用户，实现合作双方的互利共赢，共同拓展云电脑市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8222CE"/>
    <w:multiLevelType w:val="singleLevel"/>
    <w:tmpl w:val="128222CE"/>
    <w:lvl w:ilvl="0" w:tentative="0">
      <w:start w:val="1"/>
      <w:numFmt w:val="chineseCounting"/>
      <w:suff w:val="nothing"/>
      <w:lvlText w:val="（%1）"/>
      <w:lvlJc w:val="left"/>
      <w:pPr>
        <w:ind w:left="0" w:firstLine="420"/>
      </w:pPr>
      <w:rPr>
        <w:rFonts w:hint="eastAsia"/>
      </w:rPr>
    </w:lvl>
  </w:abstractNum>
  <w:abstractNum w:abstractNumId="1">
    <w:nsid w:val="1C1975CB"/>
    <w:multiLevelType w:val="singleLevel"/>
    <w:tmpl w:val="1C1975CB"/>
    <w:lvl w:ilvl="0" w:tentative="0">
      <w:start w:val="1"/>
      <w:numFmt w:val="chineseCounting"/>
      <w:suff w:val="nothing"/>
      <w:lvlText w:val="（%1）"/>
      <w:lvlJc w:val="left"/>
      <w:pPr>
        <w:ind w:left="0" w:firstLine="420"/>
      </w:pPr>
      <w:rPr>
        <w:rFonts w:hint="eastAsia"/>
      </w:rPr>
    </w:lvl>
  </w:abstractNum>
  <w:abstractNum w:abstractNumId="2">
    <w:nsid w:val="2FF2C769"/>
    <w:multiLevelType w:val="singleLevel"/>
    <w:tmpl w:val="2FF2C769"/>
    <w:lvl w:ilvl="0" w:tentative="0">
      <w:start w:val="1"/>
      <w:numFmt w:val="chineseCounting"/>
      <w:suff w:val="nothing"/>
      <w:lvlText w:val="%1、"/>
      <w:lvlJc w:val="left"/>
      <w:pPr>
        <w:ind w:left="0" w:firstLine="42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ED5D35"/>
    <w:rsid w:val="01C709C1"/>
    <w:rsid w:val="03C11104"/>
    <w:rsid w:val="09BC1923"/>
    <w:rsid w:val="0A1A6FB3"/>
    <w:rsid w:val="0A5A5DDB"/>
    <w:rsid w:val="0ABE4797"/>
    <w:rsid w:val="0C104C1F"/>
    <w:rsid w:val="0E4D7B83"/>
    <w:rsid w:val="11D5528B"/>
    <w:rsid w:val="12C7247D"/>
    <w:rsid w:val="12F948D4"/>
    <w:rsid w:val="1D974695"/>
    <w:rsid w:val="1F097559"/>
    <w:rsid w:val="21522FD5"/>
    <w:rsid w:val="21F70FA9"/>
    <w:rsid w:val="22746E93"/>
    <w:rsid w:val="23A6054D"/>
    <w:rsid w:val="25124A62"/>
    <w:rsid w:val="25A3377E"/>
    <w:rsid w:val="265E39EF"/>
    <w:rsid w:val="26F46749"/>
    <w:rsid w:val="27012F01"/>
    <w:rsid w:val="278A6545"/>
    <w:rsid w:val="291547CE"/>
    <w:rsid w:val="2A241B69"/>
    <w:rsid w:val="2BAD5B8F"/>
    <w:rsid w:val="2C2F6DF0"/>
    <w:rsid w:val="2D19404E"/>
    <w:rsid w:val="2F8476A3"/>
    <w:rsid w:val="2FA5374C"/>
    <w:rsid w:val="30E977FA"/>
    <w:rsid w:val="319B5923"/>
    <w:rsid w:val="323D2944"/>
    <w:rsid w:val="32E30E09"/>
    <w:rsid w:val="35705BCA"/>
    <w:rsid w:val="3A32179F"/>
    <w:rsid w:val="3AC20EBF"/>
    <w:rsid w:val="3B6A3AD8"/>
    <w:rsid w:val="3D611780"/>
    <w:rsid w:val="3EBB4C45"/>
    <w:rsid w:val="41077436"/>
    <w:rsid w:val="41DA7282"/>
    <w:rsid w:val="43497FF1"/>
    <w:rsid w:val="442B2A76"/>
    <w:rsid w:val="45ED5D35"/>
    <w:rsid w:val="48F33DEC"/>
    <w:rsid w:val="496D4C9E"/>
    <w:rsid w:val="4D7C5695"/>
    <w:rsid w:val="4E7D55D8"/>
    <w:rsid w:val="50BF5684"/>
    <w:rsid w:val="51036465"/>
    <w:rsid w:val="565E38DD"/>
    <w:rsid w:val="57D41D25"/>
    <w:rsid w:val="580C1633"/>
    <w:rsid w:val="5C4821F4"/>
    <w:rsid w:val="5C5F065B"/>
    <w:rsid w:val="5E9A1B80"/>
    <w:rsid w:val="610D6CA7"/>
    <w:rsid w:val="614656C0"/>
    <w:rsid w:val="62AB1EEE"/>
    <w:rsid w:val="65DC5FE6"/>
    <w:rsid w:val="66BB2612"/>
    <w:rsid w:val="67F9777D"/>
    <w:rsid w:val="68EB4ED4"/>
    <w:rsid w:val="6A49565F"/>
    <w:rsid w:val="6CB173E9"/>
    <w:rsid w:val="72203F91"/>
    <w:rsid w:val="72B868C0"/>
    <w:rsid w:val="73FD67FB"/>
    <w:rsid w:val="75066682"/>
    <w:rsid w:val="75A27733"/>
    <w:rsid w:val="781D7D39"/>
    <w:rsid w:val="78B26D2E"/>
    <w:rsid w:val="7C0A6160"/>
    <w:rsid w:val="7E6C76CB"/>
    <w:rsid w:val="7EFE3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1196</Words>
  <Characters>1305</Characters>
  <Lines>0</Lines>
  <Paragraphs>0</Paragraphs>
  <TotalTime>233</TotalTime>
  <ScaleCrop>false</ScaleCrop>
  <LinksUpToDate>false</LinksUpToDate>
  <CharactersWithSpaces>1305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2025-01-14T09:07:00Z</dcterms:created>
  <dc:creator>Cathy</dc:creator>
  <cp:lastModifiedBy>Cathy</cp:lastModifiedBy>
  <dcterms:modified xsi:type="dcterms:W3CDTF">2025-04-24T06:14:35Z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EC17DEBB3B99443CBDDAC72948524A73_13</vt:lpwstr>
  </property>
  <property fmtid="{D5CDD505-2E9C-101B-9397-08002B2CF9AE}" pid="4" name="KSOTemplateDocerSaveRecord">
    <vt:lpwstr>eyJoZGlkIjoiMDA2YTFjZTQ2ZDYwZDUxMTg0YjQ0MTA1YmRmZDg4ZmEiLCJ1c2VySWQiOiIzMDA5NTUxMzUifQ==</vt:lpwstr>
  </property>
</Properties>
</file>