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6" w:lineRule="auto"/>
        <w:rPr>
          <w:rFonts w:ascii="Arial"/>
          <w:sz w:val="21"/>
        </w:rPr>
      </w:pPr>
      <w:r/>
    </w:p>
    <w:p>
      <w:pPr>
        <w:ind w:left="211"/>
        <w:spacing w:before="185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产业园区数字化及云网融合关键场景分析</w:t>
      </w:r>
    </w:p>
    <w:p>
      <w:pPr>
        <w:ind w:left="2180"/>
        <w:spacing w:before="334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廖文凯</w:t>
      </w:r>
      <w:r>
        <w:rPr>
          <w:rFonts w:ascii="STKaiti" w:hAnsi="STKaiti" w:eastAsia="STKaiti" w:cs="STKaiti"/>
          <w:sz w:val="30"/>
          <w:szCs w:val="30"/>
          <w:spacing w:val="1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马政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李泰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何菁钦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34" w:firstLine="594"/>
        <w:spacing w:before="98" w:line="259" w:lineRule="auto"/>
        <w:jc w:val="both"/>
        <w:rPr/>
      </w:pPr>
      <w:r>
        <w:rPr>
          <w:spacing w:val="-5"/>
        </w:rPr>
        <w:t>2022</w:t>
      </w:r>
      <w:r>
        <w:rPr>
          <w:spacing w:val="-33"/>
        </w:rPr>
        <w:t xml:space="preserve"> </w:t>
      </w:r>
      <w:r>
        <w:rPr>
          <w:spacing w:val="-5"/>
        </w:rPr>
        <w:t>年</w:t>
      </w:r>
      <w:r>
        <w:rPr>
          <w:spacing w:val="-43"/>
        </w:rPr>
        <w:t xml:space="preserve"> </w:t>
      </w:r>
      <w:r>
        <w:rPr>
          <w:spacing w:val="-5"/>
        </w:rPr>
        <w:t>10</w:t>
      </w:r>
      <w:r>
        <w:rPr>
          <w:spacing w:val="-43"/>
        </w:rPr>
        <w:t xml:space="preserve"> </w:t>
      </w:r>
      <w:r>
        <w:rPr>
          <w:spacing w:val="-5"/>
        </w:rPr>
        <w:t>月，工信部启动“百城千园行”活动，体系化推</w:t>
      </w:r>
      <w:r>
        <w:rPr>
          <w:spacing w:val="-4"/>
        </w:rPr>
        <w:t>进政策进园区、网络进园区、标识进园区、平台进园</w:t>
      </w:r>
      <w:r>
        <w:rPr>
          <w:spacing w:val="-5"/>
        </w:rPr>
        <w:t>区、安全进</w:t>
      </w:r>
      <w:r>
        <w:rPr>
          <w:spacing w:val="-12"/>
        </w:rPr>
        <w:t>园区、要素进园区、应用进园区，</w:t>
      </w:r>
      <w:r>
        <w:rPr>
          <w:spacing w:val="69"/>
        </w:rPr>
        <w:t xml:space="preserve"> </w:t>
      </w:r>
      <w:r>
        <w:rPr>
          <w:spacing w:val="-12"/>
        </w:rPr>
        <w:t>加速产业园区数字化转型。产</w:t>
      </w:r>
      <w:r>
        <w:rPr>
          <w:spacing w:val="-1"/>
        </w:rPr>
        <w:t>业园区数字化的发展对云网架构提出新的要求，推动云网融合、</w:t>
      </w:r>
      <w:r>
        <w:rPr>
          <w:spacing w:val="-9"/>
        </w:rPr>
        <w:t>算网融合、算力网络发展成为业界共识。</w:t>
      </w:r>
      <w:r>
        <w:rPr>
          <w:spacing w:val="-9"/>
        </w:rPr>
        <w:t xml:space="preserve"> </w:t>
      </w:r>
      <w:r>
        <w:rPr>
          <w:spacing w:val="-9"/>
        </w:rPr>
        <w:t>数字化转型</w:t>
      </w:r>
      <w:r>
        <w:rPr>
          <w:spacing w:val="-10"/>
        </w:rPr>
        <w:t>价值的实现</w:t>
      </w:r>
      <w:r>
        <w:rPr>
          <w:spacing w:val="-4"/>
        </w:rPr>
        <w:t>是云网融合需求演进的内在依据，本文梳理产业园区数字</w:t>
      </w:r>
      <w:r>
        <w:rPr>
          <w:spacing w:val="-5"/>
        </w:rPr>
        <w:t>化转型</w:t>
      </w:r>
      <w:r>
        <w:rPr>
          <w:spacing w:val="-4"/>
        </w:rPr>
        <w:t>的内在结构与演进阶段，重点把握不同层次（阶段）数字</w:t>
      </w:r>
      <w:r>
        <w:rPr>
          <w:spacing w:val="-5"/>
        </w:rPr>
        <w:t>化转型</w:t>
      </w:r>
      <w:r>
        <w:rPr>
          <w:spacing w:val="-4"/>
        </w:rPr>
        <w:t>目标价值得以实现的技术条件与应用场景，建模分析产业</w:t>
      </w:r>
      <w:r>
        <w:rPr>
          <w:spacing w:val="-5"/>
        </w:rPr>
        <w:t>园区数</w:t>
      </w:r>
      <w:r>
        <w:rPr>
          <w:spacing w:val="-4"/>
        </w:rPr>
        <w:t>字化应用场景的云网融合需求，形成对云网融合发展需求与</w:t>
      </w:r>
      <w:r>
        <w:rPr>
          <w:spacing w:val="-5"/>
        </w:rPr>
        <w:t>发展</w:t>
      </w:r>
      <w:r>
        <w:rPr>
          <w:spacing w:val="-9"/>
        </w:rPr>
        <w:t>方向的探讨。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一、产业园区数字化转型的阶段演进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26" w:right="18" w:firstLine="599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产业园区作为推动中国经济快速发展的重要模式和路</w:t>
      </w:r>
      <w:r>
        <w:rPr>
          <w:rFonts w:ascii="SimSun" w:hAnsi="SimSun" w:eastAsia="SimSun" w:cs="SimSun"/>
          <w:sz w:val="30"/>
          <w:szCs w:val="30"/>
          <w:spacing w:val="-5"/>
        </w:rPr>
        <w:t>径，既</w:t>
      </w:r>
      <w:r>
        <w:rPr>
          <w:rFonts w:ascii="SimSun" w:hAnsi="SimSun" w:eastAsia="SimSun" w:cs="SimSun"/>
          <w:sz w:val="30"/>
          <w:szCs w:val="30"/>
          <w:spacing w:val="-1"/>
        </w:rPr>
        <w:t>是产业转型升级的空间载体，又是区域经济发展的重要增长极，</w:t>
      </w:r>
      <w:r>
        <w:rPr>
          <w:rFonts w:ascii="SimSun" w:hAnsi="SimSun" w:eastAsia="SimSun" w:cs="SimSun"/>
          <w:sz w:val="30"/>
          <w:szCs w:val="30"/>
          <w:spacing w:val="-2"/>
        </w:rPr>
        <w:t>产业园区数字化转型是推动经济社会高质量发展</w:t>
      </w:r>
      <w:r>
        <w:rPr>
          <w:rFonts w:ascii="SimSun" w:hAnsi="SimSun" w:eastAsia="SimSun" w:cs="SimSun"/>
          <w:sz w:val="30"/>
          <w:szCs w:val="30"/>
          <w:spacing w:val="-3"/>
        </w:rPr>
        <w:t>的关键。</w:t>
      </w:r>
    </w:p>
    <w:p>
      <w:pPr>
        <w:ind w:firstLine="686"/>
        <w:spacing w:before="68" w:line="4058" w:lineRule="exact"/>
        <w:rPr/>
      </w:pPr>
      <w:r>
        <w:rPr>
          <w:position w:val="-81"/>
        </w:rPr>
        <w:drawing>
          <wp:inline distT="0" distB="0" distL="0" distR="0">
            <wp:extent cx="4416552" cy="257708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6552" cy="257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76"/>
        <w:spacing w:before="206" w:line="22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数据来源：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T/AIITRE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10001-2020</w:t>
      </w:r>
      <w:r>
        <w:rPr>
          <w:sz w:val="24"/>
          <w:szCs w:val="24"/>
          <w:spacing w:val="-2"/>
        </w:rPr>
        <w:t>《数字化转型参考架构》</w:t>
      </w:r>
    </w:p>
    <w:p>
      <w:pPr>
        <w:ind w:left="2302"/>
        <w:spacing w:before="62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3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1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数字化转型发展五阶段</w:t>
      </w:r>
    </w:p>
    <w:p>
      <w:pPr>
        <w:spacing w:line="215" w:lineRule="auto"/>
        <w:sectPr>
          <w:headerReference w:type="default" r:id="rId1"/>
          <w:pgSz w:w="11907" w:h="16839"/>
          <w:pgMar w:top="1201" w:right="1696" w:bottom="0" w:left="1785" w:header="831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27" w:right="13" w:firstLine="601"/>
        <w:spacing w:before="317" w:line="26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数字化转型分五个发展阶段（初始级、单元级、流程级、网</w:t>
      </w:r>
      <w:r>
        <w:rPr>
          <w:rFonts w:ascii="SimSun" w:hAnsi="SimSun" w:eastAsia="SimSun" w:cs="SimSun"/>
          <w:sz w:val="30"/>
          <w:szCs w:val="30"/>
          <w:spacing w:val="2"/>
        </w:rPr>
        <w:t>络级、生态级</w:t>
      </w:r>
      <w:r>
        <w:rPr>
          <w:rFonts w:ascii="SimSun" w:hAnsi="SimSun" w:eastAsia="SimSun" w:cs="SimSun"/>
          <w:sz w:val="30"/>
          <w:szCs w:val="30"/>
          <w:spacing w:val="-77"/>
          <w:w w:val="98"/>
        </w:rPr>
        <w:t>），</w:t>
      </w:r>
      <w:r>
        <w:rPr>
          <w:rFonts w:ascii="SimSun" w:hAnsi="SimSun" w:eastAsia="SimSun" w:cs="SimSun"/>
          <w:sz w:val="30"/>
          <w:szCs w:val="30"/>
          <w:spacing w:val="2"/>
        </w:rPr>
        <w:t>不同发展阶段的组织在获取、开发和利用数据</w:t>
      </w:r>
      <w:r>
        <w:rPr>
          <w:rFonts w:ascii="SimSun" w:hAnsi="SimSun" w:eastAsia="SimSun" w:cs="SimSun"/>
          <w:sz w:val="30"/>
          <w:szCs w:val="30"/>
          <w:spacing w:val="-4"/>
        </w:rPr>
        <w:t>方面呈现出由局部到全局、由内到外、由浅到深、由封闭到开放</w:t>
      </w:r>
      <w:r>
        <w:rPr>
          <w:rFonts w:ascii="SimSun" w:hAnsi="SimSun" w:eastAsia="SimSun" w:cs="SimSun"/>
          <w:sz w:val="30"/>
          <w:szCs w:val="30"/>
          <w:spacing w:val="-6"/>
        </w:rPr>
        <w:t>的趋势和特征，如图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 </w:t>
      </w:r>
      <w:r>
        <w:rPr>
          <w:rFonts w:ascii="SimSun" w:hAnsi="SimSun" w:eastAsia="SimSun" w:cs="SimSun"/>
          <w:sz w:val="30"/>
          <w:szCs w:val="30"/>
          <w:spacing w:val="-6"/>
        </w:rPr>
        <w:t>所示。</w:t>
      </w:r>
    </w:p>
    <w:p>
      <w:pPr>
        <w:ind w:left="26" w:right="13" w:firstLine="601"/>
        <w:spacing w:before="246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整合数字化转型发展五阶段中的初始级、单元级、</w:t>
      </w:r>
      <w:r>
        <w:rPr>
          <w:rFonts w:ascii="SimSun" w:hAnsi="SimSun" w:eastAsia="SimSun" w:cs="SimSun"/>
          <w:sz w:val="30"/>
          <w:szCs w:val="30"/>
          <w:spacing w:val="-5"/>
        </w:rPr>
        <w:t>流程级三</w:t>
      </w:r>
      <w:r>
        <w:rPr>
          <w:rFonts w:ascii="SimSun" w:hAnsi="SimSun" w:eastAsia="SimSun" w:cs="SimSun"/>
          <w:sz w:val="30"/>
          <w:szCs w:val="30"/>
          <w:spacing w:val="-15"/>
        </w:rPr>
        <w:t>个阶段（概括为“能效级”，以现有业务的提质增效为核心</w:t>
      </w:r>
      <w:r>
        <w:rPr>
          <w:rFonts w:ascii="SimSun" w:hAnsi="SimSun" w:eastAsia="SimSun" w:cs="SimSun"/>
          <w:sz w:val="30"/>
          <w:szCs w:val="30"/>
          <w:spacing w:val="-2"/>
        </w:rPr>
        <w:t>），</w:t>
      </w:r>
      <w:r>
        <w:rPr>
          <w:rFonts w:ascii="SimSun" w:hAnsi="SimSun" w:eastAsia="SimSun" w:cs="SimSun"/>
          <w:sz w:val="30"/>
          <w:szCs w:val="30"/>
          <w:spacing w:val="-15"/>
        </w:rPr>
        <w:t>梳</w:t>
      </w:r>
      <w:r>
        <w:rPr>
          <w:rFonts w:ascii="SimSun" w:hAnsi="SimSun" w:eastAsia="SimSun" w:cs="SimSun"/>
          <w:sz w:val="30"/>
          <w:szCs w:val="30"/>
          <w:spacing w:val="-13"/>
        </w:rPr>
        <w:t>理形成产业园区数字化分阶段的目标价值体系（图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2</w:t>
      </w:r>
      <w:r>
        <w:rPr>
          <w:rFonts w:ascii="SimSun" w:hAnsi="SimSun" w:eastAsia="SimSun" w:cs="SimSun"/>
          <w:sz w:val="30"/>
          <w:szCs w:val="30"/>
          <w:spacing w:val="-13"/>
        </w:rPr>
        <w:t>）。数字化转</w:t>
      </w:r>
      <w:r>
        <w:rPr>
          <w:rFonts w:ascii="SimSun" w:hAnsi="SimSun" w:eastAsia="SimSun" w:cs="SimSun"/>
          <w:sz w:val="30"/>
          <w:szCs w:val="30"/>
          <w:spacing w:val="-4"/>
        </w:rPr>
        <w:t>型的发展战略、新型能力、系统性解决方案、治理体系、业务创</w:t>
      </w:r>
      <w:r>
        <w:rPr>
          <w:rFonts w:ascii="SimSun" w:hAnsi="SimSun" w:eastAsia="SimSun" w:cs="SimSun"/>
          <w:sz w:val="30"/>
          <w:szCs w:val="30"/>
          <w:spacing w:val="-3"/>
        </w:rPr>
        <w:t>新转型等细分视角，在各阶段呈现出不同的发展状态。</w:t>
      </w:r>
    </w:p>
    <w:p>
      <w:pPr>
        <w:ind w:firstLine="446"/>
        <w:spacing w:before="205" w:line="4984" w:lineRule="exact"/>
        <w:rPr/>
      </w:pPr>
      <w:r>
        <w:rPr>
          <w:position w:val="-99"/>
        </w:rPr>
        <w:drawing>
          <wp:inline distT="0" distB="0" distL="0" distR="0">
            <wp:extent cx="4716779" cy="316534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6779" cy="316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52"/>
        <w:spacing w:before="65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产业园区数字化转型目标价值体系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ind w:left="675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二、产业园区数字化场景云网融合需求分析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5" w:right="12" w:firstLine="623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数字化转型及其规模扩散，要求具备与其目标价</w:t>
      </w:r>
      <w:r>
        <w:rPr>
          <w:rFonts w:ascii="SimSun" w:hAnsi="SimSun" w:eastAsia="SimSun" w:cs="SimSun"/>
          <w:sz w:val="30"/>
          <w:szCs w:val="30"/>
          <w:spacing w:val="-5"/>
        </w:rPr>
        <w:t>值体系相匹</w:t>
      </w:r>
      <w:r>
        <w:rPr>
          <w:rFonts w:ascii="SimSun" w:hAnsi="SimSun" w:eastAsia="SimSun" w:cs="SimSun"/>
          <w:sz w:val="30"/>
          <w:szCs w:val="30"/>
          <w:spacing w:val="-3"/>
        </w:rPr>
        <w:t>配的技术条件与应用场景，体现为围绕数字化转型目标价值</w:t>
      </w:r>
      <w:r>
        <w:rPr>
          <w:rFonts w:ascii="SimSun" w:hAnsi="SimSun" w:eastAsia="SimSun" w:cs="SimSun"/>
          <w:sz w:val="30"/>
          <w:szCs w:val="30"/>
          <w:spacing w:val="-4"/>
        </w:rPr>
        <w:t>体系</w:t>
      </w:r>
      <w:r>
        <w:rPr>
          <w:rFonts w:ascii="SimSun" w:hAnsi="SimSun" w:eastAsia="SimSun" w:cs="SimSun"/>
          <w:sz w:val="30"/>
          <w:szCs w:val="30"/>
          <w:spacing w:val="3"/>
        </w:rPr>
        <w:t>的技术与应用的动态演进过程。产业园区数字化</w:t>
      </w:r>
      <w:r>
        <w:rPr>
          <w:rFonts w:ascii="SimSun" w:hAnsi="SimSun" w:eastAsia="SimSun" w:cs="SimSun"/>
          <w:sz w:val="30"/>
          <w:szCs w:val="30"/>
          <w:spacing w:val="2"/>
        </w:rPr>
        <w:t>由能效级（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L1-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L3</w:t>
      </w:r>
      <w:r>
        <w:rPr>
          <w:rFonts w:ascii="SimSun" w:hAnsi="SimSun" w:eastAsia="SimSun" w:cs="SimSun"/>
          <w:sz w:val="30"/>
          <w:szCs w:val="30"/>
          <w:spacing w:val="-6"/>
        </w:rPr>
        <w:t>）向网络级（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L4</w:t>
      </w:r>
      <w:r>
        <w:rPr>
          <w:rFonts w:ascii="SimSun" w:hAnsi="SimSun" w:eastAsia="SimSun" w:cs="SimSun"/>
          <w:sz w:val="30"/>
          <w:szCs w:val="30"/>
          <w:spacing w:val="-6"/>
        </w:rPr>
        <w:t>）、生态级（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L5</w:t>
      </w:r>
      <w:r>
        <w:rPr>
          <w:rFonts w:ascii="SimSun" w:hAnsi="SimSun" w:eastAsia="SimSun" w:cs="SimSun"/>
          <w:sz w:val="30"/>
          <w:szCs w:val="30"/>
          <w:spacing w:val="-6"/>
        </w:rPr>
        <w:t>）阶段发展，强调资源和能力</w:t>
      </w:r>
      <w:r>
        <w:rPr>
          <w:rFonts w:ascii="SimSun" w:hAnsi="SimSun" w:eastAsia="SimSun" w:cs="SimSun"/>
          <w:sz w:val="30"/>
          <w:szCs w:val="30"/>
          <w:spacing w:val="-8"/>
        </w:rPr>
        <w:t>的模块化、数字化与平台化， 以及各项技术要素的集成</w:t>
      </w:r>
      <w:r>
        <w:rPr>
          <w:rFonts w:ascii="SimSun" w:hAnsi="SimSun" w:eastAsia="SimSun" w:cs="SimSun"/>
          <w:sz w:val="30"/>
          <w:szCs w:val="30"/>
          <w:spacing w:val="-9"/>
        </w:rPr>
        <w:t>、融合与</w:t>
      </w:r>
      <w:r>
        <w:rPr>
          <w:rFonts w:ascii="SimSun" w:hAnsi="SimSun" w:eastAsia="SimSun" w:cs="SimSun"/>
          <w:sz w:val="30"/>
          <w:szCs w:val="30"/>
          <w:spacing w:val="-12"/>
        </w:rPr>
        <w:t>创新，对云网能力也提出更高要求（图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3</w:t>
      </w:r>
      <w:r>
        <w:rPr>
          <w:rFonts w:ascii="SimSun" w:hAnsi="SimSun" w:eastAsia="SimSun" w:cs="SimSun"/>
          <w:sz w:val="30"/>
          <w:szCs w:val="30"/>
          <w:spacing w:val="-12"/>
        </w:rPr>
        <w:t>）。云网融合技术聚焦于</w:t>
      </w:r>
      <w:r>
        <w:rPr>
          <w:rFonts w:ascii="SimSun" w:hAnsi="SimSun" w:eastAsia="SimSun" w:cs="SimSun"/>
          <w:sz w:val="30"/>
          <w:szCs w:val="30"/>
          <w:spacing w:val="-3"/>
        </w:rPr>
        <w:t>“多要素融合”，具有“多元技术、多维能</w:t>
      </w:r>
      <w:r>
        <w:rPr>
          <w:rFonts w:ascii="SimSun" w:hAnsi="SimSun" w:eastAsia="SimSun" w:cs="SimSun"/>
          <w:sz w:val="30"/>
          <w:szCs w:val="30"/>
          <w:spacing w:val="-4"/>
        </w:rPr>
        <w:t>力和多重价值协同构</w:t>
      </w:r>
    </w:p>
    <w:p>
      <w:pPr>
        <w:spacing w:line="258" w:lineRule="auto"/>
        <w:sectPr>
          <w:headerReference w:type="default" r:id="rId3"/>
          <w:pgSz w:w="11907" w:h="16839"/>
          <w:pgMar w:top="1201" w:right="1785" w:bottom="0" w:left="1785" w:header="831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13" w:firstLine="3"/>
        <w:spacing w:before="316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建”的核心特征，可以保障产业园区业务创新转型关键场景的落</w:t>
      </w:r>
      <w:r>
        <w:rPr>
          <w:rFonts w:ascii="SimSun" w:hAnsi="SimSun" w:eastAsia="SimSun" w:cs="SimSun"/>
          <w:sz w:val="30"/>
          <w:szCs w:val="30"/>
          <w:spacing w:val="-2"/>
        </w:rPr>
        <w:t>地实施，是产业园区数字化迈向更高阶段的必要技术</w:t>
      </w:r>
      <w:r>
        <w:rPr>
          <w:rFonts w:ascii="SimSun" w:hAnsi="SimSun" w:eastAsia="SimSun" w:cs="SimSun"/>
          <w:sz w:val="30"/>
          <w:szCs w:val="30"/>
          <w:spacing w:val="-3"/>
        </w:rPr>
        <w:t>条件。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firstLine="162"/>
        <w:spacing w:line="2674" w:lineRule="exact"/>
        <w:rPr/>
      </w:pPr>
      <w:r>
        <w:rPr>
          <w:position w:val="-53"/>
        </w:rPr>
        <w:drawing>
          <wp:inline distT="0" distB="0" distL="0" distR="0">
            <wp:extent cx="4933400" cy="1698079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400" cy="16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401"/>
        <w:spacing w:before="98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3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产业园区数字化转型各阶段云网需求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27" w:right="12" w:firstLine="602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从技术条件与应用场景两个维度出发，构建云</w:t>
      </w:r>
      <w:r>
        <w:rPr>
          <w:rFonts w:ascii="SimSun" w:hAnsi="SimSun" w:eastAsia="SimSun" w:cs="SimSun"/>
          <w:sz w:val="30"/>
          <w:szCs w:val="30"/>
          <w:spacing w:val="-5"/>
        </w:rPr>
        <w:t>网融合需求量</w:t>
      </w:r>
      <w:r>
        <w:rPr>
          <w:rFonts w:ascii="SimSun" w:hAnsi="SimSun" w:eastAsia="SimSun" w:cs="SimSun"/>
          <w:sz w:val="30"/>
          <w:szCs w:val="30"/>
          <w:spacing w:val="-3"/>
        </w:rPr>
        <w:t>化分析模型，建立技术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-</w:t>
      </w:r>
      <w:r>
        <w:rPr>
          <w:rFonts w:ascii="SimSun" w:hAnsi="SimSun" w:eastAsia="SimSun" w:cs="SimSun"/>
          <w:sz w:val="30"/>
          <w:szCs w:val="30"/>
          <w:spacing w:val="-3"/>
        </w:rPr>
        <w:t>场景共现矩阵，设计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RCA </w:t>
      </w:r>
      <w:r>
        <w:rPr>
          <w:rFonts w:ascii="SimSun" w:hAnsi="SimSun" w:eastAsia="SimSun" w:cs="SimSun"/>
          <w:sz w:val="30"/>
          <w:szCs w:val="30"/>
          <w:spacing w:val="-3"/>
        </w:rPr>
        <w:t>计算各场景需</w:t>
      </w:r>
      <w:r>
        <w:rPr>
          <w:rFonts w:ascii="SimSun" w:hAnsi="SimSun" w:eastAsia="SimSun" w:cs="SimSun"/>
          <w:sz w:val="30"/>
          <w:szCs w:val="30"/>
        </w:rPr>
        <w:t>求指数，最终确定不同园区应用场景的云网</w:t>
      </w:r>
      <w:r>
        <w:rPr>
          <w:rFonts w:ascii="SimSun" w:hAnsi="SimSun" w:eastAsia="SimSun" w:cs="SimSun"/>
          <w:sz w:val="30"/>
          <w:szCs w:val="30"/>
          <w:spacing w:val="-1"/>
        </w:rPr>
        <w:t>融合需求水平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ind w:left="636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．应用场景与技术分类</w:t>
      </w:r>
    </w:p>
    <w:p>
      <w:pPr>
        <w:ind w:left="25" w:right="12" w:firstLine="601"/>
        <w:spacing w:before="322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基于“绽放杯”项目文本数据，从园区运营、产</w:t>
      </w:r>
      <w:r>
        <w:rPr>
          <w:rFonts w:ascii="SimSun" w:hAnsi="SimSun" w:eastAsia="SimSun" w:cs="SimSun"/>
          <w:sz w:val="30"/>
          <w:szCs w:val="30"/>
          <w:spacing w:val="-5"/>
        </w:rPr>
        <w:t>业服务、企</w:t>
      </w:r>
      <w:r>
        <w:rPr>
          <w:rFonts w:ascii="SimSun" w:hAnsi="SimSun" w:eastAsia="SimSun" w:cs="SimSun"/>
          <w:sz w:val="30"/>
          <w:szCs w:val="30"/>
          <w:spacing w:val="-6"/>
        </w:rPr>
        <w:t>业经营三个方面，梳理整理了产业园区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 </w:t>
      </w:r>
      <w:r>
        <w:rPr>
          <w:rFonts w:ascii="SimSun" w:hAnsi="SimSun" w:eastAsia="SimSun" w:cs="SimSun"/>
          <w:sz w:val="30"/>
          <w:szCs w:val="30"/>
          <w:spacing w:val="-6"/>
        </w:rPr>
        <w:t>大类、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11</w:t>
      </w:r>
      <w:r>
        <w:rPr>
          <w:rFonts w:ascii="Times New Roman" w:hAnsi="Times New Roman" w:eastAsia="Times New Roman" w:cs="Times New Roman"/>
          <w:sz w:val="30"/>
          <w:szCs w:val="3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小类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50+</w:t>
      </w:r>
      <w:r>
        <w:rPr>
          <w:rFonts w:ascii="SimSun" w:hAnsi="SimSun" w:eastAsia="SimSun" w:cs="SimSun"/>
          <w:sz w:val="30"/>
          <w:szCs w:val="30"/>
          <w:spacing w:val="-6"/>
        </w:rPr>
        <w:t>细分</w:t>
      </w:r>
      <w:r>
        <w:rPr>
          <w:rFonts w:ascii="SimSun" w:hAnsi="SimSun" w:eastAsia="SimSun" w:cs="SimSun"/>
          <w:sz w:val="30"/>
          <w:szCs w:val="30"/>
          <w:spacing w:val="-10"/>
        </w:rPr>
        <w:t>数字化应用场景（图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4</w:t>
      </w:r>
      <w:r>
        <w:rPr>
          <w:rFonts w:ascii="SimSun" w:hAnsi="SimSun" w:eastAsia="SimSun" w:cs="SimSun"/>
          <w:sz w:val="30"/>
          <w:szCs w:val="30"/>
          <w:spacing w:val="-10"/>
        </w:rPr>
        <w:t>）。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>
        <w:pict>
          <v:shape id="_x0000_s2" style="position:absolute;margin-left:0.72599pt;margin-top:9.32024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1" w:right="69" w:firstLine="361"/>
        <w:spacing w:before="71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1   </w:t>
      </w:r>
      <w:r>
        <w:rPr>
          <w:rFonts w:ascii="DengXian" w:hAnsi="DengXian" w:eastAsia="DengXian" w:cs="DengXian"/>
          <w:sz w:val="21"/>
          <w:szCs w:val="21"/>
        </w:rPr>
        <w:t>研究数据来源于 2022 年工信部主办的第五届“绽放杯”5G 应用征集大赛数</w:t>
      </w:r>
      <w:r>
        <w:rPr>
          <w:rFonts w:ascii="DengXian" w:hAnsi="DengXian" w:eastAsia="DengXian" w:cs="DengXian"/>
          <w:sz w:val="21"/>
          <w:szCs w:val="21"/>
          <w:spacing w:val="-1"/>
        </w:rPr>
        <w:t>据，梳理了</w:t>
      </w:r>
      <w:r>
        <w:rPr>
          <w:rFonts w:ascii="DengXian" w:hAnsi="DengXian" w:eastAsia="DengXian" w:cs="DengXian"/>
          <w:sz w:val="21"/>
          <w:szCs w:val="21"/>
        </w:rPr>
        <w:t>各赛道 170 个园区数字化获奖项目和近 700</w:t>
      </w:r>
      <w:r>
        <w:rPr>
          <w:rFonts w:ascii="DengXian" w:hAnsi="DengXian" w:eastAsia="DengXian" w:cs="DengXian"/>
          <w:sz w:val="21"/>
          <w:szCs w:val="21"/>
          <w:spacing w:val="-1"/>
        </w:rPr>
        <w:t xml:space="preserve"> 个应用场景，基本体现我国产业园区数字化建</w:t>
      </w:r>
      <w:r>
        <w:rPr>
          <w:rFonts w:ascii="DengXian" w:hAnsi="DengXian" w:eastAsia="DengXian" w:cs="DengXian"/>
          <w:sz w:val="21"/>
          <w:szCs w:val="21"/>
          <w:spacing w:val="-1"/>
        </w:rPr>
        <w:t>设的最新进展。</w:t>
      </w:r>
    </w:p>
    <w:p>
      <w:pPr>
        <w:spacing w:line="243" w:lineRule="auto"/>
        <w:sectPr>
          <w:pgSz w:w="11907" w:h="16839"/>
          <w:pgMar w:top="1201" w:right="1785" w:bottom="0" w:left="1785" w:header="831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ind w:firstLine="1395"/>
        <w:spacing w:line="5875" w:lineRule="exact"/>
        <w:rPr/>
      </w:pPr>
      <w:r>
        <w:rPr>
          <w:position w:val="-117"/>
        </w:rPr>
        <w:drawing>
          <wp:inline distT="0" distB="0" distL="0" distR="0">
            <wp:extent cx="3685667" cy="373075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5667" cy="373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02"/>
        <w:spacing w:before="86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4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产业园区应用场景及其分类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25" w:firstLine="601"/>
        <w:spacing w:before="97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产业园区数字化要求多元技术的融合应用，新型云网与数字</w:t>
      </w:r>
      <w:r>
        <w:rPr>
          <w:rFonts w:ascii="SimSun" w:hAnsi="SimSun" w:eastAsia="SimSun" w:cs="SimSun"/>
          <w:sz w:val="30"/>
          <w:szCs w:val="30"/>
          <w:spacing w:val="-4"/>
        </w:rPr>
        <w:t>技术不断融入数字化应用场景，梳理相关数字技术在产业园区数</w:t>
      </w:r>
      <w:r>
        <w:rPr>
          <w:rFonts w:ascii="SimSun" w:hAnsi="SimSun" w:eastAsia="SimSun" w:cs="SimSun"/>
          <w:sz w:val="30"/>
          <w:szCs w:val="30"/>
          <w:spacing w:val="-13"/>
        </w:rPr>
        <w:t>字化场景中的应用情况如下（图</w:t>
      </w:r>
      <w:r>
        <w:rPr>
          <w:rFonts w:ascii="SimSun" w:hAnsi="SimSun" w:eastAsia="SimSun" w:cs="SimSun"/>
          <w:sz w:val="30"/>
          <w:szCs w:val="3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5</w:t>
      </w:r>
      <w:r>
        <w:rPr>
          <w:rFonts w:ascii="SimSun" w:hAnsi="SimSun" w:eastAsia="SimSun" w:cs="SimSun"/>
          <w:sz w:val="30"/>
          <w:szCs w:val="30"/>
          <w:spacing w:val="-13"/>
        </w:rPr>
        <w:t>）。当前推动产业园区数字化转</w:t>
      </w:r>
      <w:r>
        <w:rPr>
          <w:rFonts w:ascii="SimSun" w:hAnsi="SimSun" w:eastAsia="SimSun" w:cs="SimSun"/>
          <w:sz w:val="30"/>
          <w:szCs w:val="30"/>
          <w:spacing w:val="-7"/>
        </w:rPr>
        <w:t>型由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L3</w:t>
      </w:r>
      <w:r>
        <w:rPr>
          <w:rFonts w:ascii="Times New Roman" w:hAnsi="Times New Roman" w:eastAsia="Times New Roman" w:cs="Times New Roman"/>
          <w:sz w:val="30"/>
          <w:szCs w:val="30"/>
          <w:spacing w:val="6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向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L4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L5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发展需进一步推动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WIFI6</w:t>
      </w:r>
      <w:r>
        <w:rPr>
          <w:rFonts w:ascii="SimSun" w:hAnsi="SimSun" w:eastAsia="SimSun" w:cs="SimSun"/>
          <w:sz w:val="30"/>
          <w:szCs w:val="30"/>
          <w:spacing w:val="-7"/>
        </w:rPr>
        <w:t>、工业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PON</w:t>
      </w:r>
      <w:r>
        <w:rPr>
          <w:rFonts w:ascii="SimSun" w:hAnsi="SimSun" w:eastAsia="SimSun" w:cs="SimSun"/>
          <w:sz w:val="30"/>
          <w:szCs w:val="30"/>
          <w:spacing w:val="-7"/>
        </w:rPr>
        <w:t>、</w:t>
      </w:r>
      <w:r>
        <w:rPr>
          <w:rFonts w:ascii="SimSun" w:hAnsi="SimSun" w:eastAsia="SimSun" w:cs="SimSun"/>
          <w:sz w:val="30"/>
          <w:szCs w:val="30"/>
          <w:spacing w:val="-5"/>
        </w:rPr>
        <w:t>基于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SR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的可编程网络、基于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DIP/TSN</w:t>
      </w:r>
      <w:r>
        <w:rPr>
          <w:rFonts w:ascii="Times New Roman" w:hAnsi="Times New Roman" w:eastAsia="Times New Roman" w:cs="Times New Roma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的确定性网络、云计算、</w:t>
      </w:r>
      <w:r>
        <w:rPr>
          <w:rFonts w:ascii="SimSun" w:hAnsi="SimSun" w:eastAsia="SimSun" w:cs="SimSun"/>
          <w:sz w:val="30"/>
          <w:szCs w:val="30"/>
          <w:spacing w:val="-4"/>
        </w:rPr>
        <w:t>边缘计算等新型云网技术的成熟。</w:t>
      </w:r>
    </w:p>
    <w:p>
      <w:pPr>
        <w:ind w:firstLine="686"/>
        <w:spacing w:before="28" w:line="3533" w:lineRule="exact"/>
        <w:rPr/>
      </w:pPr>
      <w:r>
        <w:rPr>
          <w:position w:val="-70"/>
        </w:rPr>
        <w:drawing>
          <wp:inline distT="0" distB="0" distL="0" distR="0">
            <wp:extent cx="4410455" cy="224332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455" cy="224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16"/>
        <w:spacing w:before="158" w:line="217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数据来源：项目组根据园区案例梳理绘制</w:t>
      </w:r>
    </w:p>
    <w:p>
      <w:pPr>
        <w:ind w:left="1101"/>
        <w:spacing w:before="73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5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产业园区数字化场景中数字技术渗透比例</w:t>
      </w:r>
    </w:p>
    <w:p>
      <w:pPr>
        <w:spacing w:line="215" w:lineRule="auto"/>
        <w:sectPr>
          <w:headerReference w:type="default" r:id="rId6"/>
          <w:pgSz w:w="11907" w:h="16839"/>
          <w:pgMar w:top="1201" w:right="1690" w:bottom="0" w:left="1785" w:header="831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624"/>
        <w:spacing w:before="31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．场景云、网、多要素技术需求分析</w:t>
      </w:r>
    </w:p>
    <w:p>
      <w:pPr>
        <w:ind w:left="25" w:firstLine="637"/>
        <w:spacing w:before="321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527075</wp:posOffset>
            </wp:positionH>
            <wp:positionV relativeFrom="paragraph">
              <wp:posOffset>6126755</wp:posOffset>
            </wp:positionV>
            <wp:extent cx="4236719" cy="188213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6719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0"/>
          <w:szCs w:val="30"/>
          <w:spacing w:val="-10"/>
        </w:rPr>
        <w:t>由模型可知，以云计算、边缘计算为核心的云能力需求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(Dc)</w:t>
      </w:r>
      <w:r>
        <w:rPr>
          <w:rFonts w:ascii="SimSun" w:hAnsi="SimSun" w:eastAsia="SimSun" w:cs="SimSun"/>
          <w:sz w:val="30"/>
          <w:szCs w:val="30"/>
          <w:spacing w:val="-10"/>
        </w:rPr>
        <w:t>，</w:t>
      </w:r>
      <w:r>
        <w:rPr>
          <w:rFonts w:ascii="SimSun" w:hAnsi="SimSun" w:eastAsia="SimSun" w:cs="SimSun"/>
          <w:sz w:val="30"/>
          <w:szCs w:val="30"/>
          <w:spacing w:val="-4"/>
        </w:rPr>
        <w:t>主要应用场景包括远程服务、共享交流管理、云园区、信息查询</w:t>
      </w:r>
      <w:r>
        <w:rPr>
          <w:rFonts w:ascii="SimSun" w:hAnsi="SimSun" w:eastAsia="SimSun" w:cs="SimSun"/>
          <w:sz w:val="30"/>
          <w:szCs w:val="30"/>
          <w:spacing w:val="-9"/>
        </w:rPr>
        <w:t>推送等。以定位、上行增强、</w:t>
      </w:r>
      <w:r>
        <w:rPr>
          <w:rFonts w:ascii="SimSun" w:hAnsi="SimSun" w:eastAsia="SimSun" w:cs="SimSun"/>
          <w:sz w:val="30"/>
          <w:szCs w:val="3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5G </w:t>
      </w:r>
      <w:r>
        <w:rPr>
          <w:rFonts w:ascii="SimSun" w:hAnsi="SimSun" w:eastAsia="SimSun" w:cs="SimSun"/>
          <w:sz w:val="30"/>
          <w:szCs w:val="30"/>
          <w:spacing w:val="-9"/>
        </w:rPr>
        <w:t>行业虚拟专网</w:t>
      </w:r>
      <w:r>
        <w:rPr>
          <w:rFonts w:ascii="SimSun" w:hAnsi="SimSun" w:eastAsia="SimSun" w:cs="SimSun"/>
          <w:sz w:val="30"/>
          <w:szCs w:val="30"/>
          <w:spacing w:val="-10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5G LAN</w:t>
      </w:r>
      <w:r>
        <w:rPr>
          <w:rFonts w:ascii="SimSun" w:hAnsi="SimSun" w:eastAsia="SimSun" w:cs="SimSun"/>
          <w:sz w:val="30"/>
          <w:szCs w:val="30"/>
          <w:spacing w:val="-10"/>
        </w:rPr>
        <w:t>、网络</w:t>
      </w:r>
      <w:r>
        <w:rPr>
          <w:rFonts w:ascii="SimSun" w:hAnsi="SimSun" w:eastAsia="SimSun" w:cs="SimSun"/>
          <w:sz w:val="30"/>
          <w:szCs w:val="30"/>
          <w:spacing w:val="2"/>
        </w:rPr>
        <w:t>切片为核心的网能力需求（</w:t>
      </w:r>
      <w:r>
        <w:rPr>
          <w:rFonts w:ascii="Times New Roman" w:hAnsi="Times New Roman" w:eastAsia="Times New Roman" w:cs="Times New Roman"/>
          <w:sz w:val="30"/>
          <w:szCs w:val="30"/>
        </w:rPr>
        <w:t>Dn</w:t>
      </w:r>
      <w:r>
        <w:rPr>
          <w:rFonts w:ascii="SimSun" w:hAnsi="SimSun" w:eastAsia="SimSun" w:cs="SimSun"/>
          <w:sz w:val="30"/>
          <w:szCs w:val="30"/>
          <w:spacing w:val="-60"/>
        </w:rPr>
        <w:t>），</w:t>
      </w:r>
      <w:r>
        <w:rPr>
          <w:rFonts w:ascii="SimSun" w:hAnsi="SimSun" w:eastAsia="SimSun" w:cs="SimSun"/>
          <w:sz w:val="30"/>
          <w:szCs w:val="30"/>
          <w:spacing w:val="2"/>
        </w:rPr>
        <w:t>主要应用场景包括在线培训、</w:t>
      </w:r>
      <w:r>
        <w:rPr>
          <w:rFonts w:ascii="SimSun" w:hAnsi="SimSun" w:eastAsia="SimSun" w:cs="SimSun"/>
          <w:sz w:val="30"/>
          <w:szCs w:val="30"/>
          <w:spacing w:val="-4"/>
        </w:rPr>
        <w:t>供应链协同、研发设计、公文管理等。以人工智能、区块链、大</w:t>
      </w:r>
      <w:r>
        <w:rPr>
          <w:rFonts w:ascii="SimSun" w:hAnsi="SimSun" w:eastAsia="SimSun" w:cs="SimSun"/>
          <w:sz w:val="30"/>
          <w:szCs w:val="30"/>
          <w:spacing w:val="-3"/>
        </w:rPr>
        <w:t>数据为核心的多要素能力需求（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Dm</w:t>
      </w:r>
      <w:r>
        <w:rPr>
          <w:rFonts w:ascii="SimSun" w:hAnsi="SimSun" w:eastAsia="SimSun" w:cs="SimSun"/>
          <w:sz w:val="30"/>
          <w:szCs w:val="30"/>
          <w:spacing w:val="-75"/>
          <w:w w:val="95"/>
        </w:rPr>
        <w:t>），</w:t>
      </w:r>
      <w:r>
        <w:rPr>
          <w:rFonts w:ascii="SimSun" w:hAnsi="SimSun" w:eastAsia="SimSun" w:cs="SimSun"/>
          <w:sz w:val="30"/>
          <w:szCs w:val="30"/>
          <w:spacing w:val="-3"/>
        </w:rPr>
        <w:t>主要应用场景包括研发设</w:t>
      </w:r>
      <w:r>
        <w:rPr>
          <w:rFonts w:ascii="SimSun" w:hAnsi="SimSun" w:eastAsia="SimSun" w:cs="SimSun"/>
          <w:sz w:val="30"/>
          <w:szCs w:val="30"/>
          <w:spacing w:val="-2"/>
        </w:rPr>
        <w:t>计、供应链协同、园区直播、人员管理、招</w:t>
      </w:r>
      <w:r>
        <w:rPr>
          <w:rFonts w:ascii="SimSun" w:hAnsi="SimSun" w:eastAsia="SimSun" w:cs="SimSun"/>
          <w:sz w:val="30"/>
          <w:szCs w:val="30"/>
          <w:spacing w:val="-3"/>
        </w:rPr>
        <w:t>商管理等。</w:t>
      </w:r>
    </w:p>
    <w:p>
      <w:pPr>
        <w:spacing w:line="184" w:lineRule="exact"/>
        <w:rPr/>
      </w:pPr>
      <w:r/>
    </w:p>
    <w:tbl>
      <w:tblPr>
        <w:tblStyle w:val="TableNormal"/>
        <w:tblW w:w="6652" w:type="dxa"/>
        <w:tblInd w:w="835" w:type="dxa"/>
        <w:tblLayout w:type="fixed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</w:tblPr>
      <w:tblGrid>
        <w:gridCol w:w="443"/>
        <w:gridCol w:w="6209"/>
      </w:tblGrid>
      <w:tr>
        <w:trPr>
          <w:trHeight w:val="402" w:hRule="atLeast"/>
        </w:trPr>
        <w:tc>
          <w:tcPr>
            <w:tcW w:w="6652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2701"/>
              <w:spacing w:before="151" w:line="221" w:lineRule="auto"/>
              <w:outlineLvl w:val="3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595959"/>
                <w:spacing w:val="8"/>
              </w:rPr>
              <w:t>云能力场景</w:t>
            </w:r>
            <w:r>
              <w:rPr>
                <w:sz w:val="19"/>
                <w:szCs w:val="19"/>
                <w:b/>
                <w:bCs/>
                <w:color w:val="595959"/>
              </w:rPr>
              <w:t>top</w:t>
            </w:r>
            <w:r>
              <w:rPr>
                <w:sz w:val="19"/>
                <w:szCs w:val="19"/>
                <w:b/>
                <w:bCs/>
                <w:color w:val="595959"/>
                <w:spacing w:val="8"/>
              </w:rPr>
              <w:t>10</w:t>
            </w:r>
          </w:p>
        </w:tc>
      </w:tr>
      <w:tr>
        <w:trPr>
          <w:trHeight w:val="2472" w:hRule="atLeast"/>
        </w:trPr>
        <w:tc>
          <w:tcPr>
            <w:tcW w:w="443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214"/>
              <w:spacing w:before="47" w:line="224" w:lineRule="exact"/>
              <w:rPr/>
            </w:pPr>
            <w:r>
              <w:rPr>
                <w:color w:val="595959"/>
                <w:spacing w:val="-4"/>
                <w:position w:val="2"/>
              </w:rPr>
              <w:t>1.7</w:t>
            </w:r>
          </w:p>
          <w:p>
            <w:pPr>
              <w:pStyle w:val="TableText"/>
              <w:ind w:left="214"/>
              <w:spacing w:before="50" w:line="222" w:lineRule="exact"/>
              <w:rPr/>
            </w:pPr>
            <w:r>
              <w:rPr>
                <w:color w:val="595959"/>
                <w:spacing w:val="-4"/>
                <w:position w:val="2"/>
              </w:rPr>
              <w:t>1.5</w:t>
            </w:r>
          </w:p>
          <w:p>
            <w:pPr>
              <w:pStyle w:val="TableText"/>
              <w:ind w:left="214"/>
              <w:spacing w:before="51" w:line="222" w:lineRule="exact"/>
              <w:rPr/>
            </w:pPr>
            <w:r>
              <w:rPr>
                <w:color w:val="595959"/>
                <w:spacing w:val="-4"/>
                <w:position w:val="2"/>
              </w:rPr>
              <w:t>1.3</w:t>
            </w:r>
          </w:p>
          <w:p>
            <w:pPr>
              <w:pStyle w:val="TableText"/>
              <w:ind w:left="214"/>
              <w:spacing w:before="51" w:line="223" w:lineRule="exact"/>
              <w:rPr/>
            </w:pPr>
            <w:r>
              <w:rPr>
                <w:color w:val="595959"/>
                <w:spacing w:val="-4"/>
                <w:position w:val="2"/>
              </w:rPr>
              <w:t>1.1</w:t>
            </w:r>
          </w:p>
          <w:p>
            <w:pPr>
              <w:pStyle w:val="TableText"/>
              <w:ind w:left="209"/>
              <w:spacing w:before="50" w:line="222" w:lineRule="exact"/>
              <w:rPr/>
            </w:pPr>
            <w:r>
              <w:rPr>
                <w:color w:val="595959"/>
                <w:spacing w:val="-3"/>
                <w:position w:val="2"/>
              </w:rPr>
              <w:t>0.9</w:t>
            </w:r>
          </w:p>
          <w:p>
            <w:pPr>
              <w:pStyle w:val="TableText"/>
              <w:ind w:left="209"/>
              <w:spacing w:before="51" w:line="222" w:lineRule="exact"/>
              <w:rPr/>
            </w:pPr>
            <w:r>
              <w:rPr>
                <w:color w:val="595959"/>
                <w:spacing w:val="-3"/>
                <w:position w:val="2"/>
              </w:rPr>
              <w:t>0.7</w:t>
            </w:r>
          </w:p>
          <w:p>
            <w:pPr>
              <w:pStyle w:val="TableText"/>
              <w:ind w:left="209"/>
              <w:spacing w:before="50" w:line="223" w:lineRule="exact"/>
              <w:rPr/>
            </w:pPr>
            <w:r>
              <w:rPr>
                <w:color w:val="595959"/>
                <w:spacing w:val="-2"/>
                <w:position w:val="2"/>
              </w:rPr>
              <w:t>0.5</w:t>
            </w:r>
          </w:p>
        </w:tc>
        <w:tc>
          <w:tcPr>
            <w:tcW w:w="6209" w:type="dxa"/>
            <w:vAlign w:val="top"/>
            <w:tcBorders>
              <w:left w:val="nil"/>
              <w:top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rightMargin">
                    <wp:posOffset>-3925824</wp:posOffset>
                  </wp:positionH>
                  <wp:positionV relativeFrom="topMargin">
                    <wp:posOffset>79755</wp:posOffset>
                  </wp:positionV>
                  <wp:extent cx="3808984" cy="1355217"/>
                  <wp:effectExtent l="0" t="0" r="0" b="0"/>
                  <wp:wrapNone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08984" cy="1355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-2844800</wp:posOffset>
                  </wp:positionH>
                  <wp:positionV relativeFrom="topMargin">
                    <wp:posOffset>1189608</wp:posOffset>
                  </wp:positionV>
                  <wp:extent cx="289052" cy="296545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9052" cy="29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rightMargin">
                    <wp:posOffset>-3592195</wp:posOffset>
                  </wp:positionH>
                  <wp:positionV relativeFrom="topMargin">
                    <wp:posOffset>1189354</wp:posOffset>
                  </wp:positionV>
                  <wp:extent cx="292607" cy="299847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2607" cy="299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firstLine="2828"/>
              <w:spacing w:line="556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38582" cy="352932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8582" cy="352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48" w:lineRule="exact"/>
        <w:rPr/>
      </w:pPr>
      <w:r/>
    </w:p>
    <w:tbl>
      <w:tblPr>
        <w:tblStyle w:val="TableNormal"/>
        <w:tblW w:w="6681" w:type="dxa"/>
        <w:tblInd w:w="82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8"/>
        <w:gridCol w:w="479"/>
        <w:gridCol w:w="629"/>
        <w:gridCol w:w="602"/>
        <w:gridCol w:w="584"/>
        <w:gridCol w:w="2339"/>
        <w:gridCol w:w="1600"/>
      </w:tblGrid>
      <w:tr>
        <w:trPr>
          <w:trHeight w:val="434" w:hRule="atLeast"/>
        </w:trPr>
        <w:tc>
          <w:tcPr>
            <w:tcW w:w="6681" w:type="dxa"/>
            <w:vAlign w:val="top"/>
            <w:gridSpan w:val="7"/>
            <w:tcBorders>
              <w:left w:val="single" w:color="D9D9D9" w:sz="4" w:space="0"/>
              <w:right w:val="single" w:color="D9D9D9" w:sz="4" w:space="0"/>
              <w:top w:val="single" w:color="D9D9D9" w:sz="4" w:space="0"/>
            </w:tcBorders>
          </w:tcPr>
          <w:p>
            <w:pPr>
              <w:pStyle w:val="TableText"/>
              <w:ind w:left="2591"/>
              <w:spacing w:before="182" w:line="221" w:lineRule="auto"/>
              <w:outlineLvl w:val="3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595959"/>
                <w:spacing w:val="7"/>
              </w:rPr>
              <w:t>网能力场景</w:t>
            </w:r>
            <w:r>
              <w:rPr>
                <w:sz w:val="19"/>
                <w:szCs w:val="19"/>
                <w:b/>
                <w:bCs/>
                <w:color w:val="595959"/>
              </w:rPr>
              <w:t>top</w:t>
            </w:r>
            <w:r>
              <w:rPr>
                <w:sz w:val="19"/>
                <w:szCs w:val="19"/>
                <w:b/>
                <w:bCs/>
                <w:color w:val="595959"/>
                <w:spacing w:val="7"/>
              </w:rPr>
              <w:t>10</w:t>
            </w:r>
          </w:p>
        </w:tc>
      </w:tr>
      <w:tr>
        <w:trPr>
          <w:trHeight w:val="128" w:hRule="atLeast"/>
        </w:trPr>
        <w:tc>
          <w:tcPr>
            <w:tcW w:w="448" w:type="dxa"/>
            <w:vAlign w:val="top"/>
            <w:vMerge w:val="restart"/>
            <w:tcBorders>
              <w:left w:val="single" w:color="D9D9D9" w:sz="4" w:space="0"/>
              <w:bottom w:val="nil"/>
            </w:tcBorders>
          </w:tcPr>
          <w:p>
            <w:pPr>
              <w:pStyle w:val="TableText"/>
              <w:ind w:left="216"/>
              <w:spacing w:before="45" w:line="222" w:lineRule="exact"/>
              <w:rPr/>
            </w:pPr>
            <w:r>
              <w:rPr>
                <w:color w:val="595959"/>
                <w:spacing w:val="-4"/>
                <w:position w:val="2"/>
              </w:rPr>
              <w:t>1.9</w:t>
            </w:r>
          </w:p>
          <w:p>
            <w:pPr>
              <w:pStyle w:val="TableText"/>
              <w:ind w:left="216"/>
              <w:spacing w:before="27" w:line="223" w:lineRule="exact"/>
              <w:rPr/>
            </w:pPr>
            <w:r>
              <w:rPr>
                <w:color w:val="595959"/>
                <w:spacing w:val="-4"/>
                <w:position w:val="2"/>
              </w:rPr>
              <w:t>1.7</w:t>
            </w:r>
          </w:p>
          <w:p>
            <w:pPr>
              <w:pStyle w:val="TableText"/>
              <w:ind w:left="216"/>
              <w:spacing w:before="25" w:line="222" w:lineRule="exact"/>
              <w:rPr/>
            </w:pPr>
            <w:r>
              <w:rPr>
                <w:color w:val="595959"/>
                <w:spacing w:val="-4"/>
                <w:position w:val="2"/>
              </w:rPr>
              <w:t>1.5</w:t>
            </w:r>
          </w:p>
          <w:p>
            <w:pPr>
              <w:pStyle w:val="TableText"/>
              <w:ind w:left="216"/>
              <w:spacing w:before="27" w:line="221" w:lineRule="exact"/>
              <w:rPr/>
            </w:pPr>
            <w:r>
              <w:rPr>
                <w:color w:val="595959"/>
                <w:spacing w:val="-4"/>
                <w:position w:val="2"/>
              </w:rPr>
              <w:t>1.3</w:t>
            </w:r>
          </w:p>
          <w:p>
            <w:pPr>
              <w:pStyle w:val="TableText"/>
              <w:ind w:left="216"/>
              <w:spacing w:before="27" w:line="224" w:lineRule="exact"/>
              <w:rPr/>
            </w:pPr>
            <w:r>
              <w:rPr>
                <w:color w:val="595959"/>
                <w:spacing w:val="-4"/>
                <w:position w:val="2"/>
              </w:rPr>
              <w:t>1.1</w:t>
            </w:r>
          </w:p>
          <w:p>
            <w:pPr>
              <w:pStyle w:val="TableText"/>
              <w:ind w:left="211"/>
              <w:spacing w:before="25" w:line="222" w:lineRule="exact"/>
              <w:rPr/>
            </w:pPr>
            <w:r>
              <w:rPr>
                <w:color w:val="595959"/>
                <w:spacing w:val="-3"/>
                <w:position w:val="2"/>
              </w:rPr>
              <w:t>0.9</w:t>
            </w:r>
          </w:p>
          <w:p>
            <w:pPr>
              <w:pStyle w:val="TableText"/>
              <w:ind w:left="211"/>
              <w:spacing w:before="27" w:line="222" w:lineRule="exact"/>
              <w:rPr/>
            </w:pPr>
            <w:r>
              <w:rPr>
                <w:color w:val="595959"/>
                <w:spacing w:val="-3"/>
                <w:position w:val="2"/>
              </w:rPr>
              <w:t>0.7</w:t>
            </w:r>
          </w:p>
          <w:p>
            <w:pPr>
              <w:pStyle w:val="TableText"/>
              <w:ind w:left="211"/>
              <w:spacing w:before="27" w:line="222" w:lineRule="exact"/>
              <w:rPr/>
            </w:pPr>
            <w:r>
              <w:rPr>
                <w:color w:val="595959"/>
                <w:spacing w:val="-3"/>
                <w:position w:val="2"/>
              </w:rPr>
              <w:t>0.5</w:t>
            </w:r>
          </w:p>
        </w:tc>
        <w:tc>
          <w:tcPr>
            <w:tcW w:w="6233" w:type="dxa"/>
            <w:vAlign w:val="top"/>
            <w:gridSpan w:val="6"/>
            <w:tcBorders>
              <w:bottom w:val="single" w:color="D9D9D9" w:sz="4" w:space="0"/>
              <w:right w:val="single" w:color="D9D9D9" w:sz="4" w:space="0"/>
            </w:tcBorders>
          </w:tcPr>
          <w:p>
            <w:pPr>
              <w:spacing w:line="117" w:lineRule="exact"/>
              <w:rPr>
                <w:rFonts w:ascii="Arial"/>
                <w:sz w:val="10"/>
              </w:rPr>
            </w:pPr>
            <w:r/>
          </w:p>
        </w:tc>
      </w:tr>
      <w:tr>
        <w:trPr>
          <w:trHeight w:val="1775" w:hRule="atLeast"/>
        </w:trPr>
        <w:tc>
          <w:tcPr>
            <w:tcW w:w="448" w:type="dxa"/>
            <w:vAlign w:val="top"/>
            <w:vMerge w:val="continue"/>
            <w:tcBorders>
              <w:left w:val="single" w:color="D9D9D9" w:sz="4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33" w:type="dxa"/>
            <w:vAlign w:val="top"/>
            <w:gridSpan w:val="6"/>
            <w:tcBorders>
              <w:right w:val="single" w:color="D9D9D9" w:sz="4" w:space="0"/>
              <w:top w:val="single" w:color="D9D9D9" w:sz="4" w:space="0"/>
            </w:tcBorders>
          </w:tcPr>
          <w:p>
            <w:pPr>
              <w:ind w:firstLine="91"/>
              <w:spacing w:before="233" w:line="1260" w:lineRule="exact"/>
              <w:rPr/>
            </w:pPr>
            <w:r>
              <w:pict>
                <v:shape id="_x0000_s4" style="position:absolute;margin-left:-306.81pt;margin-top:86.34pt;mso-position-vertical-relative:top-margin-area;mso-position-horizontal-relative:right-margin-area;width:297.5pt;height:0.75pt;z-index:251665408;" filled="false" strokecolor="#D9D9D9" strokeweight="0.72pt" coordsize="5950,15" coordorigin="0,0" path="m0,7l5949,7e">
                  <v:stroke miterlimit="10"/>
                </v:shape>
              </w:pict>
            </w:r>
            <w:r>
              <w:drawing>
                <wp:anchor distT="0" distB="0" distL="0" distR="0" simplePos="0" relativeHeight="251664384" behindDoc="0" locked="0" layoutInCell="1" allowOverlap="1">
                  <wp:simplePos x="0" y="0"/>
                  <wp:positionH relativeFrom="rightMargin">
                    <wp:posOffset>-3766946</wp:posOffset>
                  </wp:positionH>
                  <wp:positionV relativeFrom="topMargin">
                    <wp:posOffset>69341</wp:posOffset>
                  </wp:positionV>
                  <wp:extent cx="3518916" cy="1031748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18916" cy="1031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5"/>
              </w:rPr>
              <w:pict>
                <v:shape id="_x0000_s6" style="mso-position-vertical-relative:line;mso-position-horizontal-relative:char;width:297.5pt;height:63pt;" filled="false" strokecolor="#D9D9D9" strokeweight="0.72pt" coordsize="5950,1260" coordorigin="0,0" path="m0,1252l5949,1252m0,1003l5949,1003m0,753l5949,753m0,503l5949,503m0,256l5949,256m0,7l5949,7e">
                  <v:stroke miterlimit="10"/>
                </v:shape>
              </w:pict>
            </w:r>
          </w:p>
        </w:tc>
      </w:tr>
      <w:tr>
        <w:trPr>
          <w:trHeight w:val="676" w:hRule="atLeast"/>
        </w:trPr>
        <w:tc>
          <w:tcPr>
            <w:tcW w:w="448" w:type="dxa"/>
            <w:vAlign w:val="top"/>
            <w:vMerge w:val="continue"/>
            <w:tcBorders>
              <w:left w:val="single" w:color="D9D9D9" w:sz="4" w:space="0"/>
              <w:bottom w:val="single" w:color="D9D9D9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cBorders>
              <w:bottom w:val="single" w:color="D9D9D9" w:sz="4" w:space="0"/>
            </w:tcBorders>
          </w:tcPr>
          <w:p>
            <w:pPr>
              <w:ind w:firstLine="27"/>
              <w:spacing w:before="49" w:line="391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45236" cy="248157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5236" cy="248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" w:type="dxa"/>
            <w:vAlign w:val="top"/>
            <w:tcBorders>
              <w:bottom w:val="single" w:color="D9D9D9" w:sz="4" w:space="0"/>
            </w:tcBorders>
          </w:tcPr>
          <w:p>
            <w:pPr>
              <w:ind w:firstLine="60"/>
              <w:spacing w:before="54" w:line="473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294766" cy="300482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4766" cy="300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" w:type="dxa"/>
            <w:vAlign w:val="top"/>
            <w:tcBorders>
              <w:bottom w:val="single" w:color="D9D9D9" w:sz="4" w:space="0"/>
            </w:tcBorders>
          </w:tcPr>
          <w:p>
            <w:pPr>
              <w:ind w:firstLine="100"/>
              <w:spacing w:before="64" w:line="374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42316" cy="237109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2316" cy="237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" w:type="dxa"/>
            <w:vAlign w:val="top"/>
            <w:tcBorders>
              <w:bottom w:val="single" w:color="D9D9D9" w:sz="4" w:space="0"/>
            </w:tcBorders>
          </w:tcPr>
          <w:p>
            <w:pPr>
              <w:ind w:firstLine="116"/>
              <w:spacing w:before="52" w:line="381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38886" cy="242315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8886" cy="2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9" w:type="dxa"/>
            <w:vAlign w:val="top"/>
            <w:tcBorders>
              <w:bottom w:val="single" w:color="D9D9D9" w:sz="4" w:space="0"/>
            </w:tcBorders>
          </w:tcPr>
          <w:p>
            <w:pPr>
              <w:ind w:firstLine="89"/>
              <w:spacing w:before="48" w:line="57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390395" cy="361822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0395" cy="361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  <w:vAlign w:val="top"/>
            <w:tcBorders>
              <w:bottom w:val="single" w:color="D9D9D9" w:sz="4" w:space="0"/>
              <w:right w:val="single" w:color="D9D9D9" w:sz="4" w:space="0"/>
            </w:tcBorders>
          </w:tcPr>
          <w:p>
            <w:pPr>
              <w:ind w:firstLine="65"/>
              <w:spacing w:before="48" w:line="555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682625" cy="352551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82625" cy="352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3217"/>
        <w:spacing w:before="300" w:line="221" w:lineRule="auto"/>
        <w:outlineLvl w:val="3"/>
        <w:rPr>
          <w:rFonts w:ascii="DengXian" w:hAnsi="DengXian" w:eastAsia="DengXian" w:cs="DengXian"/>
          <w:sz w:val="19"/>
          <w:szCs w:val="19"/>
        </w:rPr>
      </w:pPr>
      <w:r>
        <w:rPr>
          <w:rFonts w:ascii="DengXian" w:hAnsi="DengXian" w:eastAsia="DengXian" w:cs="DengXian"/>
          <w:sz w:val="19"/>
          <w:szCs w:val="19"/>
          <w:b/>
          <w:bCs/>
          <w:color w:val="595959"/>
          <w:spacing w:val="8"/>
        </w:rPr>
        <w:t>多要素能力场景</w:t>
      </w:r>
      <w:r>
        <w:rPr>
          <w:rFonts w:ascii="DengXian" w:hAnsi="DengXian" w:eastAsia="DengXian" w:cs="DengXian"/>
          <w:sz w:val="19"/>
          <w:szCs w:val="19"/>
          <w:b/>
          <w:bCs/>
          <w:color w:val="595959"/>
        </w:rPr>
        <w:t>top</w:t>
      </w:r>
      <w:r>
        <w:rPr>
          <w:rFonts w:ascii="DengXian" w:hAnsi="DengXian" w:eastAsia="DengXian" w:cs="DengXian"/>
          <w:sz w:val="19"/>
          <w:szCs w:val="19"/>
          <w:b/>
          <w:bCs/>
          <w:color w:val="595959"/>
          <w:spacing w:val="8"/>
        </w:rPr>
        <w:t>10</w:t>
      </w:r>
    </w:p>
    <w:p>
      <w:pPr>
        <w:ind w:left="1051"/>
        <w:spacing w:before="45" w:line="222" w:lineRule="exact"/>
        <w:rPr>
          <w:rFonts w:ascii="DengXian" w:hAnsi="DengXian" w:eastAsia="DengXian" w:cs="DengXian"/>
          <w:sz w:val="16"/>
          <w:szCs w:val="16"/>
        </w:rPr>
      </w:pPr>
      <w:r>
        <w:rPr>
          <w:rFonts w:ascii="DengXian" w:hAnsi="DengXian" w:eastAsia="DengXian" w:cs="DengXian"/>
          <w:sz w:val="16"/>
          <w:szCs w:val="16"/>
          <w:color w:val="595959"/>
          <w:spacing w:val="-3"/>
          <w:position w:val="2"/>
        </w:rPr>
        <w:t>2.5</w:t>
      </w:r>
    </w:p>
    <w:p>
      <w:pPr>
        <w:ind w:left="1051"/>
        <w:spacing w:before="138" w:line="224" w:lineRule="exact"/>
        <w:rPr>
          <w:rFonts w:ascii="DengXian" w:hAnsi="DengXian" w:eastAsia="DengXian" w:cs="DengXian"/>
          <w:sz w:val="16"/>
          <w:szCs w:val="16"/>
        </w:rPr>
      </w:pPr>
      <w:r>
        <w:rPr>
          <w:rFonts w:ascii="DengXian" w:hAnsi="DengXian" w:eastAsia="DengXian" w:cs="DengXian"/>
          <w:sz w:val="16"/>
          <w:szCs w:val="16"/>
          <w:color w:val="595959"/>
          <w:spacing w:val="-3"/>
          <w:position w:val="2"/>
        </w:rPr>
        <w:t>2.1</w:t>
      </w:r>
    </w:p>
    <w:p>
      <w:pPr>
        <w:ind w:left="1055"/>
        <w:spacing w:before="137" w:line="223" w:lineRule="exact"/>
        <w:rPr>
          <w:rFonts w:ascii="DengXian" w:hAnsi="DengXian" w:eastAsia="DengXian" w:cs="DengXian"/>
          <w:sz w:val="16"/>
          <w:szCs w:val="16"/>
        </w:rPr>
      </w:pPr>
      <w:r>
        <w:rPr>
          <w:rFonts w:ascii="DengXian" w:hAnsi="DengXian" w:eastAsia="DengXian" w:cs="DengXian"/>
          <w:sz w:val="16"/>
          <w:szCs w:val="16"/>
          <w:color w:val="595959"/>
          <w:spacing w:val="-4"/>
          <w:position w:val="2"/>
        </w:rPr>
        <w:t>1.7</w:t>
      </w:r>
    </w:p>
    <w:p>
      <w:pPr>
        <w:ind w:left="1055"/>
        <w:spacing w:before="137" w:line="222" w:lineRule="exact"/>
        <w:rPr>
          <w:rFonts w:ascii="DengXian" w:hAnsi="DengXian" w:eastAsia="DengXian" w:cs="DengXian"/>
          <w:sz w:val="16"/>
          <w:szCs w:val="16"/>
        </w:rPr>
      </w:pPr>
      <w:r>
        <w:rPr>
          <w:rFonts w:ascii="DengXian" w:hAnsi="DengXian" w:eastAsia="DengXian" w:cs="DengXian"/>
          <w:sz w:val="16"/>
          <w:szCs w:val="16"/>
          <w:color w:val="595959"/>
          <w:spacing w:val="-4"/>
          <w:position w:val="2"/>
        </w:rPr>
        <w:t>1.3</w:t>
      </w:r>
    </w:p>
    <w:p>
      <w:pPr>
        <w:ind w:left="1050"/>
        <w:spacing w:before="138" w:line="222" w:lineRule="exact"/>
        <w:rPr>
          <w:rFonts w:ascii="DengXian" w:hAnsi="DengXian" w:eastAsia="DengXian" w:cs="DengXian"/>
          <w:sz w:val="16"/>
          <w:szCs w:val="16"/>
        </w:rPr>
      </w:pPr>
      <w:r>
        <w:rPr>
          <w:rFonts w:ascii="DengXian" w:hAnsi="DengXian" w:eastAsia="DengXian" w:cs="DengXian"/>
          <w:sz w:val="16"/>
          <w:szCs w:val="16"/>
          <w:color w:val="595959"/>
          <w:spacing w:val="-3"/>
          <w:position w:val="2"/>
        </w:rPr>
        <w:t>0.9</w:t>
      </w:r>
    </w:p>
    <w:p>
      <w:pPr>
        <w:ind w:left="1050"/>
        <w:spacing w:before="139" w:line="222" w:lineRule="exact"/>
        <w:rPr>
          <w:rFonts w:ascii="DengXian" w:hAnsi="DengXian" w:eastAsia="DengXian" w:cs="DengXian"/>
          <w:sz w:val="16"/>
          <w:szCs w:val="16"/>
        </w:rPr>
      </w:pPr>
      <w:r>
        <w:rPr>
          <w:rFonts w:ascii="DengXian" w:hAnsi="DengXian" w:eastAsia="DengXian" w:cs="DengXian"/>
          <w:sz w:val="16"/>
          <w:szCs w:val="16"/>
          <w:color w:val="595959"/>
          <w:spacing w:val="-3"/>
          <w:position w:val="2"/>
        </w:rPr>
        <w:t>0.5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1701"/>
        <w:spacing w:before="98" w:line="216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6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各场景云、网、多要素能力需求</w:t>
      </w:r>
    </w:p>
    <w:p>
      <w:pPr>
        <w:spacing w:line="216" w:lineRule="auto"/>
        <w:sectPr>
          <w:headerReference w:type="default" r:id="rId9"/>
          <w:pgSz w:w="11907" w:h="16839"/>
          <w:pgMar w:top="1201" w:right="1697" w:bottom="0" w:left="1785" w:header="831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621"/>
        <w:spacing w:before="31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．场景云网融合技术需求分析</w:t>
      </w:r>
    </w:p>
    <w:p>
      <w:pPr>
        <w:ind w:left="26" w:right="107" w:firstLine="598"/>
        <w:spacing w:before="322" w:line="25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在各场景中，云网融合需求最高的场景为供应链协同</w:t>
      </w:r>
      <w:r>
        <w:rPr>
          <w:rFonts w:ascii="SimSun" w:hAnsi="SimSun" w:eastAsia="SimSun" w:cs="SimSun"/>
          <w:sz w:val="30"/>
          <w:szCs w:val="30"/>
          <w:spacing w:val="-5"/>
        </w:rPr>
        <w:t>、协同</w:t>
      </w:r>
      <w:r>
        <w:rPr>
          <w:rFonts w:ascii="SimSun" w:hAnsi="SimSun" w:eastAsia="SimSun" w:cs="SimSun"/>
          <w:sz w:val="30"/>
          <w:szCs w:val="30"/>
          <w:spacing w:val="-4"/>
        </w:rPr>
        <w:t>研发设计、园区直播、人员管理、招商管理、产业链协作、数字</w:t>
      </w:r>
      <w:r>
        <w:rPr>
          <w:rFonts w:ascii="SimSun" w:hAnsi="SimSun" w:eastAsia="SimSun" w:cs="SimSun"/>
          <w:sz w:val="30"/>
          <w:szCs w:val="30"/>
          <w:spacing w:val="-9"/>
        </w:rPr>
        <w:t>营销、园区物流、政务服务及在线培训； 出现次数最多的场景则</w:t>
      </w:r>
      <w:r>
        <w:rPr>
          <w:rFonts w:ascii="SimSun" w:hAnsi="SimSun" w:eastAsia="SimSun" w:cs="SimSun"/>
          <w:sz w:val="30"/>
          <w:szCs w:val="30"/>
          <w:spacing w:val="-4"/>
        </w:rPr>
        <w:t>为安全防护、质量监控预警、安全生产监管、事务管理、仓储物</w:t>
      </w:r>
      <w:r>
        <w:rPr>
          <w:rFonts w:ascii="SimSun" w:hAnsi="SimSun" w:eastAsia="SimSun" w:cs="SimSun"/>
          <w:sz w:val="30"/>
          <w:szCs w:val="30"/>
          <w:spacing w:val="-4"/>
        </w:rPr>
        <w:t>流、应急准备、环境质量监测、卡口出入、能效分析与优化及政</w:t>
      </w:r>
      <w:r>
        <w:rPr>
          <w:rFonts w:ascii="SimSun" w:hAnsi="SimSun" w:eastAsia="SimSun" w:cs="SimSun"/>
          <w:sz w:val="30"/>
          <w:szCs w:val="30"/>
          <w:spacing w:val="-11"/>
        </w:rPr>
        <w:t>务服务。</w:t>
      </w:r>
    </w:p>
    <w:p>
      <w:pPr>
        <w:ind w:firstLine="590"/>
        <w:spacing w:line="5560" w:lineRule="exact"/>
        <w:rPr/>
      </w:pPr>
      <w:r>
        <w:rPr>
          <w:position w:val="-111"/>
        </w:rPr>
        <w:drawing>
          <wp:inline distT="0" distB="0" distL="0" distR="0">
            <wp:extent cx="4543044" cy="353110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3044" cy="353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88"/>
        <w:spacing w:before="67" w:line="232" w:lineRule="auto"/>
        <w:outlineLvl w:val="3"/>
        <w:rPr>
          <w:rFonts w:ascii="KaiTi" w:hAnsi="KaiTi" w:eastAsia="KaiTi" w:cs="KaiTi"/>
          <w:sz w:val="15"/>
          <w:szCs w:val="15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4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7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云、网、多要素技术-应用场景分布散点图</w:t>
      </w:r>
      <w:r>
        <w:rPr>
          <w:rFonts w:ascii="KaiTi" w:hAnsi="KaiTi" w:eastAsia="KaiTi" w:cs="KaiTi"/>
          <w:sz w:val="15"/>
          <w:szCs w:val="15"/>
          <w:spacing w:val="-3"/>
          <w:position w:val="14"/>
        </w:rPr>
        <w:t>2</w:t>
      </w:r>
    </w:p>
    <w:p>
      <w:pPr>
        <w:rPr>
          <w:rFonts w:ascii="Arial"/>
          <w:sz w:val="21"/>
        </w:rPr>
      </w:pPr>
      <w:r/>
    </w:p>
    <w:p>
      <w:pPr>
        <w:ind w:left="26" w:firstLine="603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从场景出发，建设园区信息基础设施，以点</w:t>
      </w:r>
      <w:r>
        <w:rPr>
          <w:rFonts w:ascii="SimSun" w:hAnsi="SimSun" w:eastAsia="SimSun" w:cs="SimSun"/>
          <w:sz w:val="30"/>
          <w:szCs w:val="30"/>
          <w:spacing w:val="-16"/>
        </w:rPr>
        <w:t>带面、逐步拓展，</w:t>
      </w:r>
      <w:r>
        <w:rPr>
          <w:rFonts w:ascii="SimSun" w:hAnsi="SimSun" w:eastAsia="SimSun" w:cs="SimSun"/>
          <w:sz w:val="30"/>
          <w:szCs w:val="30"/>
          <w:spacing w:val="-4"/>
        </w:rPr>
        <w:t>是实现园区数字化转型升级的基本路径。分析不同场景对云网融</w:t>
      </w:r>
      <w:r>
        <w:rPr>
          <w:rFonts w:ascii="SimSun" w:hAnsi="SimSun" w:eastAsia="SimSun" w:cs="SimSun"/>
          <w:sz w:val="30"/>
          <w:szCs w:val="30"/>
          <w:spacing w:val="-7"/>
        </w:rPr>
        <w:t>合需求差异的分布特征可知（图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8</w:t>
      </w:r>
      <w:r>
        <w:rPr>
          <w:rFonts w:ascii="SimSun" w:hAnsi="SimSun" w:eastAsia="SimSun" w:cs="SimSun"/>
          <w:sz w:val="30"/>
          <w:szCs w:val="30"/>
          <w:spacing w:val="-74"/>
          <w:w w:val="93"/>
        </w:rPr>
        <w:t>），</w:t>
      </w:r>
      <w:r>
        <w:rPr>
          <w:rFonts w:ascii="SimSun" w:hAnsi="SimSun" w:eastAsia="SimSun" w:cs="SimSun"/>
          <w:sz w:val="30"/>
          <w:szCs w:val="30"/>
          <w:spacing w:val="-7"/>
        </w:rPr>
        <w:t>当前产业园区数字化场景仍</w:t>
      </w:r>
      <w:r>
        <w:rPr>
          <w:rFonts w:ascii="SimSun" w:hAnsi="SimSun" w:eastAsia="SimSun" w:cs="SimSun"/>
          <w:sz w:val="30"/>
          <w:szCs w:val="30"/>
          <w:spacing w:val="-5"/>
        </w:rPr>
        <w:t>主要集中在能效级（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L1~L3</w:t>
      </w:r>
      <w:r>
        <w:rPr>
          <w:rFonts w:ascii="SimSun" w:hAnsi="SimSun" w:eastAsia="SimSun" w:cs="SimSun"/>
          <w:sz w:val="30"/>
          <w:szCs w:val="30"/>
          <w:spacing w:val="-73"/>
          <w:w w:val="92"/>
        </w:rPr>
        <w:t>），</w:t>
      </w:r>
      <w:r>
        <w:rPr>
          <w:rFonts w:ascii="SimSun" w:hAnsi="SimSun" w:eastAsia="SimSun" w:cs="SimSun"/>
          <w:sz w:val="30"/>
          <w:szCs w:val="30"/>
          <w:spacing w:val="-5"/>
        </w:rPr>
        <w:t>关注特定场景的数字化、智能化升</w:t>
      </w:r>
      <w:r>
        <w:rPr>
          <w:rFonts w:ascii="SimSun" w:hAnsi="SimSun" w:eastAsia="SimSun" w:cs="SimSun"/>
          <w:sz w:val="30"/>
          <w:szCs w:val="30"/>
          <w:spacing w:val="-4"/>
        </w:rPr>
        <w:t>级，云网融合需求在较低的水平；而推动业务模式创新与开放生</w:t>
      </w:r>
      <w:r>
        <w:rPr>
          <w:rFonts w:ascii="SimSun" w:hAnsi="SimSun" w:eastAsia="SimSun" w:cs="SimSun"/>
          <w:sz w:val="30"/>
          <w:szCs w:val="30"/>
          <w:spacing w:val="-1"/>
        </w:rPr>
        <w:t>态体系建设（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L4~L5</w:t>
      </w:r>
      <w:r>
        <w:rPr>
          <w:rFonts w:ascii="SimSun" w:hAnsi="SimSun" w:eastAsia="SimSun" w:cs="SimSun"/>
          <w:sz w:val="30"/>
          <w:szCs w:val="30"/>
          <w:spacing w:val="-1"/>
        </w:rPr>
        <w:t>）将是下阶段重点产业园区数字</w:t>
      </w:r>
      <w:r>
        <w:rPr>
          <w:rFonts w:ascii="SimSun" w:hAnsi="SimSun" w:eastAsia="SimSun" w:cs="SimSun"/>
          <w:sz w:val="30"/>
          <w:szCs w:val="30"/>
          <w:spacing w:val="-2"/>
        </w:rPr>
        <w:t>化转型升级</w:t>
      </w:r>
      <w:r>
        <w:rPr>
          <w:rFonts w:ascii="SimSun" w:hAnsi="SimSun" w:eastAsia="SimSun" w:cs="SimSun"/>
          <w:sz w:val="30"/>
          <w:szCs w:val="30"/>
        </w:rPr>
        <w:t>的基本方向，相关场景目前数量少，但云网融合需求水平较高。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shape id="_x0000_s8" style="position:absolute;margin-left:0.72599pt;margin-top:9.49275pt;mso-position-vertical-relative:text;mso-position-horizontal-relative:text;width:144.05pt;height:0.5pt;z-index:251666432;" fillcolor="#000000" filled="true" stroked="false" coordsize="2881,10" coordorigin="0,0" path="m0,9l2880,9l2880,0l0,0l0,9xe"/>
        </w:pict>
      </w:r>
      <w:r/>
    </w:p>
    <w:p>
      <w:pPr>
        <w:ind w:left="25" w:right="116" w:firstLine="354"/>
        <w:spacing w:before="72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4"/>
          <w:position w:val="10"/>
        </w:rPr>
        <w:t>2</w:t>
      </w:r>
      <w:r>
        <w:rPr>
          <w:rFonts w:ascii="DengXian" w:hAnsi="DengXian" w:eastAsia="DengXian" w:cs="DengXian"/>
          <w:sz w:val="11"/>
          <w:szCs w:val="11"/>
          <w:spacing w:val="10"/>
          <w:w w:val="101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4"/>
        </w:rPr>
        <w:t>基于各场景对云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</w:rPr>
        <w:t>、</w:t>
      </w:r>
      <w:r>
        <w:rPr>
          <w:rFonts w:ascii="DengXian" w:hAnsi="DengXian" w:eastAsia="DengXian" w:cs="DengXian"/>
          <w:sz w:val="21"/>
          <w:szCs w:val="21"/>
          <w:spacing w:val="-35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</w:rPr>
        <w:t>网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</w:rPr>
        <w:t>、多要素能力的需求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</w:rPr>
        <w:t>，绘制三维散点图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</w:rPr>
        <w:t>，其中点代表产业园区数</w:t>
      </w:r>
      <w:r>
        <w:rPr>
          <w:rFonts w:ascii="DengXian" w:hAnsi="DengXian" w:eastAsia="DengXian" w:cs="DengXian"/>
          <w:sz w:val="21"/>
          <w:szCs w:val="21"/>
          <w:spacing w:val="-2"/>
        </w:rPr>
        <w:t>字化转型应用场景</w:t>
      </w:r>
      <w:r>
        <w:rPr>
          <w:rFonts w:ascii="DengXian" w:hAnsi="DengXian" w:eastAsia="DengXian" w:cs="DengXian"/>
          <w:sz w:val="21"/>
          <w:szCs w:val="21"/>
          <w:spacing w:val="-13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，点的颜色表示其云网融合需求指数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，点的大小表示场景在园区数字化</w:t>
      </w:r>
      <w:r>
        <w:rPr>
          <w:rFonts w:ascii="DengXian" w:hAnsi="DengXian" w:eastAsia="DengXian" w:cs="DengXian"/>
          <w:sz w:val="21"/>
          <w:szCs w:val="21"/>
          <w:spacing w:val="-1"/>
        </w:rPr>
        <w:t>转型项目中出现的次数。</w:t>
      </w:r>
    </w:p>
    <w:p>
      <w:pPr>
        <w:spacing w:line="243" w:lineRule="auto"/>
        <w:sectPr>
          <w:headerReference w:type="default" r:id="rId22"/>
          <w:pgSz w:w="11907" w:h="16839"/>
          <w:pgMar w:top="1201" w:right="1691" w:bottom="0" w:left="1785" w:header="831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380" w:lineRule="auto"/>
        <w:rPr>
          <w:rFonts w:ascii="Arial"/>
          <w:sz w:val="21"/>
        </w:rPr>
      </w:pPr>
      <w:r/>
    </w:p>
    <w:p>
      <w:pPr>
        <w:ind w:firstLine="274"/>
        <w:spacing w:line="5016" w:lineRule="exact"/>
        <w:rPr/>
      </w:pPr>
      <w:r>
        <w:rPr>
          <w:position w:val="-100"/>
        </w:rPr>
        <w:drawing>
          <wp:inline distT="0" distB="0" distL="0" distR="0">
            <wp:extent cx="5005463" cy="3185159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5463" cy="31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01"/>
        <w:spacing w:before="206" w:line="215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图</w:t>
      </w:r>
      <w:r>
        <w:rPr>
          <w:rFonts w:ascii="KaiTi" w:hAnsi="KaiTi" w:eastAsia="KaiTi" w:cs="KaiTi"/>
          <w:sz w:val="30"/>
          <w:szCs w:val="30"/>
          <w:spacing w:val="-6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8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当前阶段产业园区数字化主要应用场景</w:t>
      </w:r>
      <w:r>
        <w:rPr>
          <w:rFonts w:ascii="KaiTi" w:hAnsi="KaiTi" w:eastAsia="KaiTi" w:cs="KaiTi"/>
          <w:sz w:val="30"/>
          <w:szCs w:val="30"/>
          <w:spacing w:val="-3"/>
        </w:rPr>
        <w:t>及云网需求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三、产业园区数字化云网融合需求总结及相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关建议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26" w:firstLine="599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基于上述云网融合需求量化分析，产业园区数字化转</w:t>
      </w:r>
      <w:r>
        <w:rPr>
          <w:rFonts w:ascii="SimSun" w:hAnsi="SimSun" w:eastAsia="SimSun" w:cs="SimSun"/>
          <w:sz w:val="30"/>
          <w:szCs w:val="30"/>
          <w:spacing w:val="-5"/>
        </w:rPr>
        <w:t>型向网</w:t>
      </w:r>
      <w:r>
        <w:rPr>
          <w:rFonts w:ascii="SimSun" w:hAnsi="SimSun" w:eastAsia="SimSun" w:cs="SimSun"/>
          <w:sz w:val="30"/>
          <w:szCs w:val="30"/>
          <w:spacing w:val="-1"/>
        </w:rPr>
        <w:t>络级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/</w:t>
      </w:r>
      <w:r>
        <w:rPr>
          <w:rFonts w:ascii="SimSun" w:hAnsi="SimSun" w:eastAsia="SimSun" w:cs="SimSun"/>
          <w:sz w:val="30"/>
          <w:szCs w:val="30"/>
          <w:spacing w:val="-1"/>
        </w:rPr>
        <w:t>生态级（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L4~L5</w:t>
      </w:r>
      <w:r>
        <w:rPr>
          <w:rFonts w:ascii="SimSun" w:hAnsi="SimSun" w:eastAsia="SimSun" w:cs="SimSun"/>
          <w:sz w:val="30"/>
          <w:szCs w:val="30"/>
          <w:spacing w:val="-1"/>
        </w:rPr>
        <w:t>）阶段演进，供应链协同、协同研发设计、</w:t>
      </w:r>
      <w:r>
        <w:rPr>
          <w:rFonts w:ascii="SimSun" w:hAnsi="SimSun" w:eastAsia="SimSun" w:cs="SimSun"/>
          <w:sz w:val="30"/>
          <w:szCs w:val="30"/>
          <w:spacing w:val="-4"/>
        </w:rPr>
        <w:t>产业链协作、园区直播、政务服务等场景的落地对云网及多技术</w:t>
      </w:r>
      <w:r>
        <w:rPr>
          <w:rFonts w:ascii="SimSun" w:hAnsi="SimSun" w:eastAsia="SimSun" w:cs="SimSun"/>
          <w:sz w:val="30"/>
          <w:szCs w:val="30"/>
          <w:spacing w:val="-4"/>
        </w:rPr>
        <w:t>要素深度融合提出了更高的要求。</w:t>
      </w:r>
    </w:p>
    <w:p>
      <w:pPr>
        <w:ind w:left="636"/>
        <w:spacing w:before="281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5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．需求总结</w:t>
      </w:r>
    </w:p>
    <w:p>
      <w:pPr>
        <w:ind w:left="28" w:right="106" w:firstLine="598"/>
        <w:spacing w:before="319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作为实现全面智能互联基础的云网融合应包含多元网络技</w:t>
      </w:r>
      <w:r>
        <w:rPr>
          <w:rFonts w:ascii="SimSun" w:hAnsi="SimSun" w:eastAsia="SimSun" w:cs="SimSun"/>
          <w:sz w:val="30"/>
          <w:szCs w:val="30"/>
          <w:spacing w:val="-4"/>
        </w:rPr>
        <w:t>术的综合性应用。数字化转型升级形成新的更高层次智能连接需</w:t>
      </w:r>
      <w:r>
        <w:rPr>
          <w:rFonts w:ascii="SimSun" w:hAnsi="SimSun" w:eastAsia="SimSun" w:cs="SimSun"/>
          <w:sz w:val="30"/>
          <w:szCs w:val="30"/>
          <w:spacing w:val="-9"/>
        </w:rPr>
        <w:t>求，转型主体内部网络升级、跨地域互联、多云跨云连接等， 要</w:t>
      </w:r>
      <w:r>
        <w:rPr>
          <w:rFonts w:ascii="SimSun" w:hAnsi="SimSun" w:eastAsia="SimSun" w:cs="SimSun"/>
          <w:sz w:val="30"/>
          <w:szCs w:val="30"/>
          <w:spacing w:val="-11"/>
        </w:rPr>
        <w:t>求多元网络技术的融合应用，包括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5G</w:t>
      </w:r>
      <w:r>
        <w:rPr>
          <w:rFonts w:ascii="SimSun" w:hAnsi="SimSun" w:eastAsia="SimSun" w:cs="SimSun"/>
          <w:sz w:val="30"/>
          <w:szCs w:val="30"/>
          <w:spacing w:val="-11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wifi6</w:t>
      </w:r>
      <w:r>
        <w:rPr>
          <w:rFonts w:ascii="SimSun" w:hAnsi="SimSun" w:eastAsia="SimSun" w:cs="SimSun"/>
          <w:sz w:val="30"/>
          <w:szCs w:val="30"/>
          <w:spacing w:val="-11"/>
        </w:rPr>
        <w:t>、工业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PON</w:t>
      </w:r>
      <w:r>
        <w:rPr>
          <w:rFonts w:ascii="SimSun" w:hAnsi="SimSun" w:eastAsia="SimSun" w:cs="SimSun"/>
          <w:sz w:val="30"/>
          <w:szCs w:val="30"/>
          <w:spacing w:val="-11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TSN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、</w:t>
      </w:r>
      <w:r>
        <w:rPr>
          <w:rFonts w:ascii="SimSun" w:hAnsi="SimSun" w:eastAsia="SimSun" w:cs="SimSun"/>
          <w:sz w:val="30"/>
          <w:szCs w:val="30"/>
          <w:spacing w:val="-4"/>
        </w:rPr>
        <w:t>可编程网络等，云网融合需满足数字化转型主体网络智能化演进</w:t>
      </w:r>
      <w:r>
        <w:rPr>
          <w:rFonts w:ascii="SimSun" w:hAnsi="SimSun" w:eastAsia="SimSun" w:cs="SimSun"/>
          <w:sz w:val="30"/>
          <w:szCs w:val="30"/>
          <w:spacing w:val="-13"/>
        </w:rPr>
        <w:t>需求。</w:t>
      </w:r>
    </w:p>
    <w:p>
      <w:pPr>
        <w:ind w:left="31" w:right="106" w:firstLine="603"/>
        <w:spacing w:before="274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云网融合需使能产业园区及制造业数字化转型得以实现的</w:t>
      </w:r>
      <w:r>
        <w:rPr>
          <w:rFonts w:ascii="SimSun" w:hAnsi="SimSun" w:eastAsia="SimSun" w:cs="SimSun"/>
          <w:sz w:val="30"/>
          <w:szCs w:val="30"/>
          <w:spacing w:val="-4"/>
        </w:rPr>
        <w:t>关键性能力平台。数字化平台是推动产业园区及制造业数字化转</w:t>
      </w:r>
      <w:r>
        <w:rPr>
          <w:rFonts w:ascii="SimSun" w:hAnsi="SimSun" w:eastAsia="SimSun" w:cs="SimSun"/>
          <w:sz w:val="30"/>
          <w:szCs w:val="30"/>
          <w:spacing w:val="-4"/>
        </w:rPr>
        <w:t>型升级的关键，云网融合一方面需要推动自身云网平台能力建设</w:t>
      </w:r>
    </w:p>
    <w:p>
      <w:pPr>
        <w:spacing w:line="261" w:lineRule="auto"/>
        <w:sectPr>
          <w:headerReference w:type="default" r:id="rId24"/>
          <w:pgSz w:w="11907" w:h="16839"/>
          <w:pgMar w:top="1201" w:right="1693" w:bottom="0" w:left="1785" w:header="831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1" w:right="258" w:firstLine="1"/>
        <w:spacing w:before="316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与升级，另一方面需要形成与通用能力平台、工业互联网</w:t>
      </w:r>
      <w:r>
        <w:rPr>
          <w:rFonts w:ascii="SimSun" w:hAnsi="SimSun" w:eastAsia="SimSun" w:cs="SimSun"/>
          <w:sz w:val="30"/>
          <w:szCs w:val="30"/>
          <w:spacing w:val="-5"/>
        </w:rPr>
        <w:t>平台及</w:t>
      </w:r>
      <w:r>
        <w:rPr>
          <w:rFonts w:ascii="SimSun" w:hAnsi="SimSun" w:eastAsia="SimSun" w:cs="SimSun"/>
          <w:sz w:val="30"/>
          <w:szCs w:val="30"/>
          <w:spacing w:val="-4"/>
        </w:rPr>
        <w:t>行业应用平台的赋能，推动各类型平台及软件的云化，构建</w:t>
      </w:r>
      <w:r>
        <w:rPr>
          <w:rFonts w:ascii="SimSun" w:hAnsi="SimSun" w:eastAsia="SimSun" w:cs="SimSun"/>
          <w:sz w:val="30"/>
          <w:szCs w:val="30"/>
          <w:spacing w:val="-5"/>
        </w:rPr>
        <w:t>以云</w:t>
      </w:r>
      <w:r>
        <w:rPr>
          <w:rFonts w:ascii="SimSun" w:hAnsi="SimSun" w:eastAsia="SimSun" w:cs="SimSun"/>
          <w:sz w:val="30"/>
          <w:szCs w:val="30"/>
          <w:spacing w:val="-4"/>
        </w:rPr>
        <w:t>网为基础、平台为核心的数字能力生态。</w:t>
      </w:r>
    </w:p>
    <w:p>
      <w:pPr>
        <w:ind w:left="26" w:right="256" w:firstLine="608"/>
        <w:spacing w:before="27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云网融合需要满足转型主体灵活、敏捷、高效构建其数字化</w:t>
      </w:r>
      <w:r>
        <w:rPr>
          <w:rFonts w:ascii="SimSun" w:hAnsi="SimSun" w:eastAsia="SimSun" w:cs="SimSun"/>
          <w:sz w:val="30"/>
          <w:szCs w:val="30"/>
          <w:spacing w:val="-4"/>
        </w:rPr>
        <w:t>应用基本需求。产业园区数字化应用创新能力与应用交付能力是</w:t>
      </w:r>
      <w:r>
        <w:rPr>
          <w:rFonts w:ascii="SimSun" w:hAnsi="SimSun" w:eastAsia="SimSun" w:cs="SimSun"/>
          <w:sz w:val="30"/>
          <w:szCs w:val="30"/>
          <w:spacing w:val="-4"/>
        </w:rPr>
        <w:t>实现转型的基本需求，云网融合需要满足低成本、快速、灵活的</w:t>
      </w:r>
      <w:r>
        <w:rPr>
          <w:rFonts w:ascii="SimSun" w:hAnsi="SimSun" w:eastAsia="SimSun" w:cs="SimSun"/>
          <w:sz w:val="30"/>
          <w:szCs w:val="30"/>
          <w:spacing w:val="-4"/>
        </w:rPr>
        <w:t>向企业提供通用化平台应用服务。</w:t>
      </w:r>
    </w:p>
    <w:p>
      <w:pPr>
        <w:ind w:left="26" w:right="23" w:firstLine="601"/>
        <w:spacing w:before="27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保障转型主体网络、平台、应用及数据全方位安全</w:t>
      </w:r>
      <w:r>
        <w:rPr>
          <w:rFonts w:ascii="SimSun" w:hAnsi="SimSun" w:eastAsia="SimSun" w:cs="SimSun"/>
          <w:sz w:val="30"/>
          <w:szCs w:val="30"/>
          <w:spacing w:val="-5"/>
        </w:rPr>
        <w:t>是云网融</w:t>
      </w:r>
      <w:r>
        <w:rPr>
          <w:rFonts w:ascii="SimSun" w:hAnsi="SimSun" w:eastAsia="SimSun" w:cs="SimSun"/>
          <w:sz w:val="30"/>
          <w:szCs w:val="30"/>
          <w:spacing w:val="1"/>
        </w:rPr>
        <w:t>合的内在前提。数字化时代系统安全风险和入侵威胁持续增加，</w:t>
      </w:r>
      <w:r>
        <w:rPr>
          <w:rFonts w:ascii="SimSun" w:hAnsi="SimSun" w:eastAsia="SimSun" w:cs="SimSun"/>
          <w:sz w:val="30"/>
          <w:szCs w:val="30"/>
          <w:spacing w:val="-4"/>
        </w:rPr>
        <w:t>数字化转型主体面临突出的安全问题，需要在网络安全、平台安</w:t>
      </w:r>
      <w:r>
        <w:rPr>
          <w:rFonts w:ascii="SimSun" w:hAnsi="SimSun" w:eastAsia="SimSun" w:cs="SimSun"/>
          <w:sz w:val="30"/>
          <w:szCs w:val="30"/>
          <w:spacing w:val="-6"/>
        </w:rPr>
        <w:t>全、应用安全与数据安全等四个层面构筑多维度立体式防御体系，</w:t>
      </w:r>
      <w:r>
        <w:rPr>
          <w:rFonts w:ascii="SimSun" w:hAnsi="SimSun" w:eastAsia="SimSun" w:cs="SimSun"/>
          <w:sz w:val="30"/>
          <w:szCs w:val="30"/>
          <w:spacing w:val="-3"/>
        </w:rPr>
        <w:t>全方位提升转型主体安全防护与保障能力。</w:t>
      </w:r>
    </w:p>
    <w:p>
      <w:pPr>
        <w:ind w:left="27" w:firstLine="602"/>
        <w:spacing w:before="26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构建与技术能力体系相匹配的组织体系与生态体系是云网</w:t>
      </w:r>
      <w:r>
        <w:rPr>
          <w:rFonts w:ascii="SimSun" w:hAnsi="SimSun" w:eastAsia="SimSun" w:cs="SimSun"/>
          <w:sz w:val="30"/>
          <w:szCs w:val="30"/>
          <w:spacing w:val="-9"/>
        </w:rPr>
        <w:t>融合的必然要求。以客户为中心，不同企业之间战略要素的组合，</w:t>
      </w:r>
      <w:r>
        <w:rPr>
          <w:rFonts w:ascii="SimSun" w:hAnsi="SimSun" w:eastAsia="SimSun" w:cs="SimSun"/>
          <w:sz w:val="30"/>
          <w:szCs w:val="30"/>
          <w:spacing w:val="-4"/>
        </w:rPr>
        <w:t>构建新优势和新价值，已成为数字经济发展的主要趋势。生态合</w:t>
      </w:r>
      <w:r>
        <w:rPr>
          <w:rFonts w:ascii="SimSun" w:hAnsi="SimSun" w:eastAsia="SimSun" w:cs="SimSun"/>
          <w:sz w:val="30"/>
          <w:szCs w:val="30"/>
          <w:spacing w:val="-4"/>
        </w:rPr>
        <w:t>作成为企业战略的应有之义。进一步开放云网融合原子能力，与</w:t>
      </w:r>
      <w:r>
        <w:rPr>
          <w:rFonts w:ascii="SimSun" w:hAnsi="SimSun" w:eastAsia="SimSun" w:cs="SimSun"/>
          <w:sz w:val="30"/>
          <w:szCs w:val="30"/>
          <w:spacing w:val="-5"/>
        </w:rPr>
        <w:t>生态合作伙伴能力进一步融合发展，是云网融合发</w:t>
      </w:r>
      <w:r>
        <w:rPr>
          <w:rFonts w:ascii="SimSun" w:hAnsi="SimSun" w:eastAsia="SimSun" w:cs="SimSun"/>
          <w:sz w:val="30"/>
          <w:szCs w:val="30"/>
          <w:spacing w:val="-6"/>
        </w:rPr>
        <w:t>展的必然要求。</w:t>
      </w:r>
    </w:p>
    <w:p>
      <w:pPr>
        <w:ind w:left="624"/>
        <w:spacing w:before="271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．相关建议</w:t>
      </w:r>
    </w:p>
    <w:p>
      <w:pPr>
        <w:ind w:left="634"/>
        <w:spacing w:before="320" w:line="23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</w:t>
      </w:r>
      <w:r>
        <w:rPr>
          <w:rFonts w:ascii="SimSun" w:hAnsi="SimSun" w:eastAsia="SimSun" w:cs="SimSun"/>
          <w:sz w:val="30"/>
          <w:szCs w:val="30"/>
          <w:spacing w:val="-4"/>
        </w:rPr>
        <w:t>）组织体系方面</w:t>
      </w:r>
    </w:p>
    <w:p>
      <w:pPr>
        <w:ind w:left="26" w:right="148" w:firstLine="578"/>
        <w:spacing w:before="31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“云网融合”需要推进中国电信内部不同能力单元的整合，</w:t>
      </w:r>
      <w:r>
        <w:rPr>
          <w:rFonts w:ascii="SimSun" w:hAnsi="SimSun" w:eastAsia="SimSun" w:cs="SimSun"/>
          <w:sz w:val="30"/>
          <w:szCs w:val="30"/>
          <w:spacing w:val="-4"/>
        </w:rPr>
        <w:t>满足产业园区客户高效灵活获取数字化服务的需求，推动中国电</w:t>
      </w:r>
      <w:r>
        <w:rPr>
          <w:rFonts w:ascii="SimSun" w:hAnsi="SimSun" w:eastAsia="SimSun" w:cs="SimSun"/>
          <w:sz w:val="30"/>
          <w:szCs w:val="30"/>
          <w:spacing w:val="-4"/>
        </w:rPr>
        <w:t>信自有数字化平台上云，强化省公司、云省分、安全公司、集成</w:t>
      </w:r>
      <w:r>
        <w:rPr>
          <w:rFonts w:ascii="SimSun" w:hAnsi="SimSun" w:eastAsia="SimSun" w:cs="SimSun"/>
          <w:sz w:val="30"/>
          <w:szCs w:val="30"/>
        </w:rPr>
        <w:t>公司的一体化协同，提升园区数字化产品供应能力与交付能力。</w:t>
      </w:r>
    </w:p>
    <w:p>
      <w:pPr>
        <w:ind w:left="634"/>
        <w:spacing w:before="271" w:line="23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</w:t>
      </w:r>
      <w:r>
        <w:rPr>
          <w:rFonts w:ascii="SimSun" w:hAnsi="SimSun" w:eastAsia="SimSun" w:cs="SimSun"/>
          <w:sz w:val="30"/>
          <w:szCs w:val="30"/>
          <w:spacing w:val="-4"/>
        </w:rPr>
        <w:t>）生态体系方面</w:t>
      </w:r>
    </w:p>
    <w:p>
      <w:pPr>
        <w:ind w:left="27" w:right="256" w:firstLine="603"/>
        <w:spacing w:before="31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一方面，“云网融合”需推动中国电信自身能力与生态合作</w:t>
      </w:r>
      <w:r>
        <w:rPr>
          <w:rFonts w:ascii="SimSun" w:hAnsi="SimSun" w:eastAsia="SimSun" w:cs="SimSun"/>
          <w:sz w:val="30"/>
          <w:szCs w:val="30"/>
          <w:spacing w:val="-17"/>
        </w:rPr>
        <w:t>伙伴能力的深度融合，包括终端、网络、平台、应用等不同层面，</w:t>
      </w:r>
      <w:r>
        <w:rPr>
          <w:rFonts w:ascii="SimSun" w:hAnsi="SimSun" w:eastAsia="SimSun" w:cs="SimSun"/>
          <w:sz w:val="30"/>
          <w:szCs w:val="30"/>
          <w:spacing w:val="-4"/>
        </w:rPr>
        <w:t>形成数字化转型端到端解决方案，提升数字化转型成功的技术能</w:t>
      </w:r>
    </w:p>
    <w:p>
      <w:pPr>
        <w:spacing w:line="260" w:lineRule="auto"/>
        <w:sectPr>
          <w:headerReference w:type="default" r:id="rId26"/>
          <w:pgSz w:w="11907" w:h="16839"/>
          <w:pgMar w:top="1201" w:right="1543" w:bottom="0" w:left="1785" w:header="831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right="13" w:firstLine="4"/>
        <w:spacing w:before="315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力保障，另一方面，中国电信需要推动产业上下游的协同，加大</w:t>
      </w:r>
      <w:r>
        <w:rPr>
          <w:rFonts w:ascii="SimSun" w:hAnsi="SimSun" w:eastAsia="SimSun" w:cs="SimSun"/>
          <w:sz w:val="30"/>
          <w:szCs w:val="30"/>
          <w:spacing w:val="-1"/>
        </w:rPr>
        <w:t>产品研发力度，降低园区及企业数字化转型成本（尤其</w:t>
      </w:r>
      <w:r>
        <w:rPr>
          <w:rFonts w:ascii="SimSun" w:hAnsi="SimSun" w:eastAsia="SimSun" w:cs="SimSun"/>
          <w:sz w:val="30"/>
          <w:szCs w:val="30"/>
          <w:spacing w:val="-2"/>
        </w:rPr>
        <w:t>是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成</w:t>
      </w:r>
      <w:r>
        <w:rPr>
          <w:rFonts w:ascii="SimSun" w:hAnsi="SimSun" w:eastAsia="SimSun" w:cs="SimSun"/>
          <w:sz w:val="30"/>
          <w:szCs w:val="30"/>
          <w:spacing w:val="-6"/>
        </w:rPr>
        <w:t>本</w:t>
      </w:r>
      <w:r>
        <w:rPr>
          <w:rFonts w:ascii="SimSun" w:hAnsi="SimSun" w:eastAsia="SimSun" w:cs="SimSun"/>
          <w:sz w:val="30"/>
          <w:szCs w:val="30"/>
          <w:spacing w:val="-36"/>
        </w:rPr>
        <w:t>），</w:t>
      </w:r>
      <w:r>
        <w:rPr>
          <w:rFonts w:ascii="SimSun" w:hAnsi="SimSun" w:eastAsia="SimSun" w:cs="SimSun"/>
          <w:sz w:val="30"/>
          <w:szCs w:val="30"/>
          <w:spacing w:val="-6"/>
        </w:rPr>
        <w:t>推动更大范围园区和企业加速自身数字化转型。</w:t>
      </w:r>
    </w:p>
    <w:p>
      <w:pPr>
        <w:ind w:left="634"/>
        <w:spacing w:before="288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3</w:t>
      </w:r>
      <w:r>
        <w:rPr>
          <w:rFonts w:ascii="SimSun" w:hAnsi="SimSun" w:eastAsia="SimSun" w:cs="SimSun"/>
          <w:sz w:val="30"/>
          <w:szCs w:val="30"/>
          <w:spacing w:val="-4"/>
        </w:rPr>
        <w:t>）商业模式方面</w:t>
      </w:r>
    </w:p>
    <w:p>
      <w:pPr>
        <w:ind w:left="27" w:right="12" w:firstLine="598"/>
        <w:spacing w:before="32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产业园区是新型信息基础设施的关键运营者，产业园</w:t>
      </w:r>
      <w:r>
        <w:rPr>
          <w:rFonts w:ascii="SimSun" w:hAnsi="SimSun" w:eastAsia="SimSun" w:cs="SimSun"/>
          <w:sz w:val="30"/>
          <w:szCs w:val="30"/>
          <w:spacing w:val="-5"/>
        </w:rPr>
        <w:t>区数字</w:t>
      </w:r>
      <w:r>
        <w:rPr>
          <w:rFonts w:ascii="SimSun" w:hAnsi="SimSun" w:eastAsia="SimSun" w:cs="SimSun"/>
          <w:sz w:val="30"/>
          <w:szCs w:val="30"/>
          <w:spacing w:val="-7"/>
        </w:rPr>
        <w:t>化将有力带动企业数字化，现有“服务提供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-</w:t>
      </w:r>
      <w:r>
        <w:rPr>
          <w:rFonts w:ascii="SimSun" w:hAnsi="SimSun" w:eastAsia="SimSun" w:cs="SimSun"/>
          <w:sz w:val="30"/>
          <w:szCs w:val="30"/>
          <w:spacing w:val="-7"/>
        </w:rPr>
        <w:t>服务购买”</w:t>
      </w:r>
      <w:r>
        <w:rPr>
          <w:rFonts w:ascii="SimSun" w:hAnsi="SimSun" w:eastAsia="SimSun" w:cs="SimSun"/>
          <w:sz w:val="30"/>
          <w:szCs w:val="30"/>
          <w:spacing w:val="-8"/>
        </w:rPr>
        <w:t>的商业模</w:t>
      </w:r>
      <w:r>
        <w:rPr>
          <w:rFonts w:ascii="SimSun" w:hAnsi="SimSun" w:eastAsia="SimSun" w:cs="SimSun"/>
          <w:sz w:val="30"/>
          <w:szCs w:val="30"/>
          <w:spacing w:val="-4"/>
        </w:rPr>
        <w:t>式中，产业园区主要作为数字化服务的购买者，运营商亦仅仅作</w:t>
      </w:r>
      <w:r>
        <w:rPr>
          <w:rFonts w:ascii="SimSun" w:hAnsi="SimSun" w:eastAsia="SimSun" w:cs="SimSun"/>
          <w:sz w:val="30"/>
          <w:szCs w:val="30"/>
          <w:spacing w:val="-8"/>
        </w:rPr>
        <w:t>为基础数字资源与服务提供者。未来，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运营商可以探索与产业园</w:t>
      </w:r>
      <w:r>
        <w:rPr>
          <w:rFonts w:ascii="SimSun" w:hAnsi="SimSun" w:eastAsia="SimSun" w:cs="SimSun"/>
          <w:sz w:val="30"/>
          <w:szCs w:val="30"/>
          <w:spacing w:val="-3"/>
        </w:rPr>
        <w:t>区的合作模式创新，拓展企业数字化服务需求。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20" w:right="54" w:firstLine="554"/>
        <w:spacing w:before="91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</w:rPr>
        <w:t>廖文凯</w:t>
      </w:r>
      <w:r>
        <w:rPr>
          <w:rFonts w:ascii="KaiTi" w:hAnsi="KaiTi" w:eastAsia="KaiTi" w:cs="KaiTi"/>
          <w:sz w:val="28"/>
          <w:szCs w:val="28"/>
        </w:rPr>
        <w:t xml:space="preserve">  </w:t>
      </w:r>
      <w:r>
        <w:rPr>
          <w:rFonts w:ascii="KaiTi" w:hAnsi="KaiTi" w:eastAsia="KaiTi" w:cs="KaiTi"/>
          <w:sz w:val="28"/>
          <w:szCs w:val="28"/>
        </w:rPr>
        <w:t>硕士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</w:rPr>
        <w:t>政企发展研究中心，主要从事信息</w:t>
      </w:r>
      <w:r>
        <w:rPr>
          <w:rFonts w:ascii="KaiTi" w:hAnsi="KaiTi" w:eastAsia="KaiTi" w:cs="KaiTi"/>
          <w:sz w:val="28"/>
          <w:szCs w:val="28"/>
          <w:spacing w:val="-1"/>
        </w:rPr>
        <w:t>化规划咨询与</w:t>
      </w:r>
      <w:r>
        <w:rPr>
          <w:rFonts w:ascii="KaiTi" w:hAnsi="KaiTi" w:eastAsia="KaiTi" w:cs="KaiTi"/>
          <w:sz w:val="28"/>
          <w:szCs w:val="28"/>
          <w:spacing w:val="-8"/>
        </w:rPr>
        <w:t>产业经济研究。【18801625457】</w:t>
      </w:r>
    </w:p>
    <w:p>
      <w:pPr>
        <w:ind w:left="34" w:right="54" w:firstLine="567"/>
        <w:spacing w:before="280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马政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政企发展研究中心，主要从事企业数字化转型、数</w:t>
      </w:r>
      <w:r>
        <w:rPr>
          <w:rFonts w:ascii="KaiTi" w:hAnsi="KaiTi" w:eastAsia="KaiTi" w:cs="KaiTi"/>
          <w:sz w:val="28"/>
          <w:szCs w:val="28"/>
          <w:spacing w:val="-6"/>
        </w:rPr>
        <w:t>字经济研究。</w:t>
      </w:r>
    </w:p>
    <w:p>
      <w:pPr>
        <w:ind w:left="22" w:right="72" w:firstLine="573"/>
        <w:spacing w:before="278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李泰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硕士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政企发展研究中心，主要从事重点行业研究、企业</w:t>
      </w:r>
      <w:r>
        <w:rPr>
          <w:rFonts w:ascii="KaiTi" w:hAnsi="KaiTi" w:eastAsia="KaiTi" w:cs="KaiTi"/>
          <w:sz w:val="28"/>
          <w:szCs w:val="28"/>
          <w:spacing w:val="-3"/>
        </w:rPr>
        <w:t>数字化转型研究等工作。</w:t>
      </w:r>
    </w:p>
    <w:p>
      <w:pPr>
        <w:ind w:left="38" w:right="54" w:firstLine="543"/>
        <w:spacing w:before="276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何菁钦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政企发展研究中心，主要从事重点行业研究、产</w:t>
      </w:r>
      <w:r>
        <w:rPr>
          <w:rFonts w:ascii="KaiTi" w:hAnsi="KaiTi" w:eastAsia="KaiTi" w:cs="KaiTi"/>
          <w:sz w:val="28"/>
          <w:szCs w:val="28"/>
          <w:spacing w:val="-2"/>
        </w:rPr>
        <w:t>业生态图谱研究、政企产品与业务研究、客户体验研究等工作。</w:t>
      </w:r>
    </w:p>
    <w:sectPr>
      <w:headerReference w:type="default" r:id="rId3"/>
      <w:pgSz w:w="11907" w:h="16839"/>
      <w:pgMar w:top="1201" w:right="1785" w:bottom="0" w:left="1785" w:header="831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YouYuan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"/>
      <w:spacing w:before="64" w:line="204" w:lineRule="auto"/>
      <w:rPr>
        <w:rFonts w:ascii="YouYuan" w:hAnsi="YouYuan" w:eastAsia="YouYuan" w:cs="YouYuan"/>
        <w:sz w:val="24"/>
        <w:szCs w:val="24"/>
      </w:rPr>
    </w:pPr>
    <w:r>
      <w:rPr>
        <w:rFonts w:ascii="YouYuan" w:hAnsi="YouYuan" w:eastAsia="YouYuan" w:cs="YouYuan"/>
        <w:sz w:val="24"/>
        <w:szCs w:val="24"/>
        <w:spacing w:val="-7"/>
      </w:rPr>
      <w:t>领导批示：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"/>
      <w:spacing w:before="64" w:line="204" w:lineRule="auto"/>
      <w:rPr>
        <w:rFonts w:ascii="YouYuan" w:hAnsi="YouYuan" w:eastAsia="YouYuan" w:cs="YouYuan"/>
        <w:sz w:val="24"/>
        <w:szCs w:val="24"/>
      </w:rPr>
    </w:pPr>
    <w:r>
      <w:rPr>
        <w:rFonts w:ascii="YouYuan" w:hAnsi="YouYuan" w:eastAsia="YouYuan" w:cs="YouYuan"/>
        <w:sz w:val="24"/>
        <w:szCs w:val="24"/>
        <w:spacing w:val="-7"/>
      </w:rPr>
      <w:t>领导批示：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"/>
      <w:spacing w:before="64" w:line="204" w:lineRule="auto"/>
      <w:rPr>
        <w:rFonts w:ascii="YouYuan" w:hAnsi="YouYuan" w:eastAsia="YouYuan" w:cs="YouYuan"/>
        <w:sz w:val="24"/>
        <w:szCs w:val="24"/>
      </w:rPr>
    </w:pPr>
    <w:r>
      <w:rPr>
        <w:rFonts w:ascii="YouYuan" w:hAnsi="YouYuan" w:eastAsia="YouYuan" w:cs="YouYuan"/>
        <w:sz w:val="24"/>
        <w:szCs w:val="24"/>
        <w:spacing w:val="-7"/>
      </w:rPr>
      <w:t>领导批示：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"/>
      <w:spacing w:before="64" w:line="204" w:lineRule="auto"/>
      <w:rPr>
        <w:rFonts w:ascii="YouYuan" w:hAnsi="YouYuan" w:eastAsia="YouYuan" w:cs="YouYuan"/>
        <w:sz w:val="24"/>
        <w:szCs w:val="24"/>
      </w:rPr>
    </w:pPr>
    <w:r>
      <w:rPr>
        <w:rFonts w:ascii="YouYuan" w:hAnsi="YouYuan" w:eastAsia="YouYuan" w:cs="YouYuan"/>
        <w:sz w:val="24"/>
        <w:szCs w:val="24"/>
        <w:spacing w:val="-7"/>
      </w:rPr>
      <w:t>领导批示：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"/>
      <w:spacing w:before="64" w:line="204" w:lineRule="auto"/>
      <w:rPr>
        <w:rFonts w:ascii="YouYuan" w:hAnsi="YouYuan" w:eastAsia="YouYuan" w:cs="YouYuan"/>
        <w:sz w:val="24"/>
        <w:szCs w:val="24"/>
      </w:rPr>
    </w:pPr>
    <w:r>
      <w:rPr>
        <w:rFonts w:ascii="YouYuan" w:hAnsi="YouYuan" w:eastAsia="YouYuan" w:cs="YouYuan"/>
        <w:sz w:val="24"/>
        <w:szCs w:val="24"/>
        <w:spacing w:val="-7"/>
      </w:rPr>
      <w:t>领导批示：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"/>
      <w:spacing w:before="64" w:line="204" w:lineRule="auto"/>
      <w:rPr>
        <w:rFonts w:ascii="YouYuan" w:hAnsi="YouYuan" w:eastAsia="YouYuan" w:cs="YouYuan"/>
        <w:sz w:val="24"/>
        <w:szCs w:val="24"/>
      </w:rPr>
    </w:pPr>
    <w:r>
      <w:rPr>
        <w:rFonts w:ascii="YouYuan" w:hAnsi="YouYuan" w:eastAsia="YouYuan" w:cs="YouYuan"/>
        <w:sz w:val="24"/>
        <w:szCs w:val="24"/>
        <w:spacing w:val="-7"/>
      </w:rPr>
      <w:t>领导批示：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"/>
      <w:spacing w:before="64" w:line="204" w:lineRule="auto"/>
      <w:rPr>
        <w:rFonts w:ascii="YouYuan" w:hAnsi="YouYuan" w:eastAsia="YouYuan" w:cs="YouYuan"/>
        <w:sz w:val="24"/>
        <w:szCs w:val="24"/>
      </w:rPr>
    </w:pPr>
    <w:r>
      <w:rPr>
        <w:rFonts w:ascii="YouYuan" w:hAnsi="YouYuan" w:eastAsia="YouYuan" w:cs="YouYuan"/>
        <w:sz w:val="24"/>
        <w:szCs w:val="24"/>
        <w:spacing w:val="-7"/>
      </w:rPr>
      <w:t>领导批示：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9" Type="http://schemas.openxmlformats.org/officeDocument/2006/relationships/fontTable" Target="fontTable.xml"/><Relationship Id="rId28" Type="http://schemas.openxmlformats.org/officeDocument/2006/relationships/styles" Target="styles.xml"/><Relationship Id="rId27" Type="http://schemas.openxmlformats.org/officeDocument/2006/relationships/settings" Target="settings.xml"/><Relationship Id="rId26" Type="http://schemas.openxmlformats.org/officeDocument/2006/relationships/header" Target="header7.xml"/><Relationship Id="rId25" Type="http://schemas.openxmlformats.org/officeDocument/2006/relationships/image" Target="media/image19.png"/><Relationship Id="rId24" Type="http://schemas.openxmlformats.org/officeDocument/2006/relationships/header" Target="header6.xml"/><Relationship Id="rId23" Type="http://schemas.openxmlformats.org/officeDocument/2006/relationships/image" Target="media/image18.jpeg"/><Relationship Id="rId22" Type="http://schemas.openxmlformats.org/officeDocument/2006/relationships/header" Target="header5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image" Target="media/image1.jpeg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2023-03-09T16:21:36Z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2025-11-04T15:54:14</vt:filetime>
  </property>
</Properties>
</file>