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1092"/>
        <w:spacing w:before="212" w:line="197" w:lineRule="auto"/>
        <w:outlineLvl w:val="0"/>
        <w:rPr>
          <w:rFonts w:ascii="Microsoft YaHei" w:hAnsi="Microsoft YaHei" w:eastAsia="Microsoft YaHei" w:cs="Microsoft YaHei"/>
          <w:sz w:val="43"/>
          <w:szCs w:val="43"/>
        </w:rPr>
      </w:pPr>
      <w:r>
        <w:rPr>
          <w:rFonts w:ascii="Microsoft YaHei" w:hAnsi="Microsoft YaHei" w:eastAsia="Microsoft YaHei" w:cs="Microsoft YaHei"/>
          <w:sz w:val="43"/>
          <w:szCs w:val="43"/>
          <w:b/>
          <w:bCs/>
          <w:spacing w:val="9"/>
        </w:rPr>
        <w:t>产业资本“四大金刚”投资布局</w:t>
      </w:r>
    </w:p>
    <w:p>
      <w:pPr>
        <w:ind w:left="1753"/>
        <w:spacing w:before="95" w:line="196" w:lineRule="auto"/>
        <w:outlineLvl w:val="0"/>
        <w:rPr>
          <w:rFonts w:ascii="Microsoft YaHei" w:hAnsi="Microsoft YaHei" w:eastAsia="Microsoft YaHei" w:cs="Microsoft YaHei"/>
          <w:sz w:val="43"/>
          <w:szCs w:val="43"/>
        </w:rPr>
      </w:pPr>
      <w:r>
        <w:rPr>
          <w:rFonts w:ascii="Microsoft YaHei" w:hAnsi="Microsoft YaHei" w:eastAsia="Microsoft YaHei" w:cs="Microsoft YaHei"/>
          <w:sz w:val="43"/>
          <w:szCs w:val="43"/>
          <w:b/>
          <w:bCs/>
          <w:spacing w:val="9"/>
        </w:rPr>
        <w:t>对中国电信的启示及建议</w:t>
      </w:r>
    </w:p>
    <w:p>
      <w:pPr>
        <w:ind w:left="2406"/>
        <w:spacing w:before="331" w:line="212" w:lineRule="auto"/>
        <w:rPr>
          <w:rFonts w:ascii="STKaiti" w:hAnsi="STKaiti" w:eastAsia="STKaiti" w:cs="STKaiti"/>
          <w:sz w:val="30"/>
          <w:szCs w:val="30"/>
        </w:rPr>
      </w:pPr>
      <w:r>
        <w:rPr>
          <w:rFonts w:ascii="STKaiti" w:hAnsi="STKaiti" w:eastAsia="STKaiti" w:cs="STKaiti"/>
          <w:sz w:val="30"/>
          <w:szCs w:val="30"/>
          <w:spacing w:val="-9"/>
        </w:rPr>
        <w:t>文/</w:t>
      </w:r>
      <w:r>
        <w:rPr>
          <w:rFonts w:ascii="STKaiti" w:hAnsi="STKaiti" w:eastAsia="STKaiti" w:cs="STKaiti"/>
          <w:sz w:val="30"/>
          <w:szCs w:val="30"/>
          <w:spacing w:val="18"/>
          <w:w w:val="101"/>
        </w:rPr>
        <w:t xml:space="preserve">  </w:t>
      </w:r>
      <w:r>
        <w:rPr>
          <w:rFonts w:ascii="STKaiti" w:hAnsi="STKaiti" w:eastAsia="STKaiti" w:cs="STKaiti"/>
          <w:sz w:val="30"/>
          <w:szCs w:val="30"/>
          <w:spacing w:val="-9"/>
        </w:rPr>
        <w:t>王禹辰</w:t>
      </w:r>
      <w:r>
        <w:rPr>
          <w:rFonts w:ascii="STKaiti" w:hAnsi="STKaiti" w:eastAsia="STKaiti" w:cs="STKaiti"/>
          <w:sz w:val="30"/>
          <w:szCs w:val="30"/>
          <w:spacing w:val="22"/>
        </w:rPr>
        <w:t xml:space="preserve">  </w:t>
      </w:r>
      <w:r>
        <w:rPr>
          <w:rFonts w:ascii="STKaiti" w:hAnsi="STKaiti" w:eastAsia="STKaiti" w:cs="STKaiti"/>
          <w:sz w:val="30"/>
          <w:szCs w:val="30"/>
          <w:spacing w:val="-9"/>
        </w:rPr>
        <w:t>宋李民  杨孟杰</w:t>
      </w:r>
    </w:p>
    <w:p>
      <w:pPr>
        <w:spacing w:line="400" w:lineRule="auto"/>
        <w:rPr>
          <w:rFonts w:ascii="Arial"/>
          <w:sz w:val="21"/>
        </w:rPr>
      </w:pPr>
      <w:r/>
    </w:p>
    <w:p>
      <w:pPr>
        <w:ind w:left="33" w:right="13" w:firstLine="614"/>
        <w:spacing w:before="97" w:line="259" w:lineRule="auto"/>
        <w:jc w:val="both"/>
        <w:rPr>
          <w:rFonts w:ascii="FangSong" w:hAnsi="FangSong" w:eastAsia="FangSong" w:cs="FangSong"/>
          <w:sz w:val="30"/>
          <w:szCs w:val="30"/>
        </w:rPr>
      </w:pPr>
      <w:r>
        <w:rPr>
          <w:rFonts w:ascii="FangSong" w:hAnsi="FangSong" w:eastAsia="FangSong" w:cs="FangSong"/>
          <w:sz w:val="30"/>
          <w:szCs w:val="30"/>
          <w:spacing w:val="-5"/>
        </w:rPr>
        <w:t>随着硬科技产业崛起，以宁德时代、比亚迪、华为和小米为</w:t>
      </w:r>
      <w:r>
        <w:rPr>
          <w:rFonts w:ascii="FangSong" w:hAnsi="FangSong" w:eastAsia="FangSong" w:cs="FangSong"/>
          <w:sz w:val="30"/>
          <w:szCs w:val="30"/>
          <w:spacing w:val="6"/>
        </w:rPr>
        <w:t>代表的产业投资机构凭借敏锐的市场洞察和精准的投资布局快</w:t>
      </w:r>
      <w:r>
        <w:rPr>
          <w:rFonts w:ascii="FangSong" w:hAnsi="FangSong" w:eastAsia="FangSong" w:cs="FangSong"/>
          <w:sz w:val="30"/>
          <w:szCs w:val="30"/>
          <w:spacing w:val="-1"/>
        </w:rPr>
        <w:t>速发展壮大，成为产业资本“四大金刚”。</w:t>
      </w:r>
    </w:p>
    <w:p>
      <w:pPr>
        <w:ind w:left="34" w:right="13" w:firstLine="601"/>
        <w:spacing w:before="280" w:line="259" w:lineRule="auto"/>
        <w:jc w:val="both"/>
        <w:rPr>
          <w:rFonts w:ascii="FangSong" w:hAnsi="FangSong" w:eastAsia="FangSong" w:cs="FangSong"/>
          <w:sz w:val="30"/>
          <w:szCs w:val="30"/>
        </w:rPr>
      </w:pPr>
      <w:r>
        <w:rPr>
          <w:rFonts w:ascii="FangSong" w:hAnsi="FangSong" w:eastAsia="FangSong" w:cs="FangSong"/>
          <w:sz w:val="30"/>
          <w:szCs w:val="30"/>
          <w:spacing w:val="-5"/>
        </w:rPr>
        <w:t>本文通过对“四大金刚”投资方向和逻辑的案例分析，总结</w:t>
      </w:r>
      <w:r>
        <w:rPr>
          <w:rFonts w:ascii="FangSong" w:hAnsi="FangSong" w:eastAsia="FangSong" w:cs="FangSong"/>
          <w:sz w:val="30"/>
          <w:szCs w:val="30"/>
          <w:spacing w:val="-4"/>
        </w:rPr>
        <w:t>股权投资助力企业发展的特点和方式，结合中国电信当前</w:t>
      </w:r>
      <w:r>
        <w:rPr>
          <w:rFonts w:ascii="FangSong" w:hAnsi="FangSong" w:eastAsia="FangSong" w:cs="FangSong"/>
          <w:sz w:val="30"/>
          <w:szCs w:val="30"/>
          <w:spacing w:val="-5"/>
        </w:rPr>
        <w:t>产数业</w:t>
      </w:r>
      <w:r>
        <w:rPr>
          <w:rFonts w:ascii="FangSong" w:hAnsi="FangSong" w:eastAsia="FangSong" w:cs="FangSong"/>
          <w:sz w:val="30"/>
          <w:szCs w:val="30"/>
          <w:spacing w:val="-4"/>
        </w:rPr>
        <w:t>务发展需求，提出聚焦产业链上下游加快投资布局，</w:t>
      </w:r>
      <w:r>
        <w:rPr>
          <w:rFonts w:ascii="FangSong" w:hAnsi="FangSong" w:eastAsia="FangSong" w:cs="FangSong"/>
          <w:sz w:val="30"/>
          <w:szCs w:val="30"/>
          <w:spacing w:val="-5"/>
        </w:rPr>
        <w:t>完善产业链</w:t>
      </w:r>
      <w:r>
        <w:rPr>
          <w:rFonts w:ascii="FangSong" w:hAnsi="FangSong" w:eastAsia="FangSong" w:cs="FangSong"/>
          <w:sz w:val="30"/>
          <w:szCs w:val="30"/>
          <w:spacing w:val="-4"/>
        </w:rPr>
        <w:t>关键环节等建议，助力企业高质量发展。</w:t>
      </w:r>
    </w:p>
    <w:p>
      <w:pPr>
        <w:spacing w:line="344" w:lineRule="auto"/>
        <w:rPr>
          <w:rFonts w:ascii="Arial"/>
          <w:sz w:val="21"/>
        </w:rPr>
      </w:pPr>
      <w:r/>
    </w:p>
    <w:p>
      <w:pPr>
        <w:ind w:left="675"/>
        <w:spacing w:before="101" w:line="224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-8"/>
        </w:rPr>
        <w:t>一、“四大金刚”投资概况</w:t>
      </w:r>
    </w:p>
    <w:p>
      <w:pPr>
        <w:spacing w:line="271" w:lineRule="auto"/>
        <w:rPr>
          <w:rFonts w:ascii="Arial"/>
          <w:sz w:val="21"/>
        </w:rPr>
      </w:pPr>
      <w:r/>
    </w:p>
    <w:p>
      <w:pPr>
        <w:ind w:left="26" w:right="13" w:firstLine="603"/>
        <w:spacing w:before="99" w:line="257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从投资数据看，近年来宁德时代、比亚迪、华</w:t>
      </w:r>
      <w:r>
        <w:rPr>
          <w:rFonts w:ascii="SimSun" w:hAnsi="SimSun" w:eastAsia="SimSun" w:cs="SimSun"/>
          <w:sz w:val="30"/>
          <w:szCs w:val="30"/>
          <w:spacing w:val="-5"/>
        </w:rPr>
        <w:t>为和小米围绕</w:t>
      </w:r>
      <w:r>
        <w:rPr>
          <w:rFonts w:ascii="SimSun" w:hAnsi="SimSun" w:eastAsia="SimSun" w:cs="SimSun"/>
          <w:sz w:val="30"/>
          <w:szCs w:val="30"/>
          <w:spacing w:val="-4"/>
        </w:rPr>
        <w:t>各自领域，不断进行产业链投资布局，尤其受到地缘政治和全球</w:t>
      </w:r>
      <w:r>
        <w:rPr>
          <w:rFonts w:ascii="SimSun" w:hAnsi="SimSun" w:eastAsia="SimSun" w:cs="SimSun"/>
          <w:sz w:val="30"/>
          <w:szCs w:val="30"/>
          <w:spacing w:val="-6"/>
        </w:rPr>
        <w:t>疫情冲击等因素，</w:t>
      </w:r>
      <w:r>
        <w:rPr>
          <w:rFonts w:ascii="Times New Roman" w:hAnsi="Times New Roman" w:eastAsia="Times New Roman" w:cs="Times New Roman"/>
          <w:sz w:val="30"/>
          <w:szCs w:val="30"/>
          <w:spacing w:val="-6"/>
        </w:rPr>
        <w:t>2020 </w:t>
      </w:r>
      <w:r>
        <w:rPr>
          <w:rFonts w:ascii="SimSun" w:hAnsi="SimSun" w:eastAsia="SimSun" w:cs="SimSun"/>
          <w:sz w:val="30"/>
          <w:szCs w:val="30"/>
          <w:spacing w:val="-6"/>
        </w:rPr>
        <w:t>年起进入投资高峰期，投资笔数占全部数</w:t>
      </w:r>
      <w:r>
        <w:rPr>
          <w:rFonts w:ascii="SimSun" w:hAnsi="SimSun" w:eastAsia="SimSun" w:cs="SimSun"/>
          <w:sz w:val="30"/>
          <w:szCs w:val="30"/>
          <w:spacing w:val="-8"/>
        </w:rPr>
        <w:t>量超</w:t>
      </w:r>
      <w:r>
        <w:rPr>
          <w:rFonts w:ascii="SimSun" w:hAnsi="SimSun" w:eastAsia="SimSun" w:cs="SimSun"/>
          <w:sz w:val="30"/>
          <w:szCs w:val="30"/>
          <w:spacing w:val="-57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8"/>
        </w:rPr>
        <w:t>90%</w:t>
      </w:r>
      <w:r>
        <w:rPr>
          <w:rFonts w:ascii="Times New Roman" w:hAnsi="Times New Roman" w:eastAsia="Times New Roman" w:cs="Times New Roman"/>
          <w:sz w:val="18"/>
          <w:szCs w:val="18"/>
          <w:spacing w:val="-8"/>
          <w:position w:val="10"/>
        </w:rPr>
        <w:t>1</w:t>
      </w:r>
      <w:r>
        <w:rPr>
          <w:rFonts w:ascii="SimSun" w:hAnsi="SimSun" w:eastAsia="SimSun" w:cs="SimSun"/>
          <w:sz w:val="30"/>
          <w:szCs w:val="30"/>
          <w:spacing w:val="-8"/>
        </w:rPr>
        <w:t>。通过产业链上下游布局保障供应、巩固地位、弥补不</w:t>
      </w:r>
      <w:r>
        <w:rPr>
          <w:rFonts w:ascii="SimSun" w:hAnsi="SimSun" w:eastAsia="SimSun" w:cs="SimSun"/>
          <w:sz w:val="30"/>
          <w:szCs w:val="30"/>
          <w:spacing w:val="-4"/>
        </w:rPr>
        <w:t>足，配合业务发展和战略转型，已成为当前产业投资机构的必选</w:t>
      </w:r>
      <w:r>
        <w:rPr>
          <w:rFonts w:ascii="SimSun" w:hAnsi="SimSun" w:eastAsia="SimSun" w:cs="SimSun"/>
          <w:sz w:val="30"/>
          <w:szCs w:val="30"/>
          <w:spacing w:val="-3"/>
        </w:rPr>
        <w:t>项之一。</w:t>
      </w:r>
    </w:p>
    <w:p>
      <w:pPr>
        <w:ind w:left="2259"/>
        <w:spacing w:line="218" w:lineRule="auto"/>
        <w:outlineLvl w:val="2"/>
        <w:rPr>
          <w:rFonts w:ascii="KaiTi" w:hAnsi="KaiTi" w:eastAsia="KaiTi" w:cs="KaiTi"/>
          <w:sz w:val="30"/>
          <w:szCs w:val="30"/>
        </w:rPr>
      </w:pPr>
      <w:r>
        <w:pict>
          <v:shape id="_x0000_s2" style="position:absolute;margin-left:0.72599pt;margin-top:166.011pt;mso-position-vertical-relative:text;mso-position-horizontal-relative:text;width:144.05pt;height:0.5pt;z-index:251658240;" fillcolor="#000000" filled="true" stroked="false" coordsize="2881,10" coordorigin="0,0" path="m0,9l2880,9l2880,0l0,0l0,9xe"/>
        </w:pict>
      </w:r>
      <w:r>
        <w:rPr>
          <w:rFonts w:ascii="KaiTi" w:hAnsi="KaiTi" w:eastAsia="KaiTi" w:cs="KaiTi"/>
          <w:sz w:val="30"/>
          <w:szCs w:val="30"/>
          <w:spacing w:val="-3"/>
        </w:rPr>
        <w:t>表</w:t>
      </w:r>
      <w:r>
        <w:rPr>
          <w:rFonts w:ascii="KaiTi" w:hAnsi="KaiTi" w:eastAsia="KaiTi" w:cs="KaiTi"/>
          <w:sz w:val="30"/>
          <w:szCs w:val="30"/>
          <w:spacing w:val="-39"/>
        </w:rPr>
        <w:t xml:space="preserve"> </w:t>
      </w:r>
      <w:r>
        <w:rPr>
          <w:rFonts w:ascii="KaiTi" w:hAnsi="KaiTi" w:eastAsia="KaiTi" w:cs="KaiTi"/>
          <w:sz w:val="30"/>
          <w:szCs w:val="30"/>
          <w:spacing w:val="-3"/>
        </w:rPr>
        <w:t>1</w:t>
      </w:r>
      <w:r>
        <w:rPr>
          <w:rFonts w:ascii="KaiTi" w:hAnsi="KaiTi" w:eastAsia="KaiTi" w:cs="KaiTi"/>
          <w:sz w:val="30"/>
          <w:szCs w:val="30"/>
          <w:spacing w:val="-3"/>
        </w:rPr>
        <w:t xml:space="preserve">  </w:t>
      </w:r>
      <w:r>
        <w:rPr>
          <w:rFonts w:ascii="KaiTi" w:hAnsi="KaiTi" w:eastAsia="KaiTi" w:cs="KaiTi"/>
          <w:sz w:val="30"/>
          <w:szCs w:val="30"/>
          <w:spacing w:val="-3"/>
        </w:rPr>
        <w:t>“四大金刚”投资概览</w:t>
      </w:r>
    </w:p>
    <w:p>
      <w:pPr>
        <w:spacing w:before="21"/>
        <w:rPr/>
      </w:pPr>
      <w:r/>
    </w:p>
    <w:tbl>
      <w:tblPr>
        <w:tblStyle w:val="TableNormal"/>
        <w:tblW w:w="8223" w:type="dxa"/>
        <w:tblInd w:w="55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074"/>
        <w:gridCol w:w="1557"/>
        <w:gridCol w:w="1135"/>
        <w:gridCol w:w="1346"/>
        <w:gridCol w:w="3111"/>
      </w:tblGrid>
      <w:tr>
        <w:trPr>
          <w:trHeight w:val="323" w:hRule="atLeast"/>
        </w:trPr>
        <w:tc>
          <w:tcPr>
            <w:tcW w:w="1074" w:type="dxa"/>
            <w:vAlign w:val="top"/>
          </w:tcPr>
          <w:p>
            <w:pPr>
              <w:pStyle w:val="TableText"/>
              <w:ind w:left="118"/>
              <w:spacing w:before="58" w:line="221" w:lineRule="auto"/>
              <w:rPr/>
            </w:pPr>
            <w:r>
              <w:rPr>
                <w:b/>
                <w:bCs/>
                <w:spacing w:val="-3"/>
              </w:rPr>
              <w:t>企业简称</w:t>
            </w:r>
          </w:p>
        </w:tc>
        <w:tc>
          <w:tcPr>
            <w:tcW w:w="1557" w:type="dxa"/>
            <w:vAlign w:val="top"/>
          </w:tcPr>
          <w:p>
            <w:pPr>
              <w:pStyle w:val="TableText"/>
              <w:ind w:left="361"/>
              <w:spacing w:before="58" w:line="218" w:lineRule="auto"/>
              <w:rPr/>
            </w:pPr>
            <w:r>
              <w:rPr>
                <w:b/>
                <w:bCs/>
                <w:spacing w:val="-3"/>
              </w:rPr>
              <w:t>所属领域</w:t>
            </w:r>
          </w:p>
        </w:tc>
        <w:tc>
          <w:tcPr>
            <w:tcW w:w="1135" w:type="dxa"/>
            <w:vAlign w:val="top"/>
          </w:tcPr>
          <w:p>
            <w:pPr>
              <w:pStyle w:val="TableText"/>
              <w:ind w:left="122"/>
              <w:spacing w:before="34"/>
              <w:rPr>
                <w:sz w:val="11"/>
                <w:szCs w:val="11"/>
              </w:rPr>
            </w:pPr>
            <w:r>
              <w:rPr>
                <w:b/>
                <w:bCs/>
                <w:spacing w:val="-4"/>
              </w:rPr>
              <w:t>投资数量</w:t>
            </w:r>
            <w:r>
              <w:rPr>
                <w:sz w:val="11"/>
                <w:szCs w:val="11"/>
                <w:b/>
                <w:bCs/>
                <w:spacing w:val="-4"/>
                <w:position w:val="10"/>
              </w:rPr>
              <w:t>2</w:t>
            </w:r>
          </w:p>
        </w:tc>
        <w:tc>
          <w:tcPr>
            <w:tcW w:w="1346" w:type="dxa"/>
            <w:vAlign w:val="top"/>
          </w:tcPr>
          <w:p>
            <w:pPr>
              <w:pStyle w:val="TableText"/>
              <w:ind w:left="259"/>
              <w:spacing w:before="58" w:line="219" w:lineRule="auto"/>
              <w:rPr/>
            </w:pPr>
            <w:r>
              <w:rPr>
                <w:b/>
                <w:bCs/>
                <w:spacing w:val="-4"/>
              </w:rPr>
              <w:t>投资领域</w:t>
            </w:r>
          </w:p>
        </w:tc>
        <w:tc>
          <w:tcPr>
            <w:tcW w:w="3111" w:type="dxa"/>
            <w:vAlign w:val="top"/>
          </w:tcPr>
          <w:p>
            <w:pPr>
              <w:pStyle w:val="TableText"/>
              <w:ind w:left="507"/>
              <w:spacing w:before="58" w:line="219" w:lineRule="auto"/>
              <w:rPr/>
            </w:pPr>
            <w:r>
              <w:rPr>
                <w:b/>
                <w:bCs/>
                <w:spacing w:val="-3"/>
              </w:rPr>
              <w:t>投资目标（数量占比）</w:t>
            </w:r>
          </w:p>
        </w:tc>
      </w:tr>
      <w:tr>
        <w:trPr>
          <w:trHeight w:val="1250" w:hRule="atLeast"/>
        </w:trPr>
        <w:tc>
          <w:tcPr>
            <w:tcW w:w="1074" w:type="dxa"/>
            <w:vAlign w:val="top"/>
          </w:tcPr>
          <w:p>
            <w:pPr>
              <w:spacing w:line="44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35"/>
              <w:spacing w:before="69" w:line="220" w:lineRule="auto"/>
              <w:rPr/>
            </w:pPr>
            <w:r>
              <w:rPr>
                <w:spacing w:val="-5"/>
              </w:rPr>
              <w:t>宁德时代</w:t>
            </w:r>
          </w:p>
        </w:tc>
        <w:tc>
          <w:tcPr>
            <w:tcW w:w="1557" w:type="dxa"/>
            <w:vAlign w:val="top"/>
          </w:tcPr>
          <w:p>
            <w:pPr>
              <w:spacing w:line="29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75" w:right="144" w:hanging="326"/>
              <w:spacing w:before="68" w:line="277" w:lineRule="auto"/>
              <w:rPr/>
            </w:pPr>
            <w:r>
              <w:rPr>
                <w:spacing w:val="-1"/>
              </w:rPr>
              <w:t>锂离子电池研</w:t>
            </w:r>
            <w:r>
              <w:rPr>
                <w:spacing w:val="-3"/>
              </w:rPr>
              <w:t>发制造</w:t>
            </w:r>
          </w:p>
        </w:tc>
        <w:tc>
          <w:tcPr>
            <w:tcW w:w="1135" w:type="dxa"/>
            <w:vAlign w:val="top"/>
          </w:tcPr>
          <w:p>
            <w:pPr>
              <w:spacing w:line="44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65"/>
              <w:spacing w:before="68" w:line="241" w:lineRule="auto"/>
              <w:rPr/>
            </w:pPr>
            <w:r>
              <w:rPr>
                <w:spacing w:val="-2"/>
              </w:rPr>
              <w:t>64</w:t>
            </w:r>
          </w:p>
        </w:tc>
        <w:tc>
          <w:tcPr>
            <w:tcW w:w="1346" w:type="dxa"/>
            <w:vAlign w:val="top"/>
          </w:tcPr>
          <w:p>
            <w:pPr>
              <w:spacing w:line="29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70" w:right="141" w:hanging="112"/>
              <w:spacing w:before="68" w:line="274" w:lineRule="auto"/>
              <w:rPr/>
            </w:pPr>
            <w:r>
              <w:rPr>
                <w:spacing w:val="-2"/>
              </w:rPr>
              <w:t>主要集中电</w:t>
            </w:r>
            <w:r>
              <w:rPr>
                <w:spacing w:val="-4"/>
              </w:rPr>
              <w:t>池产业链</w:t>
            </w:r>
          </w:p>
        </w:tc>
        <w:tc>
          <w:tcPr>
            <w:tcW w:w="3111" w:type="dxa"/>
            <w:vAlign w:val="top"/>
          </w:tcPr>
          <w:p>
            <w:pPr>
              <w:pStyle w:val="TableText"/>
              <w:ind w:left="128" w:right="164" w:hanging="3"/>
              <w:spacing w:before="51" w:line="253" w:lineRule="auto"/>
              <w:rPr/>
            </w:pPr>
            <w:r>
              <w:rPr>
                <w:spacing w:val="-2"/>
              </w:rPr>
              <w:t>1.</w:t>
            </w:r>
            <w:r>
              <w:rPr>
                <w:spacing w:val="-2"/>
              </w:rPr>
              <w:t xml:space="preserve"> </w:t>
            </w:r>
            <w:r>
              <w:rPr>
                <w:spacing w:val="-2"/>
              </w:rPr>
              <w:t>深化产业链合作、降本增效</w:t>
            </w:r>
            <w:r>
              <w:rPr>
                <w:spacing w:val="-4"/>
              </w:rPr>
              <w:t>（70%）</w:t>
            </w:r>
          </w:p>
          <w:p>
            <w:pPr>
              <w:pStyle w:val="TableText"/>
              <w:ind w:left="112"/>
              <w:spacing w:before="48" w:line="220" w:lineRule="auto"/>
              <w:rPr/>
            </w:pPr>
            <w:r>
              <w:rPr>
                <w:spacing w:val="-1"/>
              </w:rPr>
              <w:t>2.</w:t>
            </w:r>
            <w:r>
              <w:rPr>
                <w:spacing w:val="-1"/>
              </w:rPr>
              <w:t xml:space="preserve"> </w:t>
            </w:r>
            <w:r>
              <w:rPr>
                <w:spacing w:val="-1"/>
              </w:rPr>
              <w:t>保障供应链安全（13%）</w:t>
            </w:r>
          </w:p>
          <w:p>
            <w:pPr>
              <w:pStyle w:val="TableText"/>
              <w:ind w:left="114"/>
              <w:spacing w:before="61" w:line="222" w:lineRule="auto"/>
              <w:rPr/>
            </w:pPr>
            <w:r>
              <w:rPr>
                <w:spacing w:val="-1"/>
              </w:rPr>
              <w:t>3.</w:t>
            </w:r>
            <w:r>
              <w:rPr>
                <w:spacing w:val="-1"/>
              </w:rPr>
              <w:t xml:space="preserve"> </w:t>
            </w:r>
            <w:r>
              <w:rPr>
                <w:spacing w:val="-1"/>
              </w:rPr>
              <w:t>助力战略转型（17%）</w:t>
            </w:r>
          </w:p>
        </w:tc>
      </w:tr>
      <w:tr>
        <w:trPr>
          <w:trHeight w:val="943" w:hRule="atLeast"/>
        </w:trPr>
        <w:tc>
          <w:tcPr>
            <w:tcW w:w="1074" w:type="dxa"/>
            <w:vAlign w:val="top"/>
          </w:tcPr>
          <w:p>
            <w:pPr>
              <w:spacing w:line="29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45"/>
              <w:spacing w:before="68" w:line="232" w:lineRule="auto"/>
              <w:rPr/>
            </w:pPr>
            <w:r>
              <w:rPr>
                <w:spacing w:val="-6"/>
              </w:rPr>
              <w:t>比亚迪</w:t>
            </w:r>
          </w:p>
        </w:tc>
        <w:tc>
          <w:tcPr>
            <w:tcW w:w="1557" w:type="dxa"/>
            <w:vAlign w:val="top"/>
          </w:tcPr>
          <w:p>
            <w:pPr>
              <w:spacing w:line="29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64"/>
              <w:spacing w:before="69" w:line="218" w:lineRule="auto"/>
              <w:rPr/>
            </w:pPr>
            <w:r>
              <w:rPr>
                <w:spacing w:val="-3"/>
              </w:rPr>
              <w:t>新能源汽车</w:t>
            </w:r>
          </w:p>
        </w:tc>
        <w:tc>
          <w:tcPr>
            <w:tcW w:w="1135" w:type="dxa"/>
            <w:vAlign w:val="top"/>
          </w:tcPr>
          <w:p>
            <w:pPr>
              <w:spacing w:line="29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60"/>
              <w:spacing w:before="68" w:line="241" w:lineRule="auto"/>
              <w:rPr/>
            </w:pPr>
            <w:r>
              <w:rPr>
                <w:spacing w:val="-1"/>
              </w:rPr>
              <w:t>48</w:t>
            </w:r>
          </w:p>
        </w:tc>
        <w:tc>
          <w:tcPr>
            <w:tcW w:w="1346" w:type="dxa"/>
            <w:vAlign w:val="top"/>
          </w:tcPr>
          <w:p>
            <w:pPr>
              <w:pStyle w:val="TableText"/>
              <w:ind w:left="167" w:right="141" w:firstLine="6"/>
              <w:spacing w:before="210" w:line="274" w:lineRule="auto"/>
              <w:rPr/>
            </w:pPr>
            <w:r>
              <w:rPr>
                <w:spacing w:val="-5"/>
              </w:rPr>
              <w:t>电池、智能</w:t>
            </w:r>
            <w:r>
              <w:rPr>
                <w:spacing w:val="-4"/>
              </w:rPr>
              <w:t>汽车产业链</w:t>
            </w:r>
          </w:p>
        </w:tc>
        <w:tc>
          <w:tcPr>
            <w:tcW w:w="3111" w:type="dxa"/>
            <w:vAlign w:val="top"/>
          </w:tcPr>
          <w:p>
            <w:pPr>
              <w:pStyle w:val="TableText"/>
              <w:ind w:left="125"/>
              <w:spacing w:before="54" w:line="220" w:lineRule="auto"/>
              <w:rPr/>
            </w:pPr>
            <w:r>
              <w:rPr>
                <w:spacing w:val="-2"/>
              </w:rPr>
              <w:t>1.</w:t>
            </w:r>
            <w:r>
              <w:rPr>
                <w:spacing w:val="-2"/>
              </w:rPr>
              <w:t xml:space="preserve"> </w:t>
            </w:r>
            <w:r>
              <w:rPr>
                <w:spacing w:val="-2"/>
              </w:rPr>
              <w:t>保障供应链安全（48%）</w:t>
            </w:r>
          </w:p>
          <w:p>
            <w:pPr>
              <w:pStyle w:val="TableText"/>
              <w:ind w:left="112"/>
              <w:spacing w:before="62" w:line="218" w:lineRule="auto"/>
              <w:rPr/>
            </w:pPr>
            <w:r>
              <w:rPr>
                <w:spacing w:val="-3"/>
              </w:rPr>
              <w:t>2.</w:t>
            </w:r>
            <w:r>
              <w:rPr>
                <w:spacing w:val="25"/>
              </w:rPr>
              <w:t xml:space="preserve"> </w:t>
            </w:r>
            <w:r>
              <w:rPr>
                <w:spacing w:val="-3"/>
              </w:rPr>
              <w:t>降本增效（31%）</w:t>
            </w:r>
          </w:p>
          <w:p>
            <w:pPr>
              <w:pStyle w:val="TableText"/>
              <w:ind w:left="114"/>
              <w:spacing w:before="63" w:line="223" w:lineRule="auto"/>
              <w:rPr/>
            </w:pPr>
            <w:r>
              <w:rPr>
                <w:spacing w:val="-1"/>
              </w:rPr>
              <w:t>3.</w:t>
            </w:r>
            <w:r>
              <w:rPr>
                <w:spacing w:val="-1"/>
              </w:rPr>
              <w:t xml:space="preserve"> </w:t>
            </w:r>
            <w:r>
              <w:rPr>
                <w:spacing w:val="-1"/>
              </w:rPr>
              <w:t>助力战略转型（17%）</w:t>
            </w:r>
          </w:p>
        </w:tc>
      </w:tr>
    </w:tbl>
    <w:p>
      <w:pPr>
        <w:ind w:left="49" w:right="182" w:hanging="27"/>
        <w:spacing w:before="302" w:line="239" w:lineRule="auto"/>
        <w:rPr>
          <w:rFonts w:ascii="DengXian" w:hAnsi="DengXian" w:eastAsia="DengXian" w:cs="DengXian"/>
          <w:sz w:val="21"/>
          <w:szCs w:val="21"/>
        </w:rPr>
      </w:pPr>
      <w:r>
        <w:rPr>
          <w:rFonts w:ascii="DengXian" w:hAnsi="DengXian" w:eastAsia="DengXian" w:cs="DengXian"/>
          <w:sz w:val="11"/>
          <w:szCs w:val="11"/>
          <w:spacing w:val="-1"/>
          <w:position w:val="10"/>
        </w:rPr>
        <w:t>1   </w:t>
      </w:r>
      <w:r>
        <w:rPr>
          <w:rFonts w:ascii="DengXian" w:hAnsi="DengXian" w:eastAsia="DengXian" w:cs="DengXian"/>
          <w:sz w:val="21"/>
          <w:szCs w:val="21"/>
          <w:spacing w:val="-1"/>
        </w:rPr>
        <w:t>取各家 2020~2023 年投资数占全部投资总数比</w:t>
      </w:r>
      <w:r>
        <w:rPr>
          <w:rFonts w:ascii="DengXian" w:hAnsi="DengXian" w:eastAsia="DengXian" w:cs="DengXian"/>
          <w:sz w:val="21"/>
          <w:szCs w:val="21"/>
          <w:spacing w:val="-28"/>
        </w:rPr>
        <w:t xml:space="preserve"> </w:t>
      </w:r>
      <w:r>
        <w:rPr>
          <w:rFonts w:ascii="DengXian" w:hAnsi="DengXian" w:eastAsia="DengXian" w:cs="DengXian"/>
          <w:sz w:val="21"/>
          <w:szCs w:val="21"/>
          <w:spacing w:val="-1"/>
        </w:rPr>
        <w:t>。小米由于生态战略起步早（2014 年</w:t>
      </w:r>
      <w:r>
        <w:rPr>
          <w:rFonts w:ascii="DengXian" w:hAnsi="DengXian" w:eastAsia="DengXian" w:cs="DengXian"/>
          <w:sz w:val="21"/>
          <w:szCs w:val="21"/>
          <w:spacing w:val="-38"/>
          <w:w w:val="82"/>
        </w:rPr>
        <w:t>），</w:t>
      </w:r>
      <w:r>
        <w:rPr>
          <w:rFonts w:ascii="DengXian" w:hAnsi="DengXian" w:eastAsia="DengXian" w:cs="DengXian"/>
          <w:sz w:val="21"/>
          <w:szCs w:val="21"/>
          <w:spacing w:val="-2"/>
        </w:rPr>
        <w:t>占比较低</w:t>
      </w:r>
      <w:r>
        <w:rPr>
          <w:rFonts w:ascii="DengXian" w:hAnsi="DengXian" w:eastAsia="DengXian" w:cs="DengXian"/>
          <w:sz w:val="21"/>
          <w:szCs w:val="21"/>
          <w:spacing w:val="-30"/>
        </w:rPr>
        <w:t xml:space="preserve"> </w:t>
      </w:r>
      <w:r>
        <w:rPr>
          <w:rFonts w:ascii="DengXian" w:hAnsi="DengXian" w:eastAsia="DengXian" w:cs="DengXian"/>
          <w:sz w:val="21"/>
          <w:szCs w:val="21"/>
          <w:spacing w:val="-2"/>
        </w:rPr>
        <w:t>，但 2020 年-2023 年仍为其投资高峰，仅 2021 年一年投资 82 家企业。</w:t>
      </w:r>
    </w:p>
    <w:p>
      <w:pPr>
        <w:ind w:left="20"/>
        <w:spacing w:line="298" w:lineRule="exact"/>
        <w:rPr>
          <w:rFonts w:ascii="DengXian" w:hAnsi="DengXian" w:eastAsia="DengXian" w:cs="DengXian"/>
          <w:sz w:val="21"/>
          <w:szCs w:val="21"/>
        </w:rPr>
      </w:pPr>
      <w:r>
        <w:rPr>
          <w:rFonts w:ascii="DengXian" w:hAnsi="DengXian" w:eastAsia="DengXian" w:cs="DengXian"/>
          <w:sz w:val="11"/>
          <w:szCs w:val="11"/>
          <w:spacing w:val="-2"/>
          <w:position w:val="12"/>
        </w:rPr>
        <w:t>2</w:t>
      </w:r>
      <w:r>
        <w:rPr>
          <w:rFonts w:ascii="DengXian" w:hAnsi="DengXian" w:eastAsia="DengXian" w:cs="DengXian"/>
          <w:sz w:val="11"/>
          <w:szCs w:val="11"/>
          <w:spacing w:val="9"/>
          <w:position w:val="12"/>
        </w:rPr>
        <w:t xml:space="preserve">   </w:t>
      </w:r>
      <w:r>
        <w:rPr>
          <w:rFonts w:ascii="DengXian" w:hAnsi="DengXian" w:eastAsia="DengXian" w:cs="DengXian"/>
          <w:sz w:val="21"/>
          <w:szCs w:val="21"/>
          <w:spacing w:val="-2"/>
          <w:position w:val="2"/>
        </w:rPr>
        <w:t>数据来源：IT 桔子</w:t>
      </w:r>
    </w:p>
    <w:p>
      <w:pPr>
        <w:spacing w:line="298" w:lineRule="exact"/>
        <w:sectPr>
          <w:pgSz w:w="11907" w:h="16839"/>
          <w:pgMar w:top="1431" w:right="1785" w:bottom="0" w:left="1785" w:header="0" w:footer="0" w:gutter="0"/>
        </w:sectPr>
        <w:rPr>
          <w:rFonts w:ascii="DengXian" w:hAnsi="DengXian" w:eastAsia="DengXian" w:cs="DengXian"/>
          <w:sz w:val="21"/>
          <w:szCs w:val="21"/>
        </w:rPr>
      </w:pPr>
    </w:p>
    <w:p>
      <w:pPr>
        <w:spacing w:line="91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8223" w:type="dxa"/>
        <w:tblInd w:w="55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074"/>
        <w:gridCol w:w="1557"/>
        <w:gridCol w:w="1135"/>
        <w:gridCol w:w="1346"/>
        <w:gridCol w:w="3111"/>
      </w:tblGrid>
      <w:tr>
        <w:trPr>
          <w:trHeight w:val="1001" w:hRule="atLeast"/>
        </w:trPr>
        <w:tc>
          <w:tcPr>
            <w:tcW w:w="1074" w:type="dxa"/>
            <w:vAlign w:val="top"/>
          </w:tcPr>
          <w:p>
            <w:pPr>
              <w:spacing w:line="32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40"/>
              <w:spacing w:before="68" w:line="218" w:lineRule="auto"/>
              <w:rPr/>
            </w:pPr>
            <w:r>
              <w:rPr>
                <w:spacing w:val="-4"/>
              </w:rPr>
              <w:t>华为</w:t>
            </w:r>
          </w:p>
        </w:tc>
        <w:tc>
          <w:tcPr>
            <w:tcW w:w="1557" w:type="dxa"/>
            <w:vAlign w:val="top"/>
          </w:tcPr>
          <w:p>
            <w:pPr>
              <w:pStyle w:val="TableText"/>
              <w:ind w:left="256" w:right="170" w:hanging="43"/>
              <w:spacing w:before="242" w:line="274" w:lineRule="auto"/>
              <w:rPr/>
            </w:pPr>
            <w:r>
              <w:rPr>
                <w:spacing w:val="-7"/>
              </w:rPr>
              <w:t>ICT</w:t>
            </w:r>
            <w:r>
              <w:rPr>
                <w:spacing w:val="-45"/>
              </w:rPr>
              <w:t xml:space="preserve"> </w:t>
            </w:r>
            <w:r>
              <w:rPr>
                <w:spacing w:val="-7"/>
              </w:rPr>
              <w:t>基础设施</w:t>
            </w:r>
            <w:r>
              <w:rPr>
                <w:spacing w:val="-1"/>
              </w:rPr>
              <w:t>和智能终端</w:t>
            </w:r>
          </w:p>
        </w:tc>
        <w:tc>
          <w:tcPr>
            <w:tcW w:w="1135" w:type="dxa"/>
            <w:vAlign w:val="top"/>
          </w:tcPr>
          <w:p>
            <w:pPr>
              <w:spacing w:line="32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63"/>
              <w:spacing w:before="68" w:line="241" w:lineRule="auto"/>
              <w:rPr/>
            </w:pPr>
            <w:r>
              <w:rPr>
                <w:spacing w:val="-3"/>
              </w:rPr>
              <w:t>87</w:t>
            </w:r>
          </w:p>
        </w:tc>
        <w:tc>
          <w:tcPr>
            <w:tcW w:w="1346" w:type="dxa"/>
            <w:vAlign w:val="top"/>
          </w:tcPr>
          <w:p>
            <w:pPr>
              <w:pStyle w:val="TableText"/>
              <w:ind w:left="570" w:right="141" w:hanging="415"/>
              <w:spacing w:before="241" w:line="281" w:lineRule="auto"/>
              <w:rPr/>
            </w:pPr>
            <w:r>
              <w:rPr>
                <w:spacing w:val="-2"/>
              </w:rPr>
              <w:t>半导体产业</w:t>
            </w:r>
            <w:r>
              <w:rPr/>
              <w:t>链</w:t>
            </w:r>
          </w:p>
        </w:tc>
        <w:tc>
          <w:tcPr>
            <w:tcW w:w="3111" w:type="dxa"/>
            <w:vAlign w:val="top"/>
          </w:tcPr>
          <w:p>
            <w:pPr>
              <w:pStyle w:val="TableText"/>
              <w:ind w:left="126" w:right="164" w:hanging="1"/>
              <w:spacing w:before="85" w:line="246" w:lineRule="auto"/>
              <w:rPr/>
            </w:pPr>
            <w:r>
              <w:rPr>
                <w:spacing w:val="-2"/>
              </w:rPr>
              <w:t>1.</w:t>
            </w:r>
            <w:r>
              <w:rPr>
                <w:spacing w:val="-2"/>
              </w:rPr>
              <w:t xml:space="preserve"> </w:t>
            </w:r>
            <w:r>
              <w:rPr>
                <w:spacing w:val="-2"/>
              </w:rPr>
              <w:t>打造国内芯片产业链，解决</w:t>
            </w:r>
            <w:r>
              <w:rPr>
                <w:spacing w:val="-2"/>
              </w:rPr>
              <w:t>芯片卡脖子问题（82%）</w:t>
            </w:r>
          </w:p>
          <w:p>
            <w:pPr>
              <w:pStyle w:val="TableText"/>
              <w:ind w:left="112"/>
              <w:spacing w:before="63" w:line="221" w:lineRule="auto"/>
              <w:rPr/>
            </w:pPr>
            <w:r>
              <w:rPr>
                <w:spacing w:val="-1"/>
              </w:rPr>
              <w:t>2.</w:t>
            </w:r>
            <w:r>
              <w:rPr>
                <w:spacing w:val="-1"/>
              </w:rPr>
              <w:t xml:space="preserve"> </w:t>
            </w:r>
            <w:r>
              <w:rPr>
                <w:spacing w:val="-1"/>
              </w:rPr>
              <w:t>前沿技术（18%）</w:t>
            </w:r>
          </w:p>
        </w:tc>
      </w:tr>
      <w:tr>
        <w:trPr>
          <w:trHeight w:val="1254" w:hRule="atLeast"/>
        </w:trPr>
        <w:tc>
          <w:tcPr>
            <w:tcW w:w="1074" w:type="dxa"/>
            <w:vAlign w:val="top"/>
          </w:tcPr>
          <w:p>
            <w:pPr>
              <w:spacing w:line="45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49"/>
              <w:spacing w:before="68" w:line="222" w:lineRule="auto"/>
              <w:rPr/>
            </w:pPr>
            <w:r>
              <w:rPr>
                <w:spacing w:val="-6"/>
              </w:rPr>
              <w:t>小米</w:t>
            </w:r>
          </w:p>
        </w:tc>
        <w:tc>
          <w:tcPr>
            <w:tcW w:w="1557" w:type="dxa"/>
            <w:vAlign w:val="top"/>
          </w:tcPr>
          <w:p>
            <w:pPr>
              <w:pStyle w:val="TableText"/>
              <w:ind w:left="166"/>
              <w:spacing w:before="53" w:line="217" w:lineRule="auto"/>
              <w:rPr/>
            </w:pPr>
            <w:r>
              <w:rPr>
                <w:spacing w:val="-3"/>
              </w:rPr>
              <w:t>消费电子及智</w:t>
            </w:r>
          </w:p>
          <w:p>
            <w:pPr>
              <w:pStyle w:val="TableText"/>
              <w:ind w:left="169"/>
              <w:spacing w:before="65" w:line="213" w:lineRule="auto"/>
              <w:rPr/>
            </w:pPr>
            <w:r>
              <w:rPr>
                <w:spacing w:val="-3"/>
              </w:rPr>
              <w:t>能制造，2021</w:t>
            </w:r>
          </w:p>
          <w:p>
            <w:pPr>
              <w:pStyle w:val="TableText"/>
              <w:ind w:left="154"/>
              <w:spacing w:before="69" w:line="217" w:lineRule="auto"/>
              <w:rPr/>
            </w:pPr>
            <w:r>
              <w:rPr>
                <w:spacing w:val="-1"/>
              </w:rPr>
              <w:t>年布局智能电</w:t>
            </w:r>
          </w:p>
          <w:p>
            <w:pPr>
              <w:pStyle w:val="TableText"/>
              <w:ind w:left="468"/>
              <w:spacing w:before="64" w:line="221" w:lineRule="auto"/>
              <w:rPr/>
            </w:pPr>
            <w:r>
              <w:rPr>
                <w:spacing w:val="-2"/>
              </w:rPr>
              <w:t>动汽车</w:t>
            </w:r>
          </w:p>
        </w:tc>
        <w:tc>
          <w:tcPr>
            <w:tcW w:w="1135" w:type="dxa"/>
            <w:vAlign w:val="top"/>
          </w:tcPr>
          <w:p>
            <w:pPr>
              <w:spacing w:line="45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07"/>
              <w:spacing w:before="68" w:line="241" w:lineRule="auto"/>
              <w:rPr/>
            </w:pPr>
            <w:r>
              <w:rPr>
                <w:spacing w:val="-1"/>
              </w:rPr>
              <w:t>435</w:t>
            </w:r>
          </w:p>
        </w:tc>
        <w:tc>
          <w:tcPr>
            <w:tcW w:w="1346" w:type="dxa"/>
            <w:vAlign w:val="top"/>
          </w:tcPr>
          <w:p>
            <w:pPr>
              <w:pStyle w:val="TableText"/>
              <w:ind w:left="122"/>
              <w:spacing w:before="53" w:line="216" w:lineRule="auto"/>
              <w:rPr/>
            </w:pPr>
            <w:r>
              <w:rPr>
                <w:spacing w:val="-1"/>
              </w:rPr>
              <w:t>AIoT</w:t>
            </w:r>
            <w:r>
              <w:rPr>
                <w:spacing w:val="-47"/>
              </w:rPr>
              <w:t xml:space="preserve"> </w:t>
            </w:r>
            <w:r>
              <w:rPr>
                <w:spacing w:val="-1"/>
              </w:rPr>
              <w:t>产业链</w:t>
            </w:r>
          </w:p>
          <w:p>
            <w:pPr>
              <w:pStyle w:val="TableText"/>
              <w:ind w:left="259"/>
              <w:spacing w:before="65" w:line="217" w:lineRule="auto"/>
              <w:rPr/>
            </w:pPr>
            <w:r>
              <w:rPr>
                <w:spacing w:val="-1"/>
              </w:rPr>
              <w:t>及智能制</w:t>
            </w:r>
          </w:p>
          <w:p>
            <w:pPr>
              <w:pStyle w:val="TableText"/>
              <w:ind w:left="157"/>
              <w:spacing w:before="65" w:line="213" w:lineRule="auto"/>
              <w:rPr/>
            </w:pPr>
            <w:r>
              <w:rPr>
                <w:spacing w:val="-2"/>
              </w:rPr>
              <w:t>造，智能汽</w:t>
            </w:r>
          </w:p>
          <w:p>
            <w:pPr>
              <w:pStyle w:val="TableText"/>
              <w:ind w:left="272"/>
              <w:spacing w:before="70" w:line="216" w:lineRule="auto"/>
              <w:rPr/>
            </w:pPr>
            <w:r>
              <w:rPr>
                <w:spacing w:val="-5"/>
              </w:rPr>
              <w:t>车产业链</w:t>
            </w:r>
          </w:p>
        </w:tc>
        <w:tc>
          <w:tcPr>
            <w:tcW w:w="3111" w:type="dxa"/>
            <w:vAlign w:val="top"/>
          </w:tcPr>
          <w:p>
            <w:pPr>
              <w:pStyle w:val="TableText"/>
              <w:ind w:left="114" w:right="162" w:firstLine="10"/>
              <w:spacing w:before="54" w:line="245" w:lineRule="auto"/>
              <w:rPr/>
            </w:pPr>
            <w:r>
              <w:rPr>
                <w:spacing w:val="-1"/>
              </w:rPr>
              <w:t>1.围绕“手机</w:t>
            </w:r>
            <w:r>
              <w:rPr>
                <w:spacing w:val="-1"/>
              </w:rPr>
              <w:t xml:space="preserve"> </w:t>
            </w:r>
            <w:r>
              <w:rPr>
                <w:spacing w:val="-1"/>
              </w:rPr>
              <w:t>X</w:t>
            </w:r>
            <w:r>
              <w:rPr>
                <w:spacing w:val="-1"/>
              </w:rPr>
              <w:t xml:space="preserve"> </w:t>
            </w:r>
            <w:r>
              <w:rPr>
                <w:spacing w:val="-1"/>
              </w:rPr>
              <w:t>AIoT”核心战</w:t>
            </w:r>
            <w:r>
              <w:rPr>
                <w:spacing w:val="-1"/>
              </w:rPr>
              <w:t>略构建产业生态圈（81%）</w:t>
            </w:r>
          </w:p>
          <w:p>
            <w:pPr>
              <w:pStyle w:val="TableText"/>
              <w:ind w:left="128" w:right="476" w:hanging="16"/>
              <w:spacing w:before="65" w:line="249" w:lineRule="auto"/>
              <w:rPr/>
            </w:pPr>
            <w:r>
              <w:rPr>
                <w:spacing w:val="-1"/>
              </w:rPr>
              <w:t>2.打造智能汽车制造产业链</w:t>
            </w:r>
            <w:r>
              <w:rPr>
                <w:spacing w:val="-4"/>
              </w:rPr>
              <w:t>（19%）</w:t>
            </w:r>
          </w:p>
        </w:tc>
      </w:tr>
    </w:tbl>
    <w:p>
      <w:pPr>
        <w:spacing w:line="426" w:lineRule="auto"/>
        <w:rPr>
          <w:rFonts w:ascii="Arial"/>
          <w:sz w:val="21"/>
        </w:rPr>
      </w:pPr>
      <w:r/>
    </w:p>
    <w:p>
      <w:pPr>
        <w:ind w:left="675"/>
        <w:spacing w:before="101" w:line="224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-5"/>
        </w:rPr>
        <w:t>二、“四大金刚”产业投资特点</w:t>
      </w:r>
    </w:p>
    <w:p>
      <w:pPr>
        <w:spacing w:line="273" w:lineRule="auto"/>
        <w:rPr>
          <w:rFonts w:ascii="Arial"/>
          <w:sz w:val="21"/>
        </w:rPr>
      </w:pPr>
      <w:r/>
    </w:p>
    <w:p>
      <w:pPr>
        <w:pStyle w:val="BodyText"/>
        <w:ind w:left="27" w:right="308" w:firstLine="609"/>
        <w:spacing w:before="97" w:line="239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5"/>
        </w:rPr>
        <w:t>1</w:t>
      </w:r>
      <w:r>
        <w:rPr>
          <w:b/>
          <w:bCs/>
          <w:spacing w:val="-5"/>
        </w:rPr>
        <w:t>．以投资促进产业链主导权和议价权，寻求产业控制力，</w:t>
      </w:r>
      <w:r>
        <w:rPr>
          <w:b/>
          <w:bCs/>
          <w:spacing w:val="-5"/>
        </w:rPr>
        <w:t>提高市场占有率</w:t>
      </w:r>
    </w:p>
    <w:p>
      <w:pPr>
        <w:spacing w:line="247" w:lineRule="auto"/>
        <w:rPr>
          <w:rFonts w:ascii="Arial"/>
          <w:sz w:val="21"/>
        </w:rPr>
      </w:pPr>
      <w:r/>
    </w:p>
    <w:p>
      <w:pPr>
        <w:pStyle w:val="BodyText"/>
        <w:ind w:left="26" w:firstLine="599"/>
        <w:spacing w:before="97" w:line="259" w:lineRule="auto"/>
        <w:jc w:val="both"/>
        <w:rPr/>
      </w:pPr>
      <w:r>
        <w:rPr>
          <w:spacing w:val="-4"/>
        </w:rPr>
        <w:t>产业投资机构多处于各自产业链中相对中游的位置，</w:t>
      </w:r>
      <w:r>
        <w:rPr>
          <w:spacing w:val="-5"/>
        </w:rPr>
        <w:t>将原材</w:t>
      </w:r>
      <w:r>
        <w:rPr>
          <w:spacing w:val="-4"/>
        </w:rPr>
        <w:t>料进行加工生产，销售给下游企业，在产业链的话语权受上下游</w:t>
      </w:r>
      <w:r>
        <w:rPr>
          <w:spacing w:val="-9"/>
        </w:rPr>
        <w:t>影响较大。近年来， 由于新能源汽车需求上涨，动力电池碳酸锂</w:t>
      </w:r>
      <w:r>
        <w:rPr>
          <w:spacing w:val="-6"/>
        </w:rPr>
        <w:t>等原材料成本不断攀升，动力电池厂商产量和利润受到严重挤压，</w:t>
      </w:r>
      <w:r>
        <w:rPr>
          <w:spacing w:val="-4"/>
        </w:rPr>
        <w:t>宁德时代和比亚迪通过一体化投资布局，提升产业链把控力，不</w:t>
      </w:r>
      <w:r>
        <w:rPr>
          <w:spacing w:val="-5"/>
        </w:rPr>
        <w:t>断巩固产业龙头地位。</w:t>
      </w:r>
    </w:p>
    <w:p>
      <w:pPr>
        <w:pStyle w:val="BodyText"/>
        <w:ind w:left="25" w:right="233" w:firstLine="605"/>
        <w:spacing w:before="273" w:line="259" w:lineRule="auto"/>
        <w:jc w:val="both"/>
        <w:rPr/>
      </w:pPr>
      <w:r>
        <w:rPr>
          <w:spacing w:val="-5"/>
        </w:rPr>
        <w:t>一是稳定上游供应，降本增效。两者围绕动力电池积极投资</w:t>
      </w:r>
      <w:r>
        <w:rPr>
          <w:spacing w:val="-4"/>
        </w:rPr>
        <w:t>磷、锂、钴、镍重要矿产资源和正负极、电解液等原材料源头企</w:t>
      </w:r>
      <w:r>
        <w:rPr>
          <w:spacing w:val="-4"/>
        </w:rPr>
        <w:t>业，保证上游供应充足，缓解成本压力，保障电池产量质量；二</w:t>
      </w:r>
      <w:r>
        <w:rPr>
          <w:spacing w:val="-4"/>
        </w:rPr>
        <w:t>是与下游企业深化合作，进行产品优化。宁德时代不断加大下游</w:t>
      </w:r>
      <w:r>
        <w:rPr>
          <w:spacing w:val="-9"/>
        </w:rPr>
        <w:t>出行领域投资，如极氪、奇瑞等， 形成长期联盟，共同研发电池</w:t>
      </w:r>
      <w:r>
        <w:rPr>
          <w:spacing w:val="-4"/>
        </w:rPr>
        <w:t>和车型，提升市场占有率，共创锂电池应用场景，打通全产业链</w:t>
      </w:r>
      <w:r>
        <w:rPr>
          <w:spacing w:val="-7"/>
        </w:rPr>
        <w:t>提升议价能力。</w:t>
      </w:r>
    </w:p>
    <w:p>
      <w:pPr>
        <w:pStyle w:val="BodyText"/>
        <w:ind w:left="28" w:right="235" w:firstLine="595"/>
        <w:spacing w:before="274" w:line="239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2"/>
        </w:rPr>
        <w:t>2</w:t>
      </w:r>
      <w:r>
        <w:rPr>
          <w:b/>
          <w:bCs/>
          <w:spacing w:val="-2"/>
        </w:rPr>
        <w:t>．以投资保障供应链安全，寻求技术突破，促进技术自主</w:t>
      </w:r>
      <w:r>
        <w:rPr>
          <w:b/>
          <w:bCs/>
          <w:spacing w:val="-7"/>
        </w:rPr>
        <w:t>可控</w:t>
      </w:r>
    </w:p>
    <w:p>
      <w:pPr>
        <w:pStyle w:val="BodyText"/>
        <w:ind w:left="25" w:right="232" w:firstLine="601"/>
        <w:spacing w:before="338" w:line="259" w:lineRule="auto"/>
        <w:jc w:val="both"/>
        <w:rPr/>
      </w:pPr>
      <w:r>
        <w:rPr>
          <w:spacing w:val="-4"/>
        </w:rPr>
        <w:t>产业投资机构围绕关键领域进行战略布局，专注攻关</w:t>
      </w:r>
      <w:r>
        <w:rPr>
          <w:spacing w:val="-5"/>
        </w:rPr>
        <w:t>“卡脖</w:t>
      </w:r>
      <w:r>
        <w:rPr>
          <w:spacing w:val="-1"/>
        </w:rPr>
        <w:t>子”难题，保障供应链稳定和安全。受</w:t>
      </w:r>
      <w:r>
        <w:rPr>
          <w:spacing w:val="-40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2019</w:t>
      </w:r>
      <w:r>
        <w:rPr>
          <w:rFonts w:ascii="Times New Roman" w:hAnsi="Times New Roman" w:eastAsia="Times New Roman" w:cs="Times New Roman"/>
          <w:spacing w:val="43"/>
          <w:w w:val="101"/>
        </w:rPr>
        <w:t xml:space="preserve"> </w:t>
      </w:r>
      <w:r>
        <w:rPr>
          <w:spacing w:val="-1"/>
        </w:rPr>
        <w:t>年以来美</w:t>
      </w:r>
      <w:r>
        <w:rPr>
          <w:spacing w:val="-2"/>
        </w:rPr>
        <w:t>国多轮制</w:t>
      </w:r>
      <w:r>
        <w:rPr>
          <w:spacing w:val="-4"/>
        </w:rPr>
        <w:t>裁影响，华为在芯片端受到重创，其原有供应链体系被打碎，多</w:t>
      </w:r>
      <w:r>
        <w:rPr>
          <w:spacing w:val="-4"/>
        </w:rPr>
        <w:t>项业务受到强烈冲击，为解决国产芯片问题，华为成立哈勃投资</w:t>
      </w:r>
      <w:r>
        <w:rPr>
          <w:spacing w:val="-1"/>
        </w:rPr>
        <w:t>对芯片全产业链展开布局，既投资上游半导体材料及</w:t>
      </w:r>
      <w:r>
        <w:rPr>
          <w:spacing w:val="-49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E</w:t>
      </w:r>
      <w:r>
        <w:rPr>
          <w:rFonts w:ascii="Times New Roman" w:hAnsi="Times New Roman" w:eastAsia="Times New Roman" w:cs="Times New Roman"/>
          <w:spacing w:val="-2"/>
        </w:rPr>
        <w:t>DA</w:t>
      </w:r>
      <w:r>
        <w:rPr>
          <w:rFonts w:ascii="Times New Roman" w:hAnsi="Times New Roman" w:eastAsia="Times New Roman" w:cs="Times New Roman"/>
          <w:spacing w:val="33"/>
        </w:rPr>
        <w:t xml:space="preserve"> </w:t>
      </w:r>
      <w:r>
        <w:rPr>
          <w:spacing w:val="-2"/>
        </w:rPr>
        <w:t>软件</w:t>
      </w:r>
    </w:p>
    <w:p>
      <w:pPr>
        <w:spacing w:line="259" w:lineRule="auto"/>
        <w:sectPr>
          <w:pgSz w:w="11907" w:h="16839"/>
          <w:pgMar w:top="1431" w:right="1566" w:bottom="0" w:left="1785" w:header="0" w:footer="0" w:gutter="0"/>
        </w:sectPr>
        <w:rPr/>
      </w:pPr>
    </w:p>
    <w:p>
      <w:pPr>
        <w:pStyle w:val="BodyText"/>
        <w:ind w:left="27" w:right="256"/>
        <w:spacing w:before="86" w:line="260" w:lineRule="auto"/>
        <w:jc w:val="both"/>
        <w:rPr/>
      </w:pPr>
      <w:r>
        <w:rPr>
          <w:spacing w:val="-4"/>
        </w:rPr>
        <w:t>开发等，解决产业链源头根本性的技术问题，又投资中游的芯片</w:t>
      </w:r>
      <w:r>
        <w:rPr>
          <w:spacing w:val="-9"/>
        </w:rPr>
        <w:t>设计、晶圆制造、封装测试等重点领域和技术短板， 保障供应链</w:t>
      </w:r>
      <w:r>
        <w:rPr>
          <w:spacing w:val="-8"/>
        </w:rPr>
        <w:t>稳定和安全。</w:t>
      </w:r>
    </w:p>
    <w:p>
      <w:pPr>
        <w:pStyle w:val="BodyText"/>
        <w:ind w:left="37" w:right="255" w:firstLine="620"/>
        <w:spacing w:before="269" w:line="262" w:lineRule="auto"/>
        <w:jc w:val="both"/>
        <w:rPr/>
      </w:pPr>
      <w:r>
        <w:rPr>
          <w:spacing w:val="-6"/>
        </w:rPr>
        <w:t>比亚迪也提前布局致力于芯片国产化，围绕汽车智能化产业</w:t>
      </w:r>
      <w:r>
        <w:rPr>
          <w:spacing w:val="-3"/>
        </w:rPr>
        <w:t>聚焦投资半导体核心领域，近</w:t>
      </w:r>
      <w:r>
        <w:rPr>
          <w:spacing w:val="-38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3</w:t>
      </w:r>
      <w:r>
        <w:rPr>
          <w:rFonts w:ascii="Times New Roman" w:hAnsi="Times New Roman" w:eastAsia="Times New Roman" w:cs="Times New Roman"/>
          <w:spacing w:val="27"/>
          <w:w w:val="101"/>
        </w:rPr>
        <w:t xml:space="preserve"> </w:t>
      </w:r>
      <w:r>
        <w:rPr>
          <w:spacing w:val="-3"/>
        </w:rPr>
        <w:t>年累计投资</w:t>
      </w:r>
      <w:r>
        <w:rPr>
          <w:spacing w:val="-55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23</w:t>
      </w:r>
      <w:r>
        <w:rPr>
          <w:rFonts w:ascii="Times New Roman" w:hAnsi="Times New Roman" w:eastAsia="Times New Roman" w:cs="Times New Roman"/>
          <w:spacing w:val="32"/>
        </w:rPr>
        <w:t xml:space="preserve"> </w:t>
      </w:r>
      <w:r>
        <w:rPr>
          <w:spacing w:val="-3"/>
        </w:rPr>
        <w:t>笔，占产业链投</w:t>
      </w:r>
      <w:r>
        <w:rPr>
          <w:spacing w:val="-3"/>
        </w:rPr>
        <w:t>资比重达</w:t>
      </w:r>
      <w:r>
        <w:rPr>
          <w:spacing w:val="-59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48%</w:t>
      </w:r>
      <w:r>
        <w:rPr>
          <w:spacing w:val="-3"/>
        </w:rPr>
        <w:t>，通过投资输入专利技术，促进技术自主可控。</w:t>
      </w:r>
    </w:p>
    <w:p>
      <w:pPr>
        <w:pStyle w:val="BodyText"/>
        <w:ind w:left="621"/>
        <w:spacing w:before="265" w:line="233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2"/>
        </w:rPr>
        <w:t>3</w:t>
      </w:r>
      <w:r>
        <w:rPr>
          <w:b/>
          <w:bCs/>
          <w:spacing w:val="-2"/>
        </w:rPr>
        <w:t>．以投资拓展新市场，寻求转型布局，助力企业转</w:t>
      </w:r>
      <w:r>
        <w:rPr>
          <w:b/>
          <w:bCs/>
          <w:spacing w:val="-3"/>
        </w:rPr>
        <w:t>型升级</w:t>
      </w:r>
    </w:p>
    <w:p>
      <w:pPr>
        <w:pStyle w:val="BodyText"/>
        <w:ind w:left="26" w:right="23" w:firstLine="604"/>
        <w:spacing w:before="324" w:line="259" w:lineRule="auto"/>
        <w:jc w:val="both"/>
        <w:rPr/>
      </w:pPr>
      <w:r>
        <w:rPr>
          <w:spacing w:val="-1"/>
        </w:rPr>
        <w:t>一方面，产业投资机构根据企业战略调整及行业发展演进，</w:t>
      </w:r>
      <w:r>
        <w:rPr>
          <w:spacing w:val="-9"/>
        </w:rPr>
        <w:t>通过投资快速获取发展新机会、进军新市场，进而优化自身业务，</w:t>
      </w:r>
      <w:r>
        <w:rPr>
          <w:spacing w:val="-4"/>
        </w:rPr>
        <w:t>如比亚迪通过投资自动驾驶核心技术企业实现战略升级，快速进</w:t>
      </w:r>
      <w:r>
        <w:rPr>
          <w:spacing w:val="-4"/>
        </w:rPr>
        <w:t>军汽车智能化领域；宁德时代通过入股、合资等方式横向布局换</w:t>
      </w:r>
      <w:r>
        <w:rPr>
          <w:spacing w:val="-9"/>
        </w:rPr>
        <w:t>电储能、电池运营和电池回收领域， 拓展锂电池应用场景，延展</w:t>
      </w:r>
      <w:r>
        <w:rPr>
          <w:spacing w:val="-6"/>
        </w:rPr>
        <w:t>自身产业链及业务范围，将电池能源独立作为汽车外的共享资产，</w:t>
      </w:r>
      <w:r>
        <w:rPr>
          <w:spacing w:val="-6"/>
        </w:rPr>
        <w:t>打造第二增长曲线。</w:t>
      </w:r>
    </w:p>
    <w:p>
      <w:pPr>
        <w:pStyle w:val="BodyText"/>
        <w:ind w:left="26" w:firstLine="607"/>
        <w:spacing w:before="269" w:line="259" w:lineRule="auto"/>
        <w:jc w:val="both"/>
        <w:rPr/>
      </w:pPr>
      <w:r>
        <w:rPr>
          <w:spacing w:val="-5"/>
        </w:rPr>
        <w:t>另一方面，通过投资产业链上下游建立起来的密切联系也有</w:t>
      </w:r>
      <w:r>
        <w:rPr>
          <w:spacing w:val="-4"/>
        </w:rPr>
        <w:t>助于提升企业的敏锐度，及时发现行业发展新机遇，如小米通过</w:t>
      </w:r>
      <w:r>
        <w:rPr>
          <w:spacing w:val="-5"/>
        </w:rPr>
        <w:t>参投各类企业强化对生态和各细分领域敏感度，定期与</w:t>
      </w:r>
      <w:r>
        <w:rPr>
          <w:spacing w:val="-6"/>
        </w:rPr>
        <w:t>业务部门、</w:t>
      </w:r>
      <w:r>
        <w:rPr>
          <w:spacing w:val="-4"/>
        </w:rPr>
        <w:t>被投资企业讨论交流行业走势和技术方向，并通过调研供应链合</w:t>
      </w:r>
      <w:r>
        <w:rPr>
          <w:spacing w:val="1"/>
        </w:rPr>
        <w:t>作伙伴了解产业发展，从手机、智能硬件、生活耗材再到造车，</w:t>
      </w:r>
      <w:r>
        <w:rPr>
          <w:spacing w:val="-1"/>
        </w:rPr>
        <w:t>精准采位，快速打造</w:t>
      </w:r>
      <w:r>
        <w:rPr>
          <w:spacing w:val="-58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AIoT </w:t>
      </w:r>
      <w:r>
        <w:rPr>
          <w:spacing w:val="-1"/>
        </w:rPr>
        <w:t>生态圈，并在短短</w:t>
      </w:r>
      <w:r>
        <w:rPr>
          <w:spacing w:val="-67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2 </w:t>
      </w:r>
      <w:r>
        <w:rPr>
          <w:spacing w:val="-1"/>
        </w:rPr>
        <w:t>年内形成较为完</w:t>
      </w:r>
      <w:r>
        <w:rPr>
          <w:spacing w:val="-2"/>
        </w:rPr>
        <w:t>备的造车产业链，瞄准智能驾驶技术链，打造核心竞</w:t>
      </w:r>
      <w:r>
        <w:rPr>
          <w:spacing w:val="-3"/>
        </w:rPr>
        <w:t>争力。</w:t>
      </w:r>
    </w:p>
    <w:p>
      <w:pPr>
        <w:pStyle w:val="BodyText"/>
        <w:ind w:left="624"/>
        <w:spacing w:before="278" w:line="233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3"/>
        </w:rPr>
        <w:t>4</w:t>
      </w:r>
      <w:r>
        <w:rPr>
          <w:b/>
          <w:bCs/>
          <w:spacing w:val="-3"/>
        </w:rPr>
        <w:t>．通过“参股</w:t>
      </w:r>
      <w:r>
        <w:rPr>
          <w:rFonts w:ascii="Times New Roman" w:hAnsi="Times New Roman" w:eastAsia="Times New Roman" w:cs="Times New Roman"/>
          <w:b/>
          <w:bCs/>
          <w:spacing w:val="-3"/>
        </w:rPr>
        <w:t>+</w:t>
      </w:r>
      <w:r>
        <w:rPr>
          <w:b/>
          <w:bCs/>
          <w:spacing w:val="-3"/>
        </w:rPr>
        <w:t>赋能”提升产业生态影响力</w:t>
      </w:r>
    </w:p>
    <w:p>
      <w:pPr>
        <w:pStyle w:val="BodyText"/>
        <w:ind w:left="26" w:right="105" w:firstLine="599"/>
        <w:spacing w:before="322" w:line="258" w:lineRule="auto"/>
        <w:tabs>
          <w:tab w:val="left" w:pos="8470"/>
        </w:tabs>
        <w:jc w:val="both"/>
        <w:rPr/>
      </w:pPr>
      <w:r>
        <w:rPr>
          <w:spacing w:val="-5"/>
        </w:rPr>
        <w:t>产业投资机构着眼于长远的产业布局，多形成“参股</w:t>
      </w:r>
      <w:r>
        <w:rPr>
          <w:rFonts w:ascii="Times New Roman" w:hAnsi="Times New Roman" w:eastAsia="Times New Roman" w:cs="Times New Roman"/>
          <w:spacing w:val="-5"/>
        </w:rPr>
        <w:t>+</w:t>
      </w:r>
      <w:r>
        <w:rPr>
          <w:spacing w:val="-5"/>
        </w:rPr>
        <w:t>赋能”</w:t>
      </w:r>
      <w:r>
        <w:rPr>
          <w:spacing w:val="-10"/>
        </w:rPr>
        <w:t>的投资模式，一方面以参股为主，大多数股比处于</w:t>
      </w:r>
      <w:r>
        <w:rPr>
          <w:spacing w:val="-60"/>
        </w:rPr>
        <w:t xml:space="preserve"> </w:t>
      </w:r>
      <w:r>
        <w:rPr>
          <w:rFonts w:ascii="Times New Roman" w:hAnsi="Times New Roman" w:eastAsia="Times New Roman" w:cs="Times New Roman"/>
          <w:spacing w:val="-10"/>
        </w:rPr>
        <w:t>5~15%</w:t>
      </w:r>
      <w:r>
        <w:rPr>
          <w:spacing w:val="-10"/>
        </w:rPr>
        <w:t>左右</w:t>
      </w:r>
      <w:r>
        <w:rPr>
          <w:rFonts w:ascii="Times New Roman" w:hAnsi="Times New Roman" w:eastAsia="Times New Roman" w:cs="Times New Roman"/>
          <w:sz w:val="18"/>
          <w:szCs w:val="18"/>
          <w:spacing w:val="-11"/>
          <w:position w:val="10"/>
        </w:rPr>
        <w:t>3</w:t>
      </w:r>
      <w:r>
        <w:rPr>
          <w:spacing w:val="-11"/>
        </w:rPr>
        <w:t>，</w:t>
      </w:r>
      <w:r>
        <w:rPr>
          <w:spacing w:val="-4"/>
        </w:rPr>
        <w:t>既可以以较少资金撬动更大资源降低试错成本，也可以在具有一</w:t>
      </w:r>
      <w:r>
        <w:rPr>
          <w:spacing w:val="-4"/>
        </w:rPr>
        <w:t>定控制权的基础上，保障被投资企业核心团队稳定性和经营相对</w:t>
      </w:r>
      <w:r>
        <w:rPr>
          <w:spacing w:val="-4"/>
        </w:rPr>
        <w:t>独立性，释放发展潜力，另一方面在给予资金的同时，也给予管</w:t>
      </w:r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>
        <w:pict>
          <v:shape id="_x0000_s4" style="position:absolute;margin-left:0.72599pt;margin-top:9.48489pt;mso-position-vertical-relative:text;mso-position-horizontal-relative:text;width:144.05pt;height:0.5pt;z-index:251660288;" fillcolor="#000000" filled="true" stroked="false" coordsize="2881,10" coordorigin="0,0" path="m0,9l2880,9l2880,0l0,0l0,9xe"/>
        </w:pict>
      </w:r>
      <w:r/>
    </w:p>
    <w:p>
      <w:pPr>
        <w:ind w:left="19"/>
        <w:spacing w:before="72" w:line="296" w:lineRule="exact"/>
        <w:rPr>
          <w:rFonts w:ascii="DengXian" w:hAnsi="DengXian" w:eastAsia="DengXian" w:cs="DengXian"/>
          <w:sz w:val="21"/>
          <w:szCs w:val="21"/>
        </w:rPr>
      </w:pPr>
      <w:r>
        <w:rPr>
          <w:rFonts w:ascii="DengXian" w:hAnsi="DengXian" w:eastAsia="DengXian" w:cs="DengXian"/>
          <w:sz w:val="11"/>
          <w:szCs w:val="11"/>
          <w:spacing w:val="-1"/>
          <w:position w:val="12"/>
        </w:rPr>
        <w:t>3    </w:t>
      </w:r>
      <w:r>
        <w:rPr>
          <w:rFonts w:ascii="DengXian" w:hAnsi="DengXian" w:eastAsia="DengXian" w:cs="DengXian"/>
          <w:sz w:val="21"/>
          <w:szCs w:val="21"/>
          <w:spacing w:val="-1"/>
          <w:position w:val="2"/>
        </w:rPr>
        <w:t>宁德时代对矿产等少量核心资源企业会超过 25%。</w:t>
      </w:r>
    </w:p>
    <w:p>
      <w:pPr>
        <w:spacing w:line="296" w:lineRule="exact"/>
        <w:sectPr>
          <w:pgSz w:w="11907" w:h="16839"/>
          <w:pgMar w:top="1431" w:right="1543" w:bottom="0" w:left="1785" w:header="0" w:footer="0" w:gutter="0"/>
        </w:sectPr>
        <w:rPr>
          <w:rFonts w:ascii="DengXian" w:hAnsi="DengXian" w:eastAsia="DengXian" w:cs="DengXian"/>
          <w:sz w:val="21"/>
          <w:szCs w:val="21"/>
        </w:rPr>
      </w:pPr>
    </w:p>
    <w:p>
      <w:pPr>
        <w:pStyle w:val="BodyText"/>
        <w:ind w:left="74" w:right="13" w:hanging="45"/>
        <w:spacing w:before="85" w:line="261" w:lineRule="auto"/>
        <w:rPr/>
      </w:pPr>
      <w:r>
        <w:rPr>
          <w:spacing w:val="-9"/>
        </w:rPr>
        <w:t>理、技术、资源等多方面增值服务赋能被投资企业， 更好服务于</w:t>
      </w:r>
      <w:r>
        <w:rPr>
          <w:spacing w:val="-6"/>
        </w:rPr>
        <w:t>自身发展战略，提高整体行业竞争力。</w:t>
      </w:r>
    </w:p>
    <w:p>
      <w:pPr>
        <w:pStyle w:val="BodyText"/>
        <w:ind w:left="26" w:right="12" w:firstLine="601"/>
        <w:spacing w:before="277" w:line="258" w:lineRule="auto"/>
        <w:jc w:val="both"/>
        <w:rPr/>
      </w:pPr>
      <w:r>
        <w:rPr>
          <w:spacing w:val="-4"/>
        </w:rPr>
        <w:t>华为以大额订单和专业技术指导支持被投资企业发</w:t>
      </w:r>
      <w:r>
        <w:rPr>
          <w:spacing w:val="-5"/>
        </w:rPr>
        <w:t>展，协同</w:t>
      </w:r>
      <w:r>
        <w:rPr>
          <w:spacing w:val="-4"/>
        </w:rPr>
        <w:t>做大做强国内芯片产业链发展。小米始终坚持“参股不控股”和</w:t>
      </w:r>
      <w:r>
        <w:rPr>
          <w:spacing w:val="1"/>
        </w:rPr>
        <w:t>原则“投资</w:t>
      </w:r>
      <w:r>
        <w:rPr>
          <w:rFonts w:ascii="Times New Roman" w:hAnsi="Times New Roman" w:eastAsia="Times New Roman" w:cs="Times New Roman"/>
          <w:spacing w:val="1"/>
        </w:rPr>
        <w:t>+</w:t>
      </w:r>
      <w:r>
        <w:rPr>
          <w:spacing w:val="1"/>
        </w:rPr>
        <w:t>孵化”战略，对被投资企业以深度合作、品</w:t>
      </w:r>
      <w:r>
        <w:rPr/>
        <w:t>牌赋能</w:t>
      </w:r>
      <w:r>
        <w:rPr>
          <w:spacing w:val="-5"/>
        </w:rPr>
        <w:t>和渠道共享等方式进行孵化，如今小米已投资了</w:t>
      </w:r>
      <w:r>
        <w:rPr>
          <w:spacing w:val="-31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100 </w:t>
      </w:r>
      <w:r>
        <w:rPr>
          <w:spacing w:val="-5"/>
        </w:rPr>
        <w:t>余家智能装</w:t>
      </w:r>
      <w:r>
        <w:rPr>
          <w:spacing w:val="-4"/>
        </w:rPr>
        <w:t>备企业，通过拉动上下游产品及技术供应商打造国产制造装备供</w:t>
      </w:r>
      <w:r>
        <w:rPr>
          <w:spacing w:val="-9"/>
        </w:rPr>
        <w:t>给生态集群，同时反哺小米带来市场、技术、人才等资源， 巩固</w:t>
      </w:r>
      <w:r>
        <w:rPr>
          <w:spacing w:val="-7"/>
        </w:rPr>
        <w:t>其行业龙头地位。</w:t>
      </w:r>
    </w:p>
    <w:p>
      <w:pPr>
        <w:spacing w:line="351" w:lineRule="auto"/>
        <w:rPr>
          <w:rFonts w:ascii="Arial"/>
          <w:sz w:val="21"/>
        </w:rPr>
      </w:pPr>
      <w:r/>
    </w:p>
    <w:p>
      <w:pPr>
        <w:ind w:left="676"/>
        <w:spacing w:before="101" w:line="224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5"/>
        </w:rPr>
        <w:t>三、对中国电信的建议</w:t>
      </w:r>
    </w:p>
    <w:p>
      <w:pPr>
        <w:spacing w:line="269" w:lineRule="auto"/>
        <w:rPr>
          <w:rFonts w:ascii="Arial"/>
          <w:sz w:val="21"/>
        </w:rPr>
      </w:pPr>
      <w:r/>
    </w:p>
    <w:p>
      <w:pPr>
        <w:pStyle w:val="BodyText"/>
        <w:ind w:left="25" w:right="13" w:firstLine="580"/>
        <w:spacing w:before="98" w:line="260" w:lineRule="auto"/>
        <w:jc w:val="both"/>
        <w:rPr/>
      </w:pPr>
      <w:r>
        <w:rPr>
          <w:spacing w:val="-4"/>
        </w:rPr>
        <w:t>“四大金刚”通过产业投资布局构筑起庞大版图，通过资本</w:t>
      </w:r>
      <w:r>
        <w:rPr>
          <w:spacing w:val="-4"/>
        </w:rPr>
        <w:t>与市场的高度融合快速发展，当前中国电信正处于战略升级的关</w:t>
      </w:r>
      <w:r>
        <w:rPr>
          <w:spacing w:val="-4"/>
        </w:rPr>
        <w:t>键时期，应主动借助产业投资助力业务发展和技术创新，高效赋</w:t>
      </w:r>
      <w:r>
        <w:rPr>
          <w:spacing w:val="-5"/>
        </w:rPr>
        <w:t>能，打造产业主导地位。</w:t>
      </w:r>
    </w:p>
    <w:p>
      <w:pPr>
        <w:pStyle w:val="BodyText"/>
        <w:ind w:left="636"/>
        <w:spacing w:before="271" w:line="233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3"/>
        </w:rPr>
        <w:t>1</w:t>
      </w:r>
      <w:r>
        <w:rPr>
          <w:b/>
          <w:bCs/>
          <w:spacing w:val="-3"/>
        </w:rPr>
        <w:t>．围绕产业图谱提前布局，夯实产数业务能力</w:t>
      </w:r>
    </w:p>
    <w:p>
      <w:pPr>
        <w:pStyle w:val="BodyText"/>
        <w:ind w:left="26" w:right="15" w:firstLine="604"/>
        <w:spacing w:before="319" w:line="255" w:lineRule="auto"/>
        <w:rPr/>
      </w:pPr>
      <w:r>
        <w:rPr>
          <w:spacing w:val="-3"/>
        </w:rPr>
        <w:t>一是对中国电信 </w:t>
      </w:r>
      <w:r>
        <w:rPr>
          <w:rFonts w:ascii="Times New Roman" w:hAnsi="Times New Roman" w:eastAsia="Times New Roman" w:cs="Times New Roman"/>
          <w:spacing w:val="-3"/>
        </w:rPr>
        <w:t>13</w:t>
      </w:r>
      <w:r>
        <w:rPr>
          <w:rFonts w:ascii="Times New Roman" w:hAnsi="Times New Roman" w:eastAsia="Times New Roman" w:cs="Times New Roman"/>
          <w:spacing w:val="43"/>
        </w:rPr>
        <w:t xml:space="preserve"> </w:t>
      </w:r>
      <w:r>
        <w:rPr>
          <w:spacing w:val="-3"/>
        </w:rPr>
        <w:t>条重点产业链深入研究，拆分各链核心</w:t>
      </w:r>
      <w:r>
        <w:rPr>
          <w:spacing w:val="-3"/>
        </w:rPr>
        <w:t>环节，依托自身及市场情况明确发展阶段和发展目标。</w:t>
      </w:r>
    </w:p>
    <w:p>
      <w:pPr>
        <w:pStyle w:val="BodyText"/>
        <w:ind w:left="25" w:right="12" w:firstLine="605"/>
        <w:spacing w:before="288" w:line="260" w:lineRule="auto"/>
        <w:jc w:val="both"/>
        <w:rPr/>
      </w:pPr>
      <w:r>
        <w:rPr>
          <w:spacing w:val="-10"/>
        </w:rPr>
        <w:t>二是根据产业图谱和自身定位，聚焦云、安全、</w:t>
      </w:r>
      <w:r>
        <w:rPr>
          <w:spacing w:val="-72"/>
        </w:rPr>
        <w:t xml:space="preserve"> </w:t>
      </w:r>
      <w:r>
        <w:rPr>
          <w:rFonts w:ascii="Times New Roman" w:hAnsi="Times New Roman" w:eastAsia="Times New Roman" w:cs="Times New Roman"/>
          <w:spacing w:val="-10"/>
        </w:rPr>
        <w:t>AI </w:t>
      </w:r>
      <w:r>
        <w:rPr>
          <w:spacing w:val="-10"/>
        </w:rPr>
        <w:t>产业现状</w:t>
      </w:r>
      <w:r>
        <w:rPr>
          <w:spacing w:val="-4"/>
        </w:rPr>
        <w:t>明确划分自研、合作研发、生态引入等产业链各环节具体发展方</w:t>
      </w:r>
      <w:r>
        <w:rPr>
          <w:spacing w:val="-4"/>
        </w:rPr>
        <w:t>式，以不同投资目的进行产业投资标的筛选，巩固中国电信产业</w:t>
      </w:r>
      <w:r>
        <w:rPr>
          <w:spacing w:val="-9"/>
        </w:rPr>
        <w:t>链地位。如可面向上游基站设备、网络优化、终端安全等， 下游</w:t>
      </w:r>
      <w:r>
        <w:rPr>
          <w:spacing w:val="-4"/>
        </w:rPr>
        <w:t>产业应用聚焦数字化和信息通信应用及服务等领域展开布局，做</w:t>
      </w:r>
      <w:r>
        <w:rPr>
          <w:spacing w:val="-4"/>
        </w:rPr>
        <w:t>大产数生态圈，灵活调整投资战略。</w:t>
      </w:r>
    </w:p>
    <w:p>
      <w:pPr>
        <w:pStyle w:val="BodyText"/>
        <w:ind w:left="26" w:right="13" w:firstLine="599"/>
        <w:spacing w:before="271" w:line="260" w:lineRule="auto"/>
        <w:jc w:val="both"/>
        <w:rPr/>
      </w:pPr>
      <w:r>
        <w:rPr>
          <w:spacing w:val="-4"/>
        </w:rPr>
        <w:t>三是根据围绕供应链安全展开投资布局，着重解决芯</w:t>
      </w:r>
      <w:r>
        <w:rPr>
          <w:spacing w:val="-5"/>
        </w:rPr>
        <w:t>片半导</w:t>
      </w:r>
      <w:r>
        <w:rPr>
          <w:spacing w:val="-9"/>
        </w:rPr>
        <w:t>体、量子、</w:t>
      </w:r>
      <w:r>
        <w:rPr>
          <w:spacing w:val="-79"/>
        </w:rPr>
        <w:t xml:space="preserve"> </w:t>
      </w:r>
      <w:r>
        <w:rPr>
          <w:rFonts w:ascii="Times New Roman" w:hAnsi="Times New Roman" w:eastAsia="Times New Roman" w:cs="Times New Roman"/>
          <w:spacing w:val="-9"/>
        </w:rPr>
        <w:t>AI </w:t>
      </w:r>
      <w:r>
        <w:rPr>
          <w:spacing w:val="-9"/>
        </w:rPr>
        <w:t>等关键领域卡脖子问题，以资本为纽带深化与被投</w:t>
      </w:r>
      <w:r>
        <w:rPr>
          <w:spacing w:val="-3"/>
        </w:rPr>
        <w:t>企业的技术研发合作，提升核心竞争力。</w:t>
      </w:r>
    </w:p>
    <w:p>
      <w:pPr>
        <w:pStyle w:val="BodyText"/>
        <w:ind w:right="24"/>
        <w:spacing w:before="272" w:line="233" w:lineRule="auto"/>
        <w:jc w:val="right"/>
        <w:rPr/>
      </w:pPr>
      <w:r>
        <w:rPr>
          <w:rFonts w:ascii="Times New Roman" w:hAnsi="Times New Roman" w:eastAsia="Times New Roman" w:cs="Times New Roman"/>
          <w:b/>
          <w:bCs/>
          <w:spacing w:val="-2"/>
        </w:rPr>
        <w:t>2</w:t>
      </w:r>
      <w:r>
        <w:rPr>
          <w:b/>
          <w:bCs/>
          <w:spacing w:val="-2"/>
        </w:rPr>
        <w:t>．提高集团对产业投资的重视程度，以产业投资为桥梁，</w:t>
      </w:r>
    </w:p>
    <w:p>
      <w:pPr>
        <w:spacing w:line="233" w:lineRule="auto"/>
        <w:sectPr>
          <w:pgSz w:w="11907" w:h="16839"/>
          <w:pgMar w:top="1431" w:right="1785" w:bottom="0" w:left="1785" w:header="0" w:footer="0" w:gutter="0"/>
        </w:sectPr>
        <w:rPr/>
      </w:pPr>
    </w:p>
    <w:p>
      <w:pPr>
        <w:pStyle w:val="BodyText"/>
        <w:ind w:left="27"/>
        <w:spacing w:before="87" w:line="219" w:lineRule="auto"/>
        <w:rPr/>
      </w:pPr>
      <w:r>
        <w:rPr>
          <w:b/>
          <w:bCs/>
          <w:spacing w:val="-4"/>
        </w:rPr>
        <w:t>促进产业生态协同和业务转型升级</w:t>
      </w:r>
    </w:p>
    <w:p>
      <w:pPr>
        <w:pStyle w:val="BodyText"/>
        <w:ind w:left="26" w:right="13" w:firstLine="628"/>
        <w:spacing w:before="337" w:line="260" w:lineRule="auto"/>
        <w:jc w:val="both"/>
        <w:rPr/>
      </w:pPr>
      <w:r>
        <w:rPr>
          <w:spacing w:val="-5"/>
        </w:rPr>
        <w:t>中国电信应积极拓宽与被投资企业的连接关系，</w:t>
      </w:r>
      <w:r>
        <w:rPr>
          <w:spacing w:val="-6"/>
        </w:rPr>
        <w:t>纵深推进新</w:t>
      </w:r>
      <w:r>
        <w:rPr>
          <w:spacing w:val="-4"/>
        </w:rPr>
        <w:t>兴业务能力布局，加深企业间战略合作与沟通频率，加强与被投</w:t>
      </w:r>
      <w:r>
        <w:rPr>
          <w:spacing w:val="-4"/>
        </w:rPr>
        <w:t>企业的业务协作，定期安排投资项目经理、业务相关部门与被投</w:t>
      </w:r>
      <w:r>
        <w:rPr>
          <w:spacing w:val="-4"/>
        </w:rPr>
        <w:t>资企业间的走访调研，通过各行业头部和新兴企业及时了解行业</w:t>
      </w:r>
      <w:r>
        <w:rPr>
          <w:spacing w:val="-4"/>
        </w:rPr>
        <w:t>变化并进行前瞻性地战略定位与布局，保持对行业、技术的敏感</w:t>
      </w:r>
      <w:r>
        <w:rPr>
          <w:spacing w:val="-4"/>
        </w:rPr>
        <w:t>性和趋势变化，透过产业投资助力自身新业务拓展和数字化转型</w:t>
      </w:r>
      <w:r>
        <w:rPr>
          <w:spacing w:val="-13"/>
        </w:rPr>
        <w:t>升级。</w:t>
      </w:r>
    </w:p>
    <w:p>
      <w:pPr>
        <w:pStyle w:val="BodyText"/>
        <w:ind w:left="621"/>
        <w:spacing w:before="269" w:line="233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3"/>
        </w:rPr>
        <w:t>3</w:t>
      </w:r>
      <w:r>
        <w:rPr>
          <w:b/>
          <w:bCs/>
          <w:spacing w:val="-3"/>
        </w:rPr>
        <w:t>．优化多元投资方式，提升股权投资效率</w:t>
      </w:r>
    </w:p>
    <w:p>
      <w:pPr>
        <w:pStyle w:val="BodyText"/>
        <w:ind w:left="27" w:right="13" w:firstLine="603"/>
        <w:spacing w:before="315" w:line="260" w:lineRule="auto"/>
        <w:jc w:val="both"/>
        <w:rPr/>
      </w:pPr>
      <w:r>
        <w:rPr>
          <w:spacing w:val="-5"/>
        </w:rPr>
        <w:t>一是通过大量参股广泛布局不同行业领域，对已成熟或非核</w:t>
      </w:r>
      <w:r>
        <w:rPr>
          <w:spacing w:val="-4"/>
        </w:rPr>
        <w:t>心技术领域，通过参股快速获取能力和资源；对处于萌芽期或高</w:t>
      </w:r>
      <w:r>
        <w:rPr>
          <w:spacing w:val="-4"/>
        </w:rPr>
        <w:t>新技术领域，通过参股加大研发力度，减少自身试错成本；对核</w:t>
      </w:r>
      <w:r>
        <w:rPr>
          <w:spacing w:val="-4"/>
        </w:rPr>
        <w:t>心关键领域可适当调高股权比重或进行合资新设，以获得技术专</w:t>
      </w:r>
      <w:r>
        <w:rPr>
          <w:spacing w:val="-2"/>
        </w:rPr>
        <w:t>利和专业人才支持，降低自研难度和门槛，实现技</w:t>
      </w:r>
      <w:r>
        <w:rPr>
          <w:spacing w:val="-3"/>
        </w:rPr>
        <w:t>术可控。</w:t>
      </w:r>
    </w:p>
    <w:p>
      <w:pPr>
        <w:pStyle w:val="BodyText"/>
        <w:ind w:left="29" w:right="13" w:firstLine="601"/>
        <w:spacing w:before="272" w:line="260" w:lineRule="auto"/>
        <w:jc w:val="both"/>
        <w:rPr/>
      </w:pPr>
      <w:r>
        <w:rPr>
          <w:spacing w:val="-5"/>
        </w:rPr>
        <w:t>二是关注投后管理增值服务，对与自身业务关系紧密的产业</w:t>
      </w:r>
      <w:r>
        <w:rPr>
          <w:spacing w:val="-4"/>
        </w:rPr>
        <w:t>投资，中国电信可辅以渠道、订单、管理人员等方式助力被投资</w:t>
      </w:r>
      <w:r>
        <w:rPr>
          <w:spacing w:val="-4"/>
        </w:rPr>
        <w:t>企业加速成长，以有限资本撬动长期更高的发展潜能，提升中国</w:t>
      </w:r>
      <w:r>
        <w:rPr>
          <w:spacing w:val="-6"/>
        </w:rPr>
        <w:t>电信的产业影响力。</w:t>
      </w:r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ind w:left="39"/>
        <w:spacing w:before="98" w:line="216" w:lineRule="auto"/>
        <w:rPr>
          <w:rFonts w:ascii="KaiTi" w:hAnsi="KaiTi" w:eastAsia="KaiTi" w:cs="KaiTi"/>
          <w:sz w:val="30"/>
          <w:szCs w:val="30"/>
        </w:rPr>
      </w:pPr>
      <w:r>
        <w:rPr>
          <w:rFonts w:ascii="FangSong" w:hAnsi="FangSong" w:eastAsia="FangSong" w:cs="FangSong"/>
          <w:sz w:val="30"/>
          <w:szCs w:val="30"/>
          <w:b/>
          <w:bCs/>
          <w:spacing w:val="-1"/>
        </w:rPr>
        <w:t>作者简介：</w:t>
      </w:r>
      <w:r>
        <w:rPr>
          <w:rFonts w:ascii="KaiTi" w:hAnsi="KaiTi" w:eastAsia="KaiTi" w:cs="KaiTi"/>
          <w:sz w:val="30"/>
          <w:szCs w:val="30"/>
          <w:spacing w:val="-1"/>
        </w:rPr>
        <w:t>中国电信股份有限公司研究院/战</w:t>
      </w:r>
      <w:r>
        <w:rPr>
          <w:rFonts w:ascii="KaiTi" w:hAnsi="KaiTi" w:eastAsia="KaiTi" w:cs="KaiTi"/>
          <w:sz w:val="30"/>
          <w:szCs w:val="30"/>
          <w:spacing w:val="-2"/>
        </w:rPr>
        <w:t>略发展研究所</w:t>
      </w:r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>
        <w:drawing>
          <wp:anchor distT="0" distB="0" distL="0" distR="0" simplePos="0" relativeHeight="251662336" behindDoc="0" locked="0" layoutInCell="1" allowOverlap="1">
            <wp:simplePos x="0" y="0"/>
            <wp:positionH relativeFrom="column">
              <wp:posOffset>88163</wp:posOffset>
            </wp:positionH>
            <wp:positionV relativeFrom="paragraph">
              <wp:posOffset>86380</wp:posOffset>
            </wp:positionV>
            <wp:extent cx="935736" cy="1211579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35736" cy="12115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62" w:lineRule="auto"/>
        <w:rPr>
          <w:rFonts w:ascii="Arial"/>
          <w:sz w:val="21"/>
        </w:rPr>
      </w:pPr>
      <w:r/>
    </w:p>
    <w:p>
      <w:pPr>
        <w:ind w:left="2073"/>
        <w:spacing w:before="92" w:line="219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2"/>
        </w:rPr>
        <w:t>王禹辰</w:t>
      </w:r>
      <w:r>
        <w:rPr>
          <w:rFonts w:ascii="KaiTi" w:hAnsi="KaiTi" w:eastAsia="KaiTi" w:cs="KaiTi"/>
          <w:sz w:val="28"/>
          <w:szCs w:val="28"/>
          <w:spacing w:val="-2"/>
        </w:rPr>
        <w:t xml:space="preserve"> </w:t>
      </w:r>
      <w:r>
        <w:rPr>
          <w:rFonts w:ascii="KaiTi" w:hAnsi="KaiTi" w:eastAsia="KaiTi" w:cs="KaiTi"/>
          <w:sz w:val="28"/>
          <w:szCs w:val="28"/>
          <w:spacing w:val="-2"/>
        </w:rPr>
        <w:t>【17310900769】</w:t>
      </w:r>
    </w:p>
    <w:p>
      <w:pPr>
        <w:ind w:left="2069" w:right="397" w:firstLine="277"/>
        <w:spacing w:before="116" w:line="223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1"/>
        </w:rPr>
        <w:t>硕士，中级经济师，主要从事企业发展、资本</w:t>
      </w:r>
      <w:r>
        <w:rPr>
          <w:rFonts w:ascii="KaiTi" w:hAnsi="KaiTi" w:eastAsia="KaiTi" w:cs="KaiTi"/>
          <w:sz w:val="28"/>
          <w:szCs w:val="28"/>
          <w:spacing w:val="-1"/>
        </w:rPr>
        <w:t>市场、国企改革等相关研究。</w:t>
      </w:r>
    </w:p>
    <w:p>
      <w:pPr>
        <w:spacing w:line="223" w:lineRule="auto"/>
        <w:sectPr>
          <w:pgSz w:w="11907" w:h="16839"/>
          <w:pgMar w:top="1431" w:right="1785" w:bottom="0" w:left="1785" w:header="0" w:footer="0" w:gutter="0"/>
        </w:sectPr>
        <w:rPr>
          <w:rFonts w:ascii="KaiTi" w:hAnsi="KaiTi" w:eastAsia="KaiTi" w:cs="KaiTi"/>
          <w:sz w:val="28"/>
          <w:szCs w:val="28"/>
        </w:rPr>
      </w:pPr>
    </w:p>
    <w:p>
      <w:pPr>
        <w:spacing w:line="264" w:lineRule="auto"/>
        <w:rPr>
          <w:rFonts w:ascii="Arial"/>
          <w:sz w:val="21"/>
        </w:rPr>
      </w:pPr>
      <w:r>
        <w:drawing>
          <wp:anchor distT="0" distB="0" distL="0" distR="0" simplePos="0" relativeHeight="251663360" behindDoc="0" locked="0" layoutInCell="1" allowOverlap="1">
            <wp:simplePos x="0" y="0"/>
            <wp:positionH relativeFrom="column">
              <wp:posOffset>88163</wp:posOffset>
            </wp:positionH>
            <wp:positionV relativeFrom="paragraph">
              <wp:posOffset>48690</wp:posOffset>
            </wp:positionV>
            <wp:extent cx="929640" cy="2528315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29640" cy="2528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64" w:lineRule="auto"/>
        <w:rPr>
          <w:rFonts w:ascii="Arial"/>
          <w:sz w:val="21"/>
        </w:rPr>
      </w:pPr>
      <w:r/>
    </w:p>
    <w:p>
      <w:pPr>
        <w:ind w:left="2082"/>
        <w:spacing w:before="91" w:line="221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9"/>
        </w:rPr>
        <w:t>宋李民</w:t>
      </w:r>
    </w:p>
    <w:p>
      <w:pPr>
        <w:ind w:left="2069" w:right="397" w:firstLine="277"/>
        <w:spacing w:before="113" w:line="224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1"/>
        </w:rPr>
        <w:t>硕士，中级经济师，主要从事企业发展、投资</w:t>
      </w:r>
      <w:r>
        <w:rPr>
          <w:rFonts w:ascii="KaiTi" w:hAnsi="KaiTi" w:eastAsia="KaiTi" w:cs="KaiTi"/>
          <w:sz w:val="28"/>
          <w:szCs w:val="28"/>
          <w:spacing w:val="-1"/>
        </w:rPr>
        <w:t>分析、资本市场投资布局等相关研究。</w:t>
      </w:r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ind w:left="2059"/>
        <w:spacing w:before="91" w:line="224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4"/>
        </w:rPr>
        <w:t>杨孟杰</w:t>
      </w:r>
    </w:p>
    <w:p>
      <w:pPr>
        <w:ind w:left="2068" w:right="397" w:firstLine="278"/>
        <w:spacing w:before="109" w:line="223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1"/>
        </w:rPr>
        <w:t>硕士，中级经济师，主要从事资本运营、股权</w:t>
      </w:r>
      <w:r>
        <w:rPr>
          <w:rFonts w:ascii="KaiTi" w:hAnsi="KaiTi" w:eastAsia="KaiTi" w:cs="KaiTi"/>
          <w:sz w:val="28"/>
          <w:szCs w:val="28"/>
          <w:spacing w:val="-1"/>
        </w:rPr>
        <w:t>投资、投后管理等相关研究。</w:t>
      </w:r>
    </w:p>
    <w:sectPr>
      <w:pgSz w:w="11907" w:h="16839"/>
      <w:pgMar w:top="1431" w:right="1785" w:bottom="0" w:left="1785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crosoft YaHei">
    <w:panose1 w:val="020B0703020204020201"/>
    <w:charset w:val="86"/>
    <w:family w:val="auto"/>
    <w:pitch w:val="variable"/>
    <w:sig w:usb0="80000287" w:usb1="2ACF3C50" w:usb2="00000016" w:usb3="00000000" w:csb0="0004001F" w:csb1="00000000"/>
  </w:font>
  <w:font w:name="STKaiti">
    <w:panose1 w:val="02010600040101010101"/>
    <w:charset w:val="86"/>
    <w:family w:val="auto"/>
    <w:pitch w:val="variable"/>
    <w:sig w:usb0="00000287" w:usb1="080F0000" w:usb2="00000000" w:usb3="00000000" w:csb0="0004009F" w:csb1="DFD7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TableText">
    <w:name w:val="Table Text"/>
    <w:basedOn w:val="Normal"/>
    <w:semiHidden/>
    <w:qFormat/>
    <w:pPr/>
    <w:rPr>
      <w:rFonts w:ascii="KaiTi" w:hAnsi="KaiTi" w:eastAsia="KaiTi" w:cs="KaiTi"/>
      <w:sz w:val="21"/>
      <w:szCs w:val="21"/>
      <w:lang w:val="en-US" w:eastAsia="en-US" w:bidi="ar-SA"/>
    </w:r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30"/>
      <w:szCs w:val="30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styles" Target="styles.xml"/><Relationship Id="rId3" Type="http://schemas.openxmlformats.org/officeDocument/2006/relationships/settings" Target="settings.xml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Microsoft® Word 2016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</dc:creator>
  <dcterms:created xsi:type="dcterms:W3CDTF">2023-07-24T16:17:41Z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2025-11-04T15:54:13</vt:filetime>
  </property>
</Properties>
</file>