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92" w:right="1091" w:firstLine="117"/>
        <w:spacing w:before="212" w:line="212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>产数背景下软件与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IT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 xml:space="preserve"> 服务企业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规模增长路径探析及其启示建议</w:t>
      </w:r>
    </w:p>
    <w:p>
      <w:pPr>
        <w:ind w:left="172"/>
        <w:spacing w:before="191" w:line="19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——基于 230 家软件与 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IT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 xml:space="preserve"> 服务境内上市企业数据的分析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2931"/>
        <w:spacing w:before="109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0"/>
        </w:rPr>
        <w:t>文/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廖文凯</w:t>
      </w:r>
      <w:r>
        <w:rPr>
          <w:rFonts w:ascii="STKaiti" w:hAnsi="STKaiti" w:eastAsia="STKaiti" w:cs="STKaiti"/>
          <w:sz w:val="30"/>
          <w:szCs w:val="30"/>
          <w:spacing w:val="1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左芳芳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3" w:right="8" w:firstLine="602"/>
        <w:spacing w:before="98" w:line="332" w:lineRule="auto"/>
        <w:jc w:val="both"/>
        <w:rPr>
          <w:sz w:val="30"/>
          <w:szCs w:val="30"/>
        </w:rPr>
      </w:pPr>
      <w:r>
        <w:rPr>
          <w:sz w:val="30"/>
          <w:szCs w:val="30"/>
          <w:spacing w:val="-5"/>
        </w:rPr>
        <w:t>软件是新一代信息技术的灵魂，是数字经济发展的基础，是</w:t>
      </w:r>
      <w:r>
        <w:rPr>
          <w:sz w:val="30"/>
          <w:szCs w:val="30"/>
          <w:spacing w:val="-6"/>
        </w:rPr>
        <w:t>制造强国、网络强国、数字中国建设的关键支撑。发展软</w:t>
      </w:r>
      <w:r>
        <w:rPr>
          <w:sz w:val="30"/>
          <w:szCs w:val="30"/>
          <w:spacing w:val="-7"/>
        </w:rPr>
        <w:t>件和</w:t>
      </w:r>
      <w:r>
        <w:rPr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IT</w:t>
      </w:r>
      <w:r>
        <w:rPr>
          <w:sz w:val="30"/>
          <w:szCs w:val="30"/>
          <w:spacing w:val="-3"/>
        </w:rPr>
        <w:t>服务业，对于加快产业数字化转型具有重要意义。</w:t>
      </w:r>
    </w:p>
    <w:p>
      <w:pPr>
        <w:pStyle w:val="BodyText"/>
        <w:ind w:left="33" w:right="12" w:firstLine="600"/>
        <w:spacing w:before="278" w:line="330" w:lineRule="auto"/>
        <w:jc w:val="both"/>
        <w:rPr>
          <w:sz w:val="30"/>
          <w:szCs w:val="30"/>
        </w:rPr>
      </w:pPr>
      <w:r>
        <w:rPr>
          <w:sz w:val="30"/>
          <w:szCs w:val="30"/>
          <w:spacing w:val="11"/>
        </w:rPr>
        <w:t>基于对我国</w:t>
      </w:r>
      <w:r>
        <w:rPr>
          <w:sz w:val="30"/>
          <w:szCs w:val="3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>230  </w:t>
      </w:r>
      <w:r>
        <w:rPr>
          <w:sz w:val="30"/>
          <w:szCs w:val="30"/>
          <w:spacing w:val="11"/>
        </w:rPr>
        <w:t>家境内上市软件与</w:t>
      </w:r>
      <w:r>
        <w:rPr>
          <w:sz w:val="30"/>
          <w:szCs w:val="3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14"/>
        </w:rPr>
        <w:t xml:space="preserve">  </w:t>
      </w:r>
      <w:r>
        <w:rPr>
          <w:sz w:val="30"/>
          <w:szCs w:val="30"/>
          <w:spacing w:val="11"/>
        </w:rPr>
        <w:t>服务企业近五年</w:t>
      </w:r>
      <w:r>
        <w:rPr>
          <w:sz w:val="30"/>
          <w:szCs w:val="30"/>
          <w:spacing w:val="-3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2018~2022</w:t>
      </w:r>
      <w:r>
        <w:rPr>
          <w:sz w:val="30"/>
          <w:szCs w:val="30"/>
          <w:spacing w:val="-3"/>
        </w:rPr>
        <w:t>）企业数据的分析</w:t>
      </w:r>
      <w:r>
        <w:rPr>
          <w:rFonts w:ascii="DengXian" w:hAnsi="DengXian" w:eastAsia="DengXian" w:cs="DengXian"/>
          <w:sz w:val="15"/>
          <w:szCs w:val="15"/>
          <w:spacing w:val="-3"/>
          <w:position w:val="14"/>
        </w:rPr>
        <w:t>1 </w:t>
      </w:r>
      <w:r>
        <w:rPr>
          <w:sz w:val="30"/>
          <w:szCs w:val="30"/>
          <w:spacing w:val="-3"/>
        </w:rPr>
        <w:t>，本文力图回答两个问题：①产</w:t>
      </w:r>
      <w:r>
        <w:rPr>
          <w:sz w:val="30"/>
          <w:szCs w:val="30"/>
          <w:spacing w:val="-2"/>
        </w:rPr>
        <w:t>数背景下，哪些软件与</w:t>
      </w:r>
      <w:r>
        <w:rPr>
          <w:sz w:val="30"/>
          <w:szCs w:val="3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53"/>
          <w:w w:val="101"/>
        </w:rPr>
        <w:t xml:space="preserve"> </w:t>
      </w:r>
      <w:r>
        <w:rPr>
          <w:sz w:val="30"/>
          <w:szCs w:val="30"/>
          <w:spacing w:val="-2"/>
        </w:rPr>
        <w:t>服务企业实现了规模增长？②实现规</w:t>
      </w:r>
      <w:r>
        <w:rPr>
          <w:sz w:val="30"/>
          <w:szCs w:val="30"/>
          <w:spacing w:val="-7"/>
        </w:rPr>
        <w:t>模增长的企业具有怎样的特征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/</w:t>
      </w:r>
      <w:r>
        <w:rPr>
          <w:sz w:val="30"/>
          <w:szCs w:val="30"/>
          <w:spacing w:val="-7"/>
        </w:rPr>
        <w:t>特质（即增长何以实现</w:t>
      </w:r>
      <w:r>
        <w:rPr>
          <w:sz w:val="30"/>
          <w:szCs w:val="30"/>
          <w:spacing w:val="-15"/>
        </w:rPr>
        <w:t>）？</w:t>
      </w:r>
      <w:r>
        <w:rPr>
          <w:sz w:val="30"/>
          <w:szCs w:val="30"/>
          <w:spacing w:val="-7"/>
        </w:rPr>
        <w:t>并以此</w:t>
      </w:r>
      <w:r>
        <w:rPr>
          <w:sz w:val="30"/>
          <w:szCs w:val="30"/>
          <w:spacing w:val="-2"/>
        </w:rPr>
        <w:t>为基础，提出中国电信推动自身软件与</w:t>
      </w:r>
      <w:r>
        <w:rPr>
          <w:sz w:val="30"/>
          <w:szCs w:val="3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54"/>
        </w:rPr>
        <w:t xml:space="preserve"> </w:t>
      </w:r>
      <w:r>
        <w:rPr>
          <w:sz w:val="30"/>
          <w:szCs w:val="30"/>
          <w:spacing w:val="-2"/>
        </w:rPr>
        <w:t>服务业务规模化高质</w:t>
      </w:r>
      <w:r>
        <w:rPr>
          <w:sz w:val="30"/>
          <w:szCs w:val="30"/>
          <w:spacing w:val="-7"/>
        </w:rPr>
        <w:t>量发展相关建议。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一、产数背景下软件与</w:t>
      </w:r>
      <w:r>
        <w:rPr>
          <w:rFonts w:ascii="SimHei" w:hAnsi="SimHei" w:eastAsia="SimHei" w:cs="SimHei"/>
          <w:sz w:val="31"/>
          <w:szCs w:val="31"/>
          <w:spacing w:val="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IT</w:t>
      </w:r>
      <w:r>
        <w:rPr>
          <w:rFonts w:ascii="SimHei" w:hAnsi="SimHei" w:eastAsia="SimHei" w:cs="SimHei"/>
          <w:sz w:val="31"/>
          <w:szCs w:val="31"/>
          <w:spacing w:val="-4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服务企业的规模增长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636"/>
        <w:spacing w:before="98" w:line="220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（一）我国境内上市软件与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IT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服务企业总体情况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25" w:right="12" w:firstLine="595"/>
        <w:spacing w:before="98" w:line="333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2018~2022 </w:t>
      </w:r>
      <w:r>
        <w:rPr>
          <w:rFonts w:ascii="SimSun" w:hAnsi="SimSun" w:eastAsia="SimSun" w:cs="SimSun"/>
          <w:sz w:val="30"/>
          <w:szCs w:val="30"/>
          <w:spacing w:val="-5"/>
        </w:rPr>
        <w:t>年期间，我国软件与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I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T </w:t>
      </w:r>
      <w:r>
        <w:rPr>
          <w:rFonts w:ascii="SimSun" w:hAnsi="SimSun" w:eastAsia="SimSun" w:cs="SimSun"/>
          <w:sz w:val="30"/>
          <w:szCs w:val="30"/>
          <w:spacing w:val="-6"/>
        </w:rPr>
        <w:t>服务业发展迅速，业务收</w:t>
      </w:r>
      <w:r>
        <w:rPr>
          <w:rFonts w:ascii="SimSun" w:hAnsi="SimSun" w:eastAsia="SimSun" w:cs="SimSun"/>
          <w:sz w:val="30"/>
          <w:szCs w:val="30"/>
          <w:spacing w:val="-1"/>
        </w:rPr>
        <w:t>入跃上十万亿元台阶。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2022 </w:t>
      </w:r>
      <w:r>
        <w:rPr>
          <w:rFonts w:ascii="SimSun" w:hAnsi="SimSun" w:eastAsia="SimSun" w:cs="SimSun"/>
          <w:sz w:val="30"/>
          <w:szCs w:val="30"/>
          <w:spacing w:val="-1"/>
        </w:rPr>
        <w:t>年我国软件与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 </w:t>
      </w:r>
      <w:r>
        <w:rPr>
          <w:rFonts w:ascii="SimSun" w:hAnsi="SimSun" w:eastAsia="SimSun" w:cs="SimSun"/>
          <w:sz w:val="30"/>
          <w:szCs w:val="30"/>
          <w:spacing w:val="-1"/>
        </w:rPr>
        <w:t>服务业规模以上企</w:t>
      </w:r>
    </w:p>
    <w:p>
      <w:pPr>
        <w:spacing w:line="376" w:lineRule="auto"/>
        <w:rPr>
          <w:rFonts w:ascii="Arial"/>
          <w:sz w:val="21"/>
        </w:rPr>
      </w:pPr>
      <w:r>
        <w:pict>
          <v:shape id="_x0000_s2" style="position:absolute;margin-left:0.72599pt;margin-top:15.2008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pStyle w:val="BodyText"/>
        <w:ind w:left="27" w:right="69" w:hanging="1"/>
        <w:spacing w:before="68" w:line="329" w:lineRule="auto"/>
        <w:rPr/>
      </w:pPr>
      <w:r>
        <w:rPr>
          <w:sz w:val="11"/>
          <w:szCs w:val="11"/>
          <w:spacing w:val="-1"/>
          <w:position w:val="10"/>
        </w:rPr>
        <w:t>1</w:t>
      </w:r>
      <w:r>
        <w:rPr>
          <w:sz w:val="11"/>
          <w:szCs w:val="11"/>
          <w:spacing w:val="-1"/>
          <w:position w:val="10"/>
        </w:rPr>
        <w:t xml:space="preserve">  </w:t>
      </w:r>
      <w:r>
        <w:rPr>
          <w:spacing w:val="-1"/>
        </w:rPr>
        <w:t>本文</w:t>
      </w:r>
      <w:r>
        <w:rPr>
          <w:spacing w:val="-45"/>
        </w:rPr>
        <w:t xml:space="preserve"> </w:t>
      </w:r>
      <w:r>
        <w:rPr>
          <w:spacing w:val="-1"/>
        </w:rPr>
        <w:t>230</w:t>
      </w:r>
      <w:r>
        <w:rPr>
          <w:spacing w:val="-38"/>
        </w:rPr>
        <w:t xml:space="preserve"> </w:t>
      </w:r>
      <w:r>
        <w:rPr>
          <w:spacing w:val="-1"/>
        </w:rPr>
        <w:t>家上市软件与</w:t>
      </w:r>
      <w:r>
        <w:rPr>
          <w:spacing w:val="-35"/>
        </w:rPr>
        <w:t xml:space="preserve"> </w:t>
      </w:r>
      <w:r>
        <w:rPr>
          <w:spacing w:val="-1"/>
        </w:rPr>
        <w:t>IT</w:t>
      </w:r>
      <w:r>
        <w:rPr>
          <w:spacing w:val="-39"/>
        </w:rPr>
        <w:t xml:space="preserve"> </w:t>
      </w:r>
      <w:r>
        <w:rPr>
          <w:spacing w:val="-1"/>
        </w:rPr>
        <w:t>服务企业</w:t>
      </w:r>
      <w:r>
        <w:rPr>
          <w:spacing w:val="-2"/>
        </w:rPr>
        <w:t>选择方法：取国证行业二级分类（软件与互联网）与</w:t>
      </w:r>
      <w:r>
        <w:rPr/>
        <w:t>申万行业二级分类（IT</w:t>
      </w:r>
      <w:r>
        <w:rPr>
          <w:spacing w:val="-42"/>
        </w:rPr>
        <w:t xml:space="preserve"> </w:t>
      </w:r>
      <w:r>
        <w:rPr/>
        <w:t>服务和软件开发）</w:t>
      </w:r>
      <w:r>
        <w:rPr>
          <w:spacing w:val="-1"/>
        </w:rPr>
        <w:t>交集，且不包含计算机设备、技术硬件与设备等</w:t>
      </w:r>
      <w:r>
        <w:rPr>
          <w:spacing w:val="-1"/>
        </w:rPr>
        <w:t>所属分类企业，突出软件开发与</w:t>
      </w:r>
      <w:r>
        <w:rPr>
          <w:spacing w:val="-33"/>
        </w:rPr>
        <w:t xml:space="preserve"> </w:t>
      </w:r>
      <w:r>
        <w:rPr>
          <w:spacing w:val="-1"/>
        </w:rPr>
        <w:t>IT</w:t>
      </w:r>
      <w:r>
        <w:rPr>
          <w:spacing w:val="-42"/>
        </w:rPr>
        <w:t xml:space="preserve"> </w:t>
      </w:r>
      <w:r>
        <w:rPr>
          <w:spacing w:val="-1"/>
        </w:rPr>
        <w:t>服务属性，同时排除对分析产生重大偏</w:t>
      </w:r>
      <w:r>
        <w:rPr>
          <w:spacing w:val="-2"/>
        </w:rPr>
        <w:t>误影响的</w:t>
      </w:r>
      <w:r>
        <w:rPr>
          <w:spacing w:val="-44"/>
        </w:rPr>
        <w:t xml:space="preserve"> </w:t>
      </w:r>
      <w:r>
        <w:rPr>
          <w:spacing w:val="-2"/>
        </w:rPr>
        <w:t>ST*企</w:t>
      </w:r>
      <w:r>
        <w:rPr/>
        <w:t>业，整体数量少于证监会行业分类所包含的软件与信息技术服务</w:t>
      </w:r>
      <w:r>
        <w:rPr>
          <w:spacing w:val="-1"/>
        </w:rPr>
        <w:t>业上市企业数量。</w:t>
      </w:r>
    </w:p>
    <w:p>
      <w:pPr>
        <w:spacing w:line="329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ind w:left="27" w:right="11" w:hanging="2"/>
        <w:spacing w:before="183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业超过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3.5</w:t>
      </w:r>
      <w:r>
        <w:rPr>
          <w:rFonts w:ascii="Times New Roman" w:hAnsi="Times New Roman" w:eastAsia="Times New Roman" w:cs="Times New Roman"/>
          <w:sz w:val="30"/>
          <w:szCs w:val="3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万家，累计完成软件业务收入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108126</w:t>
      </w:r>
      <w:r>
        <w:rPr>
          <w:rFonts w:ascii="Times New Roman" w:hAnsi="Times New Roman" w:eastAsia="Times New Roman" w:cs="Times New Roman"/>
          <w:sz w:val="30"/>
          <w:szCs w:val="3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亿元（较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2018</w:t>
      </w:r>
      <w:r>
        <w:rPr>
          <w:rFonts w:ascii="SimSun" w:hAnsi="SimSun" w:eastAsia="SimSun" w:cs="SimSun"/>
          <w:sz w:val="30"/>
          <w:szCs w:val="30"/>
          <w:spacing w:val="-4"/>
        </w:rPr>
        <w:t>年增长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74.7%</w:t>
      </w:r>
      <w:r>
        <w:rPr>
          <w:rFonts w:ascii="SimSun" w:hAnsi="SimSun" w:eastAsia="SimSun" w:cs="SimSun"/>
          <w:sz w:val="30"/>
          <w:szCs w:val="30"/>
          <w:spacing w:val="-73"/>
          <w:w w:val="92"/>
        </w:rPr>
        <w:t>），</w:t>
      </w:r>
      <w:r>
        <w:rPr>
          <w:rFonts w:ascii="SimSun" w:hAnsi="SimSun" w:eastAsia="SimSun" w:cs="SimSun"/>
          <w:sz w:val="30"/>
          <w:szCs w:val="30"/>
          <w:spacing w:val="-4"/>
        </w:rPr>
        <w:t>实现利润总额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12648 </w:t>
      </w:r>
      <w:r>
        <w:rPr>
          <w:rFonts w:ascii="SimSun" w:hAnsi="SimSun" w:eastAsia="SimSun" w:cs="SimSun"/>
          <w:sz w:val="30"/>
          <w:szCs w:val="30"/>
          <w:spacing w:val="-4"/>
        </w:rPr>
        <w:t>亿元。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230 </w:t>
      </w:r>
      <w:r>
        <w:rPr>
          <w:rFonts w:ascii="SimSun" w:hAnsi="SimSun" w:eastAsia="SimSun" w:cs="SimSun"/>
          <w:sz w:val="30"/>
          <w:szCs w:val="30"/>
          <w:spacing w:val="-4"/>
        </w:rPr>
        <w:t>家境内上市软件</w:t>
      </w:r>
      <w:r>
        <w:rPr>
          <w:rFonts w:ascii="SimSun" w:hAnsi="SimSun" w:eastAsia="SimSun" w:cs="SimSun"/>
          <w:sz w:val="30"/>
          <w:szCs w:val="30"/>
          <w:spacing w:val="-2"/>
        </w:rPr>
        <w:t>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服务企业完成营业收入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4904.8</w:t>
      </w:r>
      <w:r>
        <w:rPr>
          <w:rFonts w:ascii="Times New Roman" w:hAnsi="Times New Roman" w:eastAsia="Times New Roman" w:cs="Times New Roma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亿元，较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18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年增长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37.5%</w:t>
      </w:r>
      <w:r>
        <w:rPr>
          <w:rFonts w:ascii="SimSun" w:hAnsi="SimSun" w:eastAsia="SimSun" w:cs="SimSun"/>
          <w:sz w:val="30"/>
          <w:szCs w:val="30"/>
          <w:spacing w:val="-3"/>
        </w:rPr>
        <w:t>。</w:t>
      </w:r>
    </w:p>
    <w:p>
      <w:pPr>
        <w:ind w:firstLine="14"/>
        <w:spacing w:before="33" w:line="2113" w:lineRule="exact"/>
        <w:rPr/>
      </w:pPr>
      <w:r>
        <w:rPr>
          <w:position w:val="-42"/>
        </w:rPr>
        <w:drawing>
          <wp:inline distT="0" distB="0" distL="0" distR="0">
            <wp:extent cx="5274563" cy="134166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3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5" w:right="9" w:firstLine="598"/>
        <w:spacing w:before="98" w:line="33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但另一方面，我国软件与</w:t>
      </w:r>
      <w:r>
        <w:rPr>
          <w:rFonts w:ascii="SimSun" w:hAnsi="SimSun" w:eastAsia="SimSun" w:cs="SimSun"/>
          <w:sz w:val="30"/>
          <w:szCs w:val="3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服务业整体实力仍有待提升。</w:t>
      </w:r>
      <w:r>
        <w:rPr>
          <w:rFonts w:ascii="SimSun" w:hAnsi="SimSun" w:eastAsia="SimSun" w:cs="SimSun"/>
          <w:sz w:val="30"/>
          <w:szCs w:val="30"/>
          <w:spacing w:val="-8"/>
        </w:rPr>
        <w:t>其一，行业分散、规模型企业稀缺。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2022 </w:t>
      </w:r>
      <w:r>
        <w:rPr>
          <w:rFonts w:ascii="SimSun" w:hAnsi="SimSun" w:eastAsia="SimSun" w:cs="SimSun"/>
          <w:sz w:val="30"/>
          <w:szCs w:val="30"/>
          <w:spacing w:val="-8"/>
        </w:rPr>
        <w:t>年，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230 </w:t>
      </w:r>
      <w:r>
        <w:rPr>
          <w:rFonts w:ascii="SimSun" w:hAnsi="SimSun" w:eastAsia="SimSun" w:cs="SimSun"/>
          <w:sz w:val="30"/>
          <w:szCs w:val="30"/>
          <w:spacing w:val="-8"/>
        </w:rPr>
        <w:t>家上市企业营</w:t>
      </w:r>
      <w:r>
        <w:rPr>
          <w:rFonts w:ascii="SimSun" w:hAnsi="SimSun" w:eastAsia="SimSun" w:cs="SimSun"/>
          <w:sz w:val="30"/>
          <w:szCs w:val="30"/>
        </w:rPr>
        <w:t>业收入仅占全行业规上企业营业收入</w:t>
      </w:r>
      <w:r>
        <w:rPr>
          <w:rFonts w:ascii="Times New Roman" w:hAnsi="Times New Roman" w:eastAsia="Times New Roman" w:cs="Times New Roman"/>
          <w:sz w:val="30"/>
          <w:szCs w:val="30"/>
        </w:rPr>
        <w:t>4.5%</w:t>
      </w:r>
      <w:r>
        <w:rPr>
          <w:rFonts w:ascii="SimSun" w:hAnsi="SimSun" w:eastAsia="SimSun" w:cs="SimSun"/>
          <w:sz w:val="30"/>
          <w:szCs w:val="30"/>
        </w:rPr>
        <w:t>，营业收入超过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50 </w:t>
      </w:r>
      <w:r>
        <w:rPr>
          <w:rFonts w:ascii="SimSun" w:hAnsi="SimSun" w:eastAsia="SimSun" w:cs="SimSun"/>
          <w:sz w:val="30"/>
          <w:szCs w:val="30"/>
        </w:rPr>
        <w:t>亿</w:t>
      </w:r>
      <w:r>
        <w:rPr>
          <w:rFonts w:ascii="SimSun" w:hAnsi="SimSun" w:eastAsia="SimSun" w:cs="SimSun"/>
          <w:sz w:val="30"/>
          <w:szCs w:val="30"/>
          <w:spacing w:val="-5"/>
        </w:rPr>
        <w:t>元企业仅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26 </w:t>
      </w:r>
      <w:r>
        <w:rPr>
          <w:rFonts w:ascii="SimSun" w:hAnsi="SimSun" w:eastAsia="SimSun" w:cs="SimSun"/>
          <w:sz w:val="30"/>
          <w:szCs w:val="30"/>
          <w:spacing w:val="-5"/>
        </w:rPr>
        <w:t>家，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20~50 </w:t>
      </w:r>
      <w:r>
        <w:rPr>
          <w:rFonts w:ascii="SimSun" w:hAnsi="SimSun" w:eastAsia="SimSun" w:cs="SimSun"/>
          <w:sz w:val="30"/>
          <w:szCs w:val="30"/>
          <w:spacing w:val="-5"/>
        </w:rPr>
        <w:t>亿元之间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39 </w:t>
      </w:r>
      <w:r>
        <w:rPr>
          <w:rFonts w:ascii="SimSun" w:hAnsi="SimSun" w:eastAsia="SimSun" w:cs="SimSun"/>
          <w:sz w:val="30"/>
          <w:szCs w:val="30"/>
          <w:spacing w:val="-5"/>
        </w:rPr>
        <w:t>家，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 </w:t>
      </w:r>
      <w:r>
        <w:rPr>
          <w:rFonts w:ascii="SimSun" w:hAnsi="SimSun" w:eastAsia="SimSun" w:cs="SimSun"/>
          <w:sz w:val="30"/>
          <w:szCs w:val="30"/>
          <w:spacing w:val="-5"/>
        </w:rPr>
        <w:t>亿元以下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165</w:t>
      </w:r>
      <w:r>
        <w:rPr>
          <w:rFonts w:ascii="Times New Roman" w:hAnsi="Times New Roman" w:eastAsia="Times New Roman" w:cs="Times New Roma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家。其</w:t>
      </w:r>
      <w:r>
        <w:rPr>
          <w:rFonts w:ascii="SimSun" w:hAnsi="SimSun" w:eastAsia="SimSun" w:cs="SimSun"/>
          <w:sz w:val="30"/>
          <w:szCs w:val="30"/>
          <w:spacing w:val="-1"/>
        </w:rPr>
        <w:t>二，企业盈利能力不足。近五年，我国软件与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服务业利润水</w:t>
      </w:r>
      <w:r>
        <w:rPr>
          <w:rFonts w:ascii="SimSun" w:hAnsi="SimSun" w:eastAsia="SimSun" w:cs="SimSun"/>
          <w:sz w:val="30"/>
          <w:szCs w:val="30"/>
          <w:spacing w:val="-6"/>
        </w:rPr>
        <w:t>平呈下降趋势，上市企业（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230 </w:t>
      </w:r>
      <w:r>
        <w:rPr>
          <w:rFonts w:ascii="SimSun" w:hAnsi="SimSun" w:eastAsia="SimSun" w:cs="SimSun"/>
          <w:sz w:val="30"/>
          <w:szCs w:val="30"/>
          <w:spacing w:val="-6"/>
        </w:rPr>
        <w:t>家）尤为明显，利润率从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2018 </w:t>
      </w:r>
      <w:r>
        <w:rPr>
          <w:rFonts w:ascii="SimSun" w:hAnsi="SimSun" w:eastAsia="SimSun" w:cs="SimSun"/>
          <w:sz w:val="30"/>
          <w:szCs w:val="30"/>
          <w:spacing w:val="-6"/>
        </w:rPr>
        <w:t>年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9.5%</w:t>
      </w:r>
      <w:r>
        <w:rPr>
          <w:rFonts w:ascii="SimSun" w:hAnsi="SimSun" w:eastAsia="SimSun" w:cs="SimSun"/>
          <w:sz w:val="30"/>
          <w:szCs w:val="30"/>
          <w:spacing w:val="-7"/>
        </w:rPr>
        <w:t>下降至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2022 </w:t>
      </w:r>
      <w:r>
        <w:rPr>
          <w:rFonts w:ascii="SimSun" w:hAnsi="SimSun" w:eastAsia="SimSun" w:cs="SimSun"/>
          <w:sz w:val="30"/>
          <w:szCs w:val="30"/>
          <w:spacing w:val="-7"/>
        </w:rPr>
        <w:t>年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2.0%</w:t>
      </w:r>
      <w:r>
        <w:rPr>
          <w:rFonts w:ascii="SimSun" w:hAnsi="SimSun" w:eastAsia="SimSun" w:cs="SimSun"/>
          <w:sz w:val="30"/>
          <w:szCs w:val="30"/>
          <w:spacing w:val="-7"/>
        </w:rPr>
        <w:t>。其三， 尚无具备全球服务能力的世界</w:t>
      </w:r>
      <w:r>
        <w:rPr>
          <w:rFonts w:ascii="SimSun" w:hAnsi="SimSun" w:eastAsia="SimSun" w:cs="SimSun"/>
          <w:sz w:val="30"/>
          <w:szCs w:val="30"/>
          <w:spacing w:val="-8"/>
        </w:rPr>
        <w:t>级企业出现。境内上市企业仍主要依托国内本土业务，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全球服务</w:t>
      </w:r>
      <w:r>
        <w:rPr>
          <w:rFonts w:ascii="SimSun" w:hAnsi="SimSun" w:eastAsia="SimSun" w:cs="SimSun"/>
          <w:sz w:val="30"/>
          <w:szCs w:val="30"/>
          <w:spacing w:val="-6"/>
        </w:rPr>
        <w:t>与实施经验欠缺。</w:t>
      </w:r>
    </w:p>
    <w:p>
      <w:pPr>
        <w:ind w:left="636"/>
        <w:spacing w:before="298" w:line="220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（二）</w:t>
      </w:r>
      <w:r>
        <w:rPr>
          <w:rFonts w:ascii="SimSun" w:hAnsi="SimSun" w:eastAsia="SimSun" w:cs="SimSun"/>
          <w:sz w:val="30"/>
          <w:szCs w:val="30"/>
          <w:spacing w:val="-78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我国境内上市软件与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6"/>
        </w:rPr>
        <w:t>IT 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服务企业的增长分异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25" w:right="13" w:firstLine="601"/>
        <w:spacing w:before="97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产数背景下（主要体现为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云化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/</w:t>
      </w:r>
      <w:r>
        <w:rPr>
          <w:rFonts w:ascii="SimSun" w:hAnsi="SimSun" w:eastAsia="SimSun" w:cs="SimSun"/>
          <w:sz w:val="30"/>
          <w:szCs w:val="30"/>
          <w:spacing w:val="-6"/>
        </w:rPr>
        <w:t>平台化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/</w:t>
      </w:r>
      <w:r>
        <w:rPr>
          <w:rFonts w:ascii="SimSun" w:hAnsi="SimSun" w:eastAsia="SimSun" w:cs="SimSun"/>
          <w:sz w:val="30"/>
          <w:szCs w:val="30"/>
          <w:spacing w:val="-7"/>
        </w:rPr>
        <w:t>服务化</w:t>
      </w:r>
      <w:r>
        <w:rPr>
          <w:rFonts w:ascii="SimSun" w:hAnsi="SimSun" w:eastAsia="SimSun" w:cs="SimSun"/>
          <w:sz w:val="30"/>
          <w:szCs w:val="30"/>
          <w:spacing w:val="-21"/>
        </w:rPr>
        <w:t>），</w:t>
      </w:r>
      <w:r>
        <w:rPr>
          <w:rFonts w:ascii="SimSun" w:hAnsi="SimSun" w:eastAsia="SimSun" w:cs="SimSun"/>
          <w:sz w:val="30"/>
          <w:szCs w:val="30"/>
          <w:spacing w:val="-7"/>
        </w:rPr>
        <w:t>我国软</w:t>
      </w:r>
      <w:r>
        <w:rPr>
          <w:rFonts w:ascii="SimSun" w:hAnsi="SimSun" w:eastAsia="SimSun" w:cs="SimSun"/>
          <w:sz w:val="30"/>
          <w:szCs w:val="30"/>
          <w:spacing w:val="-1"/>
        </w:rPr>
        <w:t>件与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服务业企业增长分异显著，部分企业敏锐把握行业转型</w:t>
      </w:r>
      <w:r>
        <w:rPr>
          <w:rFonts w:ascii="SimSun" w:hAnsi="SimSun" w:eastAsia="SimSun" w:cs="SimSun"/>
          <w:sz w:val="30"/>
          <w:szCs w:val="30"/>
          <w:spacing w:val="-12"/>
        </w:rPr>
        <w:t>机遇、推动自身变革，</w:t>
      </w:r>
      <w:r>
        <w:rPr>
          <w:rFonts w:ascii="SimSun" w:hAnsi="SimSun" w:eastAsia="SimSun" w:cs="SimSun"/>
          <w:sz w:val="30"/>
          <w:szCs w:val="30"/>
          <w:spacing w:val="7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实现规模化（高质量）增长，另一部分企</w:t>
      </w:r>
      <w:r>
        <w:rPr>
          <w:rFonts w:ascii="SimSun" w:hAnsi="SimSun" w:eastAsia="SimSun" w:cs="SimSun"/>
          <w:sz w:val="30"/>
          <w:szCs w:val="30"/>
          <w:spacing w:val="-3"/>
        </w:rPr>
        <w:t>业则面临增长困境，收入下滑、利润亏损。</w:t>
      </w:r>
    </w:p>
    <w:p>
      <w:pPr>
        <w:spacing w:line="331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ind w:firstLine="14"/>
        <w:spacing w:line="3205" w:lineRule="exact"/>
        <w:rPr/>
      </w:pPr>
      <w:r>
        <w:rPr>
          <w:position w:val="-64"/>
        </w:rPr>
        <w:drawing>
          <wp:inline distT="0" distB="0" distL="0" distR="0">
            <wp:extent cx="5273040" cy="203499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0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．成长分异（营业收入）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23" w:firstLine="607"/>
        <w:spacing w:before="97" w:line="32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头部企业（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T1-top20</w:t>
      </w:r>
      <w:r>
        <w:rPr>
          <w:rFonts w:ascii="SimSun" w:hAnsi="SimSun" w:eastAsia="SimSun" w:cs="SimSun"/>
          <w:sz w:val="30"/>
          <w:szCs w:val="30"/>
          <w:spacing w:val="-14"/>
        </w:rPr>
        <w:t>）整体保持稳定增长势态，肩部企业（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T2-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TOP50</w:t>
      </w:r>
      <w:r>
        <w:rPr>
          <w:rFonts w:ascii="SimSun" w:hAnsi="SimSun" w:eastAsia="SimSun" w:cs="SimSun"/>
          <w:sz w:val="30"/>
          <w:szCs w:val="30"/>
          <w:spacing w:val="-13"/>
        </w:rPr>
        <w:t>）和腰部（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T3-top100</w:t>
      </w:r>
      <w:r>
        <w:rPr>
          <w:rFonts w:ascii="SimSun" w:hAnsi="SimSun" w:eastAsia="SimSun" w:cs="SimSun"/>
          <w:sz w:val="30"/>
          <w:szCs w:val="30"/>
          <w:spacing w:val="-13"/>
        </w:rPr>
        <w:t>）分化明显，层级流动比例超过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40%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，</w:t>
      </w:r>
      <w:r>
        <w:rPr>
          <w:rFonts w:ascii="SimSun" w:hAnsi="SimSun" w:eastAsia="SimSun" w:cs="SimSun"/>
          <w:sz w:val="30"/>
          <w:szCs w:val="30"/>
          <w:spacing w:val="-6"/>
        </w:rPr>
        <w:t>尾部（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T4-bottom</w:t>
      </w:r>
      <w:r>
        <w:rPr>
          <w:rFonts w:ascii="SimSun" w:hAnsi="SimSun" w:eastAsia="SimSun" w:cs="SimSun"/>
          <w:sz w:val="30"/>
          <w:szCs w:val="30"/>
          <w:spacing w:val="-6"/>
        </w:rPr>
        <w:t>）企业实现向上</w:t>
      </w:r>
      <w:r>
        <w:rPr>
          <w:rFonts w:ascii="SimSun" w:hAnsi="SimSun" w:eastAsia="SimSun" w:cs="SimSun"/>
          <w:sz w:val="30"/>
          <w:szCs w:val="30"/>
          <w:spacing w:val="-7"/>
        </w:rPr>
        <w:t>跃升比例仅</w:t>
      </w:r>
      <w:r>
        <w:rPr>
          <w:rFonts w:ascii="SimSun" w:hAnsi="SimSun" w:eastAsia="SimSun" w:cs="SimSun"/>
          <w:sz w:val="30"/>
          <w:szCs w:val="3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12%</w:t>
      </w:r>
      <w:r>
        <w:rPr>
          <w:rFonts w:ascii="SimSun" w:hAnsi="SimSun" w:eastAsia="SimSun" w:cs="SimSun"/>
          <w:sz w:val="30"/>
          <w:szCs w:val="30"/>
          <w:spacing w:val="-7"/>
        </w:rPr>
        <w:t>，“头尾稳定、</w:t>
      </w:r>
      <w:r>
        <w:rPr>
          <w:rFonts w:ascii="SimSun" w:hAnsi="SimSun" w:eastAsia="SimSun" w:cs="SimSun"/>
          <w:sz w:val="30"/>
          <w:szCs w:val="30"/>
          <w:spacing w:val="-2"/>
        </w:rPr>
        <w:t>中部分化”形成我国软件与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 </w:t>
      </w:r>
      <w:r>
        <w:rPr>
          <w:rFonts w:ascii="SimSun" w:hAnsi="SimSun" w:eastAsia="SimSun" w:cs="SimSun"/>
          <w:sz w:val="30"/>
          <w:szCs w:val="30"/>
          <w:spacing w:val="-2"/>
        </w:rPr>
        <w:t>服务业企业增长基本势态。</w:t>
      </w:r>
    </w:p>
    <w:p>
      <w:pPr>
        <w:ind w:firstLine="14"/>
        <w:spacing w:before="136" w:line="2590" w:lineRule="exact"/>
        <w:rPr/>
      </w:pPr>
      <w:r>
        <w:rPr>
          <w:position w:val="-51"/>
        </w:rPr>
        <w:drawing>
          <wp:inline distT="0" distB="0" distL="0" distR="0">
            <wp:extent cx="5273040" cy="164466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64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left="27" w:right="104" w:firstLine="602"/>
        <w:spacing w:before="97" w:line="33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综合营收规模、增长速度、位秩变化等因素， 识别出科大讯</w:t>
      </w:r>
      <w:r>
        <w:rPr>
          <w:rFonts w:ascii="SimSun" w:hAnsi="SimSun" w:eastAsia="SimSun" w:cs="SimSun"/>
          <w:sz w:val="30"/>
          <w:szCs w:val="30"/>
          <w:spacing w:val="-4"/>
        </w:rPr>
        <w:t>飞、软通动力、宝信软件、太极股份、东华软件、中科软、电科</w:t>
      </w:r>
      <w:r>
        <w:rPr>
          <w:rFonts w:ascii="SimSun" w:hAnsi="SimSun" w:eastAsia="SimSun" w:cs="SimSun"/>
          <w:sz w:val="30"/>
          <w:szCs w:val="30"/>
          <w:spacing w:val="-9"/>
        </w:rPr>
        <w:t>数字、神州信息、东软集团、奇安信、南天信息、深信服等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37 </w:t>
      </w:r>
      <w:r>
        <w:rPr>
          <w:rFonts w:ascii="SimSun" w:hAnsi="SimSun" w:eastAsia="SimSun" w:cs="SimSun"/>
          <w:sz w:val="30"/>
          <w:szCs w:val="30"/>
          <w:spacing w:val="-9"/>
        </w:rPr>
        <w:t>家</w:t>
      </w:r>
      <w:r>
        <w:rPr>
          <w:rFonts w:ascii="SimSun" w:hAnsi="SimSun" w:eastAsia="SimSun" w:cs="SimSun"/>
          <w:sz w:val="30"/>
          <w:szCs w:val="30"/>
          <w:spacing w:val="-14"/>
        </w:rPr>
        <w:t>企业（详见附录 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1</w:t>
      </w:r>
      <w:r>
        <w:rPr>
          <w:rFonts w:ascii="SimSun" w:hAnsi="SimSun" w:eastAsia="SimSun" w:cs="SimSun"/>
          <w:sz w:val="30"/>
          <w:szCs w:val="30"/>
          <w:spacing w:val="-14"/>
        </w:rPr>
        <w:t>）在过去五年实现规模化增长。（不同梯次企业</w:t>
      </w:r>
      <w:r>
        <w:rPr>
          <w:rFonts w:ascii="SimSun" w:hAnsi="SimSun" w:eastAsia="SimSun" w:cs="SimSun"/>
          <w:sz w:val="30"/>
          <w:szCs w:val="30"/>
          <w:spacing w:val="-2"/>
        </w:rPr>
        <w:t>增长分异情况详见附录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</w:t>
      </w:r>
      <w:r>
        <w:rPr>
          <w:rFonts w:ascii="SimSun" w:hAnsi="SimSun" w:eastAsia="SimSun" w:cs="SimSun"/>
          <w:sz w:val="30"/>
          <w:szCs w:val="30"/>
          <w:spacing w:val="-2"/>
        </w:rPr>
        <w:t>）</w:t>
      </w:r>
    </w:p>
    <w:p>
      <w:pPr>
        <w:ind w:left="624"/>
        <w:spacing w:before="261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．盈利分异（利润率）</w:t>
      </w:r>
    </w:p>
    <w:p>
      <w:pPr>
        <w:spacing w:line="233" w:lineRule="auto"/>
        <w:sectPr>
          <w:pgSz w:w="11907" w:h="16839"/>
          <w:pgMar w:top="1431" w:right="169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100" w:firstLine="599"/>
        <w:spacing w:before="187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推动业务的规模化增长是软件与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服务企业保</w:t>
      </w:r>
      <w:r>
        <w:rPr>
          <w:rFonts w:ascii="SimSun" w:hAnsi="SimSun" w:eastAsia="SimSun" w:cs="SimSun"/>
          <w:sz w:val="30"/>
          <w:szCs w:val="30"/>
          <w:spacing w:val="-2"/>
        </w:rPr>
        <w:t>持盈利能力</w:t>
      </w:r>
      <w:r>
        <w:rPr>
          <w:rFonts w:ascii="SimSun" w:hAnsi="SimSun" w:eastAsia="SimSun" w:cs="SimSun"/>
          <w:sz w:val="30"/>
          <w:szCs w:val="30"/>
          <w:spacing w:val="-4"/>
        </w:rPr>
        <w:t>的关键，规模化增长型企业具备更高盈利能力和抵御外部风险能</w:t>
      </w:r>
      <w:r>
        <w:rPr>
          <w:rFonts w:ascii="SimSun" w:hAnsi="SimSun" w:eastAsia="SimSun" w:cs="SimSun"/>
          <w:sz w:val="30"/>
          <w:szCs w:val="30"/>
          <w:spacing w:val="-4"/>
        </w:rPr>
        <w:t>力。如表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</w:t>
      </w:r>
      <w:r>
        <w:rPr>
          <w:rFonts w:ascii="SimSun" w:hAnsi="SimSun" w:eastAsia="SimSun" w:cs="SimSun"/>
          <w:sz w:val="30"/>
          <w:szCs w:val="30"/>
          <w:spacing w:val="-4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2018~2022 </w:t>
      </w:r>
      <w:r>
        <w:rPr>
          <w:rFonts w:ascii="SimSun" w:hAnsi="SimSun" w:eastAsia="SimSun" w:cs="SimSun"/>
          <w:sz w:val="30"/>
          <w:szCs w:val="30"/>
          <w:spacing w:val="-4"/>
        </w:rPr>
        <w:t>年期间，规模增长</w:t>
      </w:r>
      <w:r>
        <w:rPr>
          <w:rFonts w:ascii="SimSun" w:hAnsi="SimSun" w:eastAsia="SimSun" w:cs="SimSun"/>
          <w:sz w:val="30"/>
          <w:szCs w:val="30"/>
          <w:spacing w:val="-5"/>
        </w:rPr>
        <w:t>型企业（如前文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37 </w:t>
      </w:r>
      <w:r>
        <w:rPr>
          <w:rFonts w:ascii="SimSun" w:hAnsi="SimSun" w:eastAsia="SimSun" w:cs="SimSun"/>
          <w:sz w:val="30"/>
          <w:szCs w:val="30"/>
          <w:spacing w:val="-5"/>
        </w:rPr>
        <w:t>家</w:t>
      </w:r>
      <w:r>
        <w:rPr>
          <w:rFonts w:ascii="SimSun" w:hAnsi="SimSun" w:eastAsia="SimSun" w:cs="SimSun"/>
          <w:sz w:val="30"/>
          <w:szCs w:val="30"/>
          <w:spacing w:val="-4"/>
        </w:rPr>
        <w:t>企业）实现利润率水平的整体提升，且在行业整体利润水平持续</w:t>
      </w:r>
      <w:r>
        <w:rPr>
          <w:rFonts w:ascii="SimSun" w:hAnsi="SimSun" w:eastAsia="SimSun" w:cs="SimSun"/>
          <w:sz w:val="30"/>
          <w:szCs w:val="30"/>
          <w:spacing w:val="-1"/>
        </w:rPr>
        <w:t>下降背景下，保持较高利润水平。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年，境内上市软件</w:t>
      </w:r>
      <w:r>
        <w:rPr>
          <w:rFonts w:ascii="SimSun" w:hAnsi="SimSun" w:eastAsia="SimSun" w:cs="SimSun"/>
          <w:sz w:val="30"/>
          <w:szCs w:val="30"/>
          <w:spacing w:val="-2"/>
        </w:rPr>
        <w:t>与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</w:t>
      </w:r>
      <w:r>
        <w:rPr>
          <w:rFonts w:ascii="SimSun" w:hAnsi="SimSun" w:eastAsia="SimSun" w:cs="SimSun"/>
          <w:sz w:val="30"/>
          <w:szCs w:val="30"/>
          <w:spacing w:val="-1"/>
        </w:rPr>
        <w:t>服务企业盈利情况加速分化，亏损面持续扩大，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230 </w:t>
      </w:r>
      <w:r>
        <w:rPr>
          <w:rFonts w:ascii="SimSun" w:hAnsi="SimSun" w:eastAsia="SimSun" w:cs="SimSun"/>
          <w:sz w:val="30"/>
          <w:szCs w:val="30"/>
          <w:spacing w:val="-1"/>
        </w:rPr>
        <w:t>家企业利润</w:t>
      </w:r>
      <w:r>
        <w:rPr>
          <w:rFonts w:ascii="SimSun" w:hAnsi="SimSun" w:eastAsia="SimSun" w:cs="SimSun"/>
          <w:sz w:val="30"/>
          <w:szCs w:val="30"/>
          <w:spacing w:val="-5"/>
        </w:rPr>
        <w:t>总额为负比例超过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35%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年这一比例为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16.1%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2018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年为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8.3%</w:t>
      </w:r>
      <w:r>
        <w:rPr>
          <w:rFonts w:ascii="SimSun" w:hAnsi="SimSun" w:eastAsia="SimSun" w:cs="SimSun"/>
          <w:sz w:val="30"/>
          <w:szCs w:val="30"/>
          <w:spacing w:val="-9"/>
        </w:rPr>
        <w:t>，企业发展不确定性加大。与此形成对比，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37 </w:t>
      </w:r>
      <w:r>
        <w:rPr>
          <w:rFonts w:ascii="SimSun" w:hAnsi="SimSun" w:eastAsia="SimSun" w:cs="SimSun"/>
          <w:sz w:val="30"/>
          <w:szCs w:val="30"/>
          <w:spacing w:val="-9"/>
        </w:rPr>
        <w:t>家规模增长型</w:t>
      </w:r>
      <w:r>
        <w:rPr>
          <w:rFonts w:ascii="SimSun" w:hAnsi="SimSun" w:eastAsia="SimSun" w:cs="SimSun"/>
          <w:sz w:val="30"/>
          <w:szCs w:val="30"/>
          <w:spacing w:val="-1"/>
        </w:rPr>
        <w:t>企业在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年皆保持盈利或亏损收窄，表现出更强</w:t>
      </w:r>
      <w:r>
        <w:rPr>
          <w:rFonts w:ascii="SimSun" w:hAnsi="SimSun" w:eastAsia="SimSun" w:cs="SimSun"/>
          <w:sz w:val="30"/>
          <w:szCs w:val="30"/>
          <w:spacing w:val="-2"/>
        </w:rPr>
        <w:t>抵御外部风</w:t>
      </w:r>
      <w:r>
        <w:rPr>
          <w:rFonts w:ascii="SimSun" w:hAnsi="SimSun" w:eastAsia="SimSun" w:cs="SimSun"/>
          <w:sz w:val="30"/>
          <w:szCs w:val="30"/>
          <w:spacing w:val="-11"/>
        </w:rPr>
        <w:t>险能力。</w:t>
      </w:r>
    </w:p>
    <w:p>
      <w:pPr>
        <w:ind w:firstLine="14"/>
        <w:spacing w:before="54" w:line="1800" w:lineRule="exact"/>
        <w:rPr/>
      </w:pPr>
      <w:r>
        <w:rPr>
          <w:position w:val="-36"/>
        </w:rPr>
        <w:drawing>
          <wp:inline distT="0" distB="0" distL="0" distR="0">
            <wp:extent cx="5274563" cy="114317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1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二、规模增长型软件开发与</w:t>
      </w:r>
      <w:r>
        <w:rPr>
          <w:rFonts w:ascii="SimHei" w:hAnsi="SimHei" w:eastAsia="SimHei" w:cs="SimHei"/>
          <w:sz w:val="31"/>
          <w:szCs w:val="31"/>
          <w:spacing w:val="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IT</w:t>
      </w:r>
      <w:r>
        <w:rPr>
          <w:rFonts w:ascii="SimHei" w:hAnsi="SimHei" w:eastAsia="SimHei" w:cs="SimHei"/>
          <w:sz w:val="31"/>
          <w:szCs w:val="31"/>
          <w:spacing w:val="-6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服务企业特征探析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．规模增长型企业领域分布特征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26" w:firstLine="602"/>
        <w:spacing w:before="97" w:line="33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参考申万宏源对软件与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服务业的子类划分（即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服务、</w:t>
      </w:r>
      <w:r>
        <w:rPr>
          <w:rFonts w:ascii="SimSun" w:hAnsi="SimSun" w:eastAsia="SimSun" w:cs="SimSun"/>
          <w:sz w:val="30"/>
          <w:szCs w:val="30"/>
          <w:spacing w:val="-6"/>
        </w:rPr>
        <w:t>垂直应用软件、横向通用软件） 发现，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2018~2022 </w:t>
      </w:r>
      <w:r>
        <w:rPr>
          <w:rFonts w:ascii="SimSun" w:hAnsi="SimSun" w:eastAsia="SimSun" w:cs="SimSun"/>
          <w:sz w:val="30"/>
          <w:szCs w:val="30"/>
          <w:spacing w:val="-6"/>
        </w:rPr>
        <w:t>年期间，横向</w:t>
      </w:r>
      <w:r>
        <w:rPr>
          <w:rFonts w:ascii="SimSun" w:hAnsi="SimSun" w:eastAsia="SimSun" w:cs="SimSun"/>
          <w:sz w:val="30"/>
          <w:szCs w:val="30"/>
          <w:spacing w:val="7"/>
        </w:rPr>
        <w:t>通用软件企业和垂直应用软件企业收入增长和盈</w:t>
      </w:r>
      <w:r>
        <w:rPr>
          <w:rFonts w:ascii="SimSun" w:hAnsi="SimSun" w:eastAsia="SimSun" w:cs="SimSun"/>
          <w:sz w:val="30"/>
          <w:szCs w:val="30"/>
          <w:spacing w:val="6"/>
        </w:rPr>
        <w:t>利水平明显强</w:t>
      </w:r>
      <w:r>
        <w:rPr>
          <w:rFonts w:ascii="SimSun" w:hAnsi="SimSun" w:eastAsia="SimSun" w:cs="SimSun"/>
          <w:sz w:val="30"/>
          <w:szCs w:val="30"/>
          <w:spacing w:val="-13"/>
        </w:rPr>
        <w:t>于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IT </w:t>
      </w:r>
      <w:r>
        <w:rPr>
          <w:rFonts w:ascii="SimSun" w:hAnsi="SimSun" w:eastAsia="SimSun" w:cs="SimSun"/>
          <w:sz w:val="30"/>
          <w:szCs w:val="30"/>
          <w:spacing w:val="-13"/>
        </w:rPr>
        <w:t>服务企业（如表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5</w:t>
      </w:r>
      <w:r>
        <w:rPr>
          <w:rFonts w:ascii="SimSun" w:hAnsi="SimSun" w:eastAsia="SimSun" w:cs="SimSun"/>
          <w:sz w:val="30"/>
          <w:szCs w:val="30"/>
          <w:spacing w:val="-45"/>
          <w:w w:val="56"/>
        </w:rPr>
        <w:t>），</w:t>
      </w:r>
      <w:r>
        <w:rPr>
          <w:rFonts w:ascii="SimSun" w:hAnsi="SimSun" w:eastAsia="SimSun" w:cs="SimSun"/>
          <w:sz w:val="30"/>
          <w:szCs w:val="30"/>
          <w:spacing w:val="-13"/>
        </w:rPr>
        <w:t>横向通用软件中人工智能（科大讯飞）、</w:t>
      </w:r>
      <w:r>
        <w:rPr>
          <w:rFonts w:ascii="SimSun" w:hAnsi="SimSun" w:eastAsia="SimSun" w:cs="SimSun"/>
          <w:sz w:val="30"/>
          <w:szCs w:val="30"/>
          <w:spacing w:val="-9"/>
        </w:rPr>
        <w:t>网信安全（奇安信、深信服、启明星辰等） 增长突出，垂直应用</w:t>
      </w:r>
      <w:r>
        <w:rPr>
          <w:rFonts w:ascii="SimSun" w:hAnsi="SimSun" w:eastAsia="SimSun" w:cs="SimSun"/>
          <w:sz w:val="30"/>
          <w:szCs w:val="30"/>
          <w:spacing w:val="-3"/>
        </w:rPr>
        <w:t>软件则主要集中于金融、政务、交通、医疗等领域。</w:t>
      </w:r>
    </w:p>
    <w:p>
      <w:pPr>
        <w:ind w:left="628"/>
        <w:spacing w:before="290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上述差异反映出产业数字化对软件与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服务</w:t>
      </w:r>
      <w:r>
        <w:rPr>
          <w:rFonts w:ascii="SimSun" w:hAnsi="SimSun" w:eastAsia="SimSun" w:cs="SimSun"/>
          <w:sz w:val="30"/>
          <w:szCs w:val="30"/>
          <w:spacing w:val="-2"/>
        </w:rPr>
        <w:t>业两方面的影</w:t>
      </w:r>
    </w:p>
    <w:p>
      <w:pPr>
        <w:spacing w:line="233" w:lineRule="auto"/>
        <w:sectPr>
          <w:pgSz w:w="11907" w:h="16839"/>
          <w:pgMar w:top="1431" w:right="1692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 w:right="85" w:firstLine="14"/>
        <w:spacing w:before="184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响：其一，强调自主、安全、可控，</w:t>
      </w:r>
      <w:r>
        <w:rPr>
          <w:rFonts w:ascii="SimSun" w:hAnsi="SimSun" w:eastAsia="SimSun" w:cs="SimSun"/>
          <w:sz w:val="30"/>
          <w:szCs w:val="30"/>
          <w:spacing w:val="6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推进传统产业数字化</w:t>
      </w:r>
      <w:r>
        <w:rPr>
          <w:rFonts w:ascii="SimSun" w:hAnsi="SimSun" w:eastAsia="SimSun" w:cs="SimSun"/>
          <w:sz w:val="30"/>
          <w:szCs w:val="30"/>
          <w:spacing w:val="-13"/>
        </w:rPr>
        <w:t>、网络</w:t>
      </w:r>
      <w:r>
        <w:rPr>
          <w:rFonts w:ascii="SimSun" w:hAnsi="SimSun" w:eastAsia="SimSun" w:cs="SimSun"/>
          <w:sz w:val="30"/>
          <w:szCs w:val="30"/>
          <w:spacing w:val="-14"/>
        </w:rPr>
        <w:t>化、智能化，带动横向通用软件和垂直应用软件高速成长；其二，</w:t>
      </w:r>
      <w:r>
        <w:rPr>
          <w:rFonts w:ascii="SimSun" w:hAnsi="SimSun" w:eastAsia="SimSun" w:cs="SimSun"/>
          <w:sz w:val="30"/>
          <w:szCs w:val="30"/>
          <w:spacing w:val="-2"/>
        </w:rPr>
        <w:t>云计算颠覆传统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服务业发展模式，推动自身的云化</w:t>
      </w:r>
      <w:r>
        <w:rPr>
          <w:rFonts w:ascii="SimSun" w:hAnsi="SimSun" w:eastAsia="SimSun" w:cs="SimSun"/>
          <w:sz w:val="30"/>
          <w:szCs w:val="30"/>
          <w:spacing w:val="-3"/>
        </w:rPr>
        <w:t>、互联网</w:t>
      </w:r>
      <w:r>
        <w:rPr>
          <w:rFonts w:ascii="SimSun" w:hAnsi="SimSun" w:eastAsia="SimSun" w:cs="SimSun"/>
          <w:sz w:val="30"/>
          <w:szCs w:val="30"/>
        </w:rPr>
        <w:t>化和智能化转型成为传统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IT </w:t>
      </w:r>
      <w:r>
        <w:rPr>
          <w:rFonts w:ascii="SimSun" w:hAnsi="SimSun" w:eastAsia="SimSun" w:cs="SimSun"/>
          <w:sz w:val="30"/>
          <w:szCs w:val="30"/>
        </w:rPr>
        <w:t>服务企业的必</w:t>
      </w:r>
      <w:r>
        <w:rPr>
          <w:rFonts w:ascii="SimSun" w:hAnsi="SimSun" w:eastAsia="SimSun" w:cs="SimSun"/>
          <w:sz w:val="30"/>
          <w:szCs w:val="30"/>
          <w:spacing w:val="-1"/>
        </w:rPr>
        <w:t>选题，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 </w:t>
      </w:r>
      <w:r>
        <w:rPr>
          <w:rFonts w:ascii="SimSun" w:hAnsi="SimSun" w:eastAsia="SimSun" w:cs="SimSun"/>
          <w:sz w:val="30"/>
          <w:szCs w:val="30"/>
          <w:spacing w:val="-1"/>
        </w:rPr>
        <w:t>服务企业成</w:t>
      </w:r>
      <w:r>
        <w:rPr>
          <w:rFonts w:ascii="SimSun" w:hAnsi="SimSun" w:eastAsia="SimSun" w:cs="SimSun"/>
          <w:sz w:val="30"/>
          <w:szCs w:val="30"/>
          <w:spacing w:val="-8"/>
        </w:rPr>
        <w:t>长分化加剧。</w:t>
      </w:r>
    </w:p>
    <w:p>
      <w:pPr>
        <w:ind w:firstLine="14"/>
        <w:spacing w:before="141" w:line="2218" w:lineRule="exact"/>
        <w:rPr/>
      </w:pPr>
      <w:r>
        <w:rPr>
          <w:position w:val="-44"/>
        </w:rPr>
        <w:drawing>
          <wp:inline distT="0" distB="0" distL="0" distR="0">
            <wp:extent cx="5271515" cy="140817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515" cy="14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ind w:left="624"/>
        <w:spacing w:before="97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．典型规模增长型企业战略路径特征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right="1"/>
        <w:spacing w:before="98" w:line="220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对典型规模增长型企业关键战略发展路径的比较分析发现：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ind w:left="22" w:right="86" w:firstLine="604"/>
        <w:spacing w:before="97" w:line="30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第一，打造内部数字化能力平台、推动自身数字</w:t>
      </w:r>
      <w:r>
        <w:rPr>
          <w:rFonts w:ascii="SimSun" w:hAnsi="SimSun" w:eastAsia="SimSun" w:cs="SimSun"/>
          <w:sz w:val="30"/>
          <w:szCs w:val="30"/>
          <w:spacing w:val="-5"/>
        </w:rPr>
        <w:t>化转型是实</w:t>
      </w:r>
      <w:r>
        <w:rPr>
          <w:rFonts w:ascii="SimSun" w:hAnsi="SimSun" w:eastAsia="SimSun" w:cs="SimSun"/>
          <w:sz w:val="30"/>
          <w:szCs w:val="30"/>
          <w:spacing w:val="4"/>
        </w:rPr>
        <w:t>现规模增长的关键，研发和运营的数字化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/</w:t>
      </w:r>
      <w:r>
        <w:rPr>
          <w:rFonts w:ascii="SimSun" w:hAnsi="SimSun" w:eastAsia="SimSun" w:cs="SimSun"/>
          <w:sz w:val="30"/>
          <w:szCs w:val="30"/>
          <w:spacing w:val="4"/>
        </w:rPr>
        <w:t>平台化将打破软件与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IT </w:t>
      </w:r>
      <w:r>
        <w:rPr>
          <w:rFonts w:ascii="SimSun" w:hAnsi="SimSun" w:eastAsia="SimSun" w:cs="SimSun"/>
          <w:sz w:val="30"/>
          <w:szCs w:val="30"/>
          <w:spacing w:val="-5"/>
        </w:rPr>
        <w:t>服务业传统劳动密集型生产模式，“</w:t>
      </w:r>
      <w:r>
        <w:rPr>
          <w:rFonts w:ascii="SimSun" w:hAnsi="SimSun" w:eastAsia="SimSun" w:cs="SimSun"/>
          <w:sz w:val="30"/>
          <w:szCs w:val="30"/>
          <w:spacing w:val="-6"/>
        </w:rPr>
        <w:t>智能服务能力”助力突破</w:t>
      </w:r>
      <w:r>
        <w:rPr>
          <w:rFonts w:ascii="SimSun" w:hAnsi="SimSun" w:eastAsia="SimSun" w:cs="SimSun"/>
          <w:sz w:val="30"/>
          <w:szCs w:val="30"/>
          <w:spacing w:val="-6"/>
        </w:rPr>
        <w:t>规模增长的资源线性约束；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26" w:right="81" w:firstLine="599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第二，推动核心能力产品化及核心产品产业化是软件与 </w:t>
      </w:r>
      <w:r>
        <w:rPr>
          <w:rFonts w:ascii="Times New Roman" w:hAnsi="Times New Roman" w:eastAsia="Times New Roman" w:cs="Times New Roman"/>
          <w:sz w:val="30"/>
          <w:szCs w:val="30"/>
        </w:rPr>
        <w:t>IT</w:t>
      </w:r>
      <w:r>
        <w:rPr>
          <w:rFonts w:ascii="SimSun" w:hAnsi="SimSun" w:eastAsia="SimSun" w:cs="SimSun"/>
          <w:sz w:val="30"/>
          <w:szCs w:val="30"/>
          <w:spacing w:val="-4"/>
        </w:rPr>
        <w:t>服务企业形成规模增长的核心，围绕核心能力与核心产品构建解</w:t>
      </w:r>
      <w:r>
        <w:rPr>
          <w:rFonts w:ascii="SimSun" w:hAnsi="SimSun" w:eastAsia="SimSun" w:cs="SimSun"/>
          <w:sz w:val="30"/>
          <w:szCs w:val="30"/>
          <w:spacing w:val="-3"/>
        </w:rPr>
        <w:t>决方案将推动软件与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IT </w:t>
      </w:r>
      <w:r>
        <w:rPr>
          <w:rFonts w:ascii="SimSun" w:hAnsi="SimSun" w:eastAsia="SimSun" w:cs="SimSun"/>
          <w:sz w:val="30"/>
          <w:szCs w:val="30"/>
          <w:spacing w:val="-3"/>
        </w:rPr>
        <w:t>服务企业形成自身差异化竞争能力；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25" w:firstLine="601"/>
        <w:spacing w:before="9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第三，全栈全场景解决方案成为面向客户的新型交付方式，</w:t>
      </w:r>
      <w:r>
        <w:rPr>
          <w:rFonts w:ascii="SimSun" w:hAnsi="SimSun" w:eastAsia="SimSun" w:cs="SimSun"/>
          <w:sz w:val="30"/>
          <w:szCs w:val="30"/>
          <w:spacing w:val="-4"/>
        </w:rPr>
        <w:t>基于全栈全场景数字化能力平台，客户可实现自主敏捷构建面向</w:t>
      </w:r>
      <w:r>
        <w:rPr>
          <w:rFonts w:ascii="SimSun" w:hAnsi="SimSun" w:eastAsia="SimSun" w:cs="SimSun"/>
          <w:sz w:val="30"/>
          <w:szCs w:val="30"/>
          <w:spacing w:val="-4"/>
        </w:rPr>
        <w:t>业务需求的数字化服务和应用。</w:t>
      </w:r>
    </w:p>
    <w:p>
      <w:pPr>
        <w:spacing w:line="295" w:lineRule="auto"/>
        <w:sectPr>
          <w:pgSz w:w="11907" w:h="16839"/>
          <w:pgMar w:top="1431" w:right="1712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firstLine="14"/>
        <w:spacing w:before="163" w:line="5598" w:lineRule="exact"/>
        <w:rPr/>
      </w:pPr>
      <w:r>
        <w:rPr>
          <w:position w:val="-111"/>
        </w:rPr>
        <w:drawing>
          <wp:inline distT="0" distB="0" distL="0" distR="0">
            <wp:extent cx="5273040" cy="355501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55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621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．典型规模增长型企业科技创新特征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25" w:right="12" w:firstLine="609"/>
        <w:spacing w:before="98" w:line="33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高强度研发投入，推动关键能力和关键技术自主创新，是规</w:t>
      </w:r>
      <w:r>
        <w:rPr>
          <w:rFonts w:ascii="SimSun" w:hAnsi="SimSun" w:eastAsia="SimSun" w:cs="SimSun"/>
          <w:sz w:val="30"/>
          <w:szCs w:val="30"/>
          <w:spacing w:val="-1"/>
        </w:rPr>
        <w:t>模增长型软件与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服务企业的典型特征。侧重系统集成与信息</w:t>
      </w:r>
      <w:r>
        <w:rPr>
          <w:rFonts w:ascii="SimSun" w:hAnsi="SimSun" w:eastAsia="SimSun" w:cs="SimSun"/>
          <w:sz w:val="30"/>
          <w:szCs w:val="30"/>
          <w:spacing w:val="-1"/>
        </w:rPr>
        <w:t>技术服务商的软通动力、太极信息，在近三年皆保持</w:t>
      </w:r>
      <w:r>
        <w:rPr>
          <w:rFonts w:ascii="SimSun" w:hAnsi="SimSun" w:eastAsia="SimSun" w:cs="SimSun"/>
          <w:sz w:val="30"/>
          <w:szCs w:val="3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6%</w:t>
      </w:r>
      <w:r>
        <w:rPr>
          <w:rFonts w:ascii="SimSun" w:hAnsi="SimSun" w:eastAsia="SimSun" w:cs="SimSun"/>
          <w:sz w:val="30"/>
          <w:szCs w:val="30"/>
          <w:spacing w:val="-1"/>
        </w:rPr>
        <w:t>以上研</w:t>
      </w:r>
      <w:r>
        <w:rPr>
          <w:rFonts w:ascii="SimSun" w:hAnsi="SimSun" w:eastAsia="SimSun" w:cs="SimSun"/>
          <w:sz w:val="30"/>
          <w:szCs w:val="30"/>
          <w:spacing w:val="-14"/>
        </w:rPr>
        <w:t>发投入强度。垂直应用软件（专注特定行业领域</w:t>
      </w:r>
      <w:r>
        <w:rPr>
          <w:rFonts w:ascii="SimSun" w:hAnsi="SimSun" w:eastAsia="SimSun" w:cs="SimSun"/>
          <w:sz w:val="30"/>
          <w:szCs w:val="30"/>
          <w:spacing w:val="-36"/>
        </w:rPr>
        <w:t>），</w:t>
      </w:r>
      <w:r>
        <w:rPr>
          <w:rFonts w:ascii="SimSun" w:hAnsi="SimSun" w:eastAsia="SimSun" w:cs="SimSun"/>
          <w:sz w:val="30"/>
          <w:szCs w:val="30"/>
          <w:spacing w:val="-14"/>
        </w:rPr>
        <w:t>如南天信息、</w:t>
      </w:r>
      <w:r>
        <w:rPr>
          <w:rFonts w:ascii="SimSun" w:hAnsi="SimSun" w:eastAsia="SimSun" w:cs="SimSun"/>
          <w:sz w:val="30"/>
          <w:szCs w:val="30"/>
          <w:spacing w:val="-9"/>
        </w:rPr>
        <w:t>卫宁医疗，持续保持高强度研发投入。横向通用软件， 专注于特</w:t>
      </w:r>
      <w:r>
        <w:rPr>
          <w:rFonts w:ascii="SimSun" w:hAnsi="SimSun" w:eastAsia="SimSun" w:cs="SimSun"/>
          <w:sz w:val="30"/>
          <w:szCs w:val="30"/>
          <w:spacing w:val="-9"/>
        </w:rPr>
        <w:t>定前沿技术领域，高风险、高研发投入特征明显， 奇安信近三年</w:t>
      </w:r>
      <w:r>
        <w:rPr>
          <w:rFonts w:ascii="SimSun" w:hAnsi="SimSun" w:eastAsia="SimSun" w:cs="SimSun"/>
          <w:sz w:val="30"/>
          <w:szCs w:val="30"/>
          <w:spacing w:val="-1"/>
        </w:rPr>
        <w:t>年均研发投入强度超过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30%</w:t>
      </w:r>
      <w:r>
        <w:rPr>
          <w:rFonts w:ascii="SimSun" w:hAnsi="SimSun" w:eastAsia="SimSun" w:cs="SimSun"/>
          <w:sz w:val="30"/>
          <w:szCs w:val="30"/>
          <w:spacing w:val="-1"/>
        </w:rPr>
        <w:t>，科大讯飞亦接近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20%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ind w:firstLine="14"/>
        <w:spacing w:before="70" w:line="2618" w:lineRule="exact"/>
        <w:rPr/>
      </w:pPr>
      <w:r>
        <w:rPr>
          <w:position w:val="-52"/>
        </w:rPr>
        <w:drawing>
          <wp:inline distT="0" distB="0" distL="0" distR="0">
            <wp:extent cx="5271515" cy="166234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515" cy="166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8" w:lineRule="exact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ind w:left="676"/>
        <w:spacing w:before="166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三、中国电信软件与</w:t>
      </w:r>
      <w:r>
        <w:rPr>
          <w:rFonts w:ascii="SimHei" w:hAnsi="SimHei" w:eastAsia="SimHei" w:cs="SimHei"/>
          <w:sz w:val="31"/>
          <w:szCs w:val="31"/>
          <w:spacing w:val="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IT</w:t>
      </w:r>
      <w:r>
        <w:rPr>
          <w:rFonts w:ascii="SimHei" w:hAnsi="SimHei" w:eastAsia="SimHei" w:cs="SimHei"/>
          <w:sz w:val="31"/>
          <w:szCs w:val="31"/>
          <w:spacing w:val="-5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服务业务发展相关建议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23" w:firstLine="602"/>
        <w:spacing w:before="98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产数背景下，云计算成为带动运营商收入增长的关键力量，</w:t>
      </w:r>
      <w:r>
        <w:rPr>
          <w:rFonts w:ascii="SimSun" w:hAnsi="SimSun" w:eastAsia="SimSun" w:cs="SimSun"/>
          <w:sz w:val="30"/>
          <w:szCs w:val="30"/>
          <w:spacing w:val="-6"/>
        </w:rPr>
        <w:t>但随着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IaaS </w:t>
      </w:r>
      <w:r>
        <w:rPr>
          <w:rFonts w:ascii="SimSun" w:hAnsi="SimSun" w:eastAsia="SimSun" w:cs="SimSun"/>
          <w:sz w:val="30"/>
          <w:szCs w:val="30"/>
          <w:spacing w:val="-6"/>
        </w:rPr>
        <w:t>增速放缓，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PaaS </w:t>
      </w:r>
      <w:r>
        <w:rPr>
          <w:rFonts w:ascii="SimSun" w:hAnsi="SimSun" w:eastAsia="SimSun" w:cs="SimSun"/>
          <w:sz w:val="30"/>
          <w:szCs w:val="30"/>
          <w:spacing w:val="-6"/>
        </w:rPr>
        <w:t>和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SaaS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市场需求增加，</w:t>
      </w:r>
      <w:r>
        <w:rPr>
          <w:rFonts w:ascii="SimSun" w:hAnsi="SimSun" w:eastAsia="SimSun" w:cs="SimSun"/>
          <w:sz w:val="30"/>
          <w:szCs w:val="30"/>
          <w:spacing w:val="-7"/>
        </w:rPr>
        <w:t>互联网和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IT</w:t>
      </w:r>
      <w:r>
        <w:rPr>
          <w:rFonts w:ascii="SimSun" w:hAnsi="SimSun" w:eastAsia="SimSun" w:cs="SimSun"/>
          <w:sz w:val="30"/>
          <w:szCs w:val="30"/>
          <w:spacing w:val="-4"/>
        </w:rPr>
        <w:t>服务厂商优势扩大。中国电信需基于政企客户优势和云网安技术</w:t>
      </w:r>
      <w:r>
        <w:rPr>
          <w:rFonts w:ascii="SimSun" w:hAnsi="SimSun" w:eastAsia="SimSun" w:cs="SimSun"/>
          <w:sz w:val="30"/>
          <w:szCs w:val="30"/>
        </w:rPr>
        <w:t>优势，强化数字平台和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IT </w:t>
      </w:r>
      <w:r>
        <w:rPr>
          <w:rFonts w:ascii="SimSun" w:hAnsi="SimSun" w:eastAsia="SimSun" w:cs="SimSun"/>
          <w:sz w:val="30"/>
          <w:szCs w:val="30"/>
        </w:rPr>
        <w:t>服务能力建设，推动软件和</w:t>
      </w:r>
      <w:r>
        <w:rPr>
          <w:rFonts w:ascii="Times New Roman" w:hAnsi="Times New Roman" w:eastAsia="Times New Roman" w:cs="Times New Roman"/>
          <w:sz w:val="30"/>
          <w:szCs w:val="30"/>
        </w:rPr>
        <w:t>IT </w:t>
      </w:r>
      <w:r>
        <w:rPr>
          <w:rFonts w:ascii="SimSun" w:hAnsi="SimSun" w:eastAsia="SimSun" w:cs="SimSun"/>
          <w:sz w:val="30"/>
          <w:szCs w:val="30"/>
        </w:rPr>
        <w:t>服务业</w:t>
      </w:r>
      <w:r>
        <w:rPr>
          <w:rFonts w:ascii="SimSun" w:hAnsi="SimSun" w:eastAsia="SimSun" w:cs="SimSun"/>
          <w:sz w:val="30"/>
          <w:szCs w:val="30"/>
          <w:spacing w:val="-8"/>
        </w:rPr>
        <w:t>务规模成长。</w:t>
      </w:r>
    </w:p>
    <w:p>
      <w:pPr>
        <w:ind w:left="27" w:right="85" w:firstLine="598"/>
        <w:spacing w:before="279" w:line="31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第一，加快推进自有软件产品和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6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服务业务的云化、互联</w:t>
      </w:r>
      <w:r>
        <w:rPr>
          <w:rFonts w:ascii="SimSun" w:hAnsi="SimSun" w:eastAsia="SimSun" w:cs="SimSun"/>
          <w:sz w:val="30"/>
          <w:szCs w:val="30"/>
          <w:spacing w:val="-12"/>
        </w:rPr>
        <w:t>网化、智能化转型。面向数字化、网络化、智能化应用需求，</w:t>
      </w:r>
      <w:r>
        <w:rPr>
          <w:rFonts w:ascii="SimSun" w:hAnsi="SimSun" w:eastAsia="SimSun" w:cs="SimSun"/>
          <w:sz w:val="30"/>
          <w:szCs w:val="30"/>
          <w:spacing w:val="7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加</w:t>
      </w:r>
      <w:r>
        <w:rPr>
          <w:rFonts w:ascii="SimSun" w:hAnsi="SimSun" w:eastAsia="SimSun" w:cs="SimSun"/>
          <w:sz w:val="30"/>
          <w:szCs w:val="30"/>
          <w:spacing w:val="-4"/>
        </w:rPr>
        <w:t>强典型场景下的算法服务，提升面向行业企业智能服务水平；围</w:t>
      </w:r>
      <w:r>
        <w:rPr>
          <w:rFonts w:ascii="SimSun" w:hAnsi="SimSun" w:eastAsia="SimSun" w:cs="SimSun"/>
          <w:sz w:val="30"/>
          <w:szCs w:val="30"/>
          <w:spacing w:val="-1"/>
        </w:rPr>
        <w:t>绕数字化管理咨询、一体化集成、智能运维等，完善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服务体</w:t>
      </w:r>
      <w:r>
        <w:rPr>
          <w:rFonts w:ascii="SimSun" w:hAnsi="SimSun" w:eastAsia="SimSun" w:cs="SimSun"/>
          <w:sz w:val="30"/>
          <w:szCs w:val="30"/>
          <w:spacing w:val="-4"/>
        </w:rPr>
        <w:t>系，提升政务、金融、医疗、能源、电力、生产制造等重点行业</w:t>
      </w:r>
      <w:r>
        <w:rPr>
          <w:rFonts w:ascii="SimSun" w:hAnsi="SimSun" w:eastAsia="SimSun" w:cs="SimSun"/>
          <w:sz w:val="30"/>
          <w:szCs w:val="30"/>
          <w:spacing w:val="-4"/>
        </w:rPr>
        <w:t>和领域专业化信息技术服务能力。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25" w:right="85" w:firstLine="601"/>
        <w:spacing w:before="98" w:line="31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第二，持续推进“融平台”战略，强化对重点自</w:t>
      </w:r>
      <w:r>
        <w:rPr>
          <w:rFonts w:ascii="SimSun" w:hAnsi="SimSun" w:eastAsia="SimSun" w:cs="SimSun"/>
          <w:sz w:val="30"/>
          <w:szCs w:val="30"/>
          <w:spacing w:val="-5"/>
        </w:rPr>
        <w:t>有平台和软</w:t>
      </w:r>
      <w:r>
        <w:rPr>
          <w:rFonts w:ascii="SimSun" w:hAnsi="SimSun" w:eastAsia="SimSun" w:cs="SimSun"/>
          <w:sz w:val="30"/>
          <w:szCs w:val="30"/>
          <w:spacing w:val="-1"/>
        </w:rPr>
        <w:t>件产品的研发投入。把握软件和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服务企业转型分化契机</w:t>
      </w:r>
      <w:r>
        <w:rPr>
          <w:rFonts w:ascii="SimSun" w:hAnsi="SimSun" w:eastAsia="SimSun" w:cs="SimSun"/>
          <w:sz w:val="30"/>
          <w:szCs w:val="30"/>
          <w:spacing w:val="-2"/>
        </w:rPr>
        <w:t>及信</w:t>
      </w:r>
      <w:r>
        <w:rPr>
          <w:rFonts w:ascii="SimSun" w:hAnsi="SimSun" w:eastAsia="SimSun" w:cs="SimSun"/>
          <w:sz w:val="30"/>
          <w:szCs w:val="30"/>
          <w:spacing w:val="-4"/>
        </w:rPr>
        <w:t>创机遇，发挥中国电信客户优势和云网优势，大力推动自有数字</w:t>
      </w:r>
      <w:r>
        <w:rPr>
          <w:rFonts w:ascii="SimSun" w:hAnsi="SimSun" w:eastAsia="SimSun" w:cs="SimSun"/>
          <w:sz w:val="30"/>
          <w:szCs w:val="30"/>
          <w:spacing w:val="-8"/>
        </w:rPr>
        <w:t>平台在产数项目中的应用。同时，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强化对重点数字平台和关键技</w:t>
      </w:r>
      <w:r>
        <w:rPr>
          <w:rFonts w:ascii="SimSun" w:hAnsi="SimSun" w:eastAsia="SimSun" w:cs="SimSun"/>
          <w:sz w:val="30"/>
          <w:szCs w:val="30"/>
          <w:spacing w:val="-2"/>
        </w:rPr>
        <w:t>术（如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SimSun" w:hAnsi="SimSun" w:eastAsia="SimSun" w:cs="SimSun"/>
          <w:sz w:val="30"/>
          <w:szCs w:val="30"/>
          <w:spacing w:val="-2"/>
        </w:rPr>
        <w:t>）的研发投入，以适应快速迭代和持续升级需</w:t>
      </w:r>
      <w:r>
        <w:rPr>
          <w:rFonts w:ascii="SimSun" w:hAnsi="SimSun" w:eastAsia="SimSun" w:cs="SimSun"/>
          <w:sz w:val="30"/>
          <w:szCs w:val="30"/>
          <w:spacing w:val="-3"/>
        </w:rPr>
        <w:t>求。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25" w:right="85" w:firstLine="601"/>
        <w:spacing w:before="97" w:line="31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第三，加快构建新型软件开发生态，推动中国电信软件和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IT</w:t>
      </w:r>
      <w:r>
        <w:rPr>
          <w:rFonts w:ascii="SimSun" w:hAnsi="SimSun" w:eastAsia="SimSun" w:cs="SimSun"/>
          <w:sz w:val="30"/>
          <w:szCs w:val="30"/>
          <w:spacing w:val="-1"/>
        </w:rPr>
        <w:t>服务能力对外开放。适应软件与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服务供给模式的转变，</w:t>
      </w:r>
      <w:r>
        <w:rPr>
          <w:rFonts w:ascii="SimSun" w:hAnsi="SimSun" w:eastAsia="SimSun" w:cs="SimSun"/>
          <w:sz w:val="30"/>
          <w:szCs w:val="30"/>
          <w:spacing w:val="-2"/>
        </w:rPr>
        <w:t>基于</w:t>
      </w:r>
      <w:r>
        <w:rPr>
          <w:rFonts w:ascii="SimSun" w:hAnsi="SimSun" w:eastAsia="SimSun" w:cs="SimSun"/>
          <w:sz w:val="30"/>
          <w:szCs w:val="30"/>
          <w:spacing w:val="-2"/>
        </w:rPr>
        <w:t>天翼云，打造中国电信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aPaaS</w:t>
      </w:r>
      <w:r>
        <w:rPr>
          <w:rFonts w:ascii="SimSun" w:hAnsi="SimSun" w:eastAsia="SimSun" w:cs="SimSun"/>
          <w:sz w:val="30"/>
          <w:szCs w:val="30"/>
          <w:spacing w:val="-2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Application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Platform asa Service</w:t>
      </w:r>
      <w:r>
        <w:rPr>
          <w:rFonts w:ascii="SimSun" w:hAnsi="SimSun" w:eastAsia="SimSun" w:cs="SimSun"/>
          <w:sz w:val="30"/>
          <w:szCs w:val="30"/>
          <w:spacing w:val="-2"/>
        </w:rPr>
        <w:t>）</w:t>
      </w:r>
      <w:r>
        <w:rPr>
          <w:rFonts w:ascii="SimSun" w:hAnsi="SimSun" w:eastAsia="SimSun" w:cs="SimSun"/>
          <w:sz w:val="30"/>
          <w:szCs w:val="30"/>
          <w:spacing w:val="-4"/>
        </w:rPr>
        <w:t>平台，推动自有能力的深度开放（包括研发能力）和对生态能力</w:t>
      </w:r>
      <w:r>
        <w:rPr>
          <w:rFonts w:ascii="SimSun" w:hAnsi="SimSun" w:eastAsia="SimSun" w:cs="SimSun"/>
          <w:sz w:val="30"/>
          <w:szCs w:val="30"/>
          <w:spacing w:val="-4"/>
        </w:rPr>
        <w:t>的高效集成，赋能开发者和企业更为便捷地构建、部署和管理应</w:t>
      </w:r>
      <w:r>
        <w:rPr>
          <w:rFonts w:ascii="SimSun" w:hAnsi="SimSun" w:eastAsia="SimSun" w:cs="SimSun"/>
          <w:sz w:val="30"/>
          <w:szCs w:val="30"/>
          <w:spacing w:val="-3"/>
        </w:rPr>
        <w:t>用程序。</w:t>
      </w:r>
    </w:p>
    <w:p>
      <w:pPr>
        <w:spacing w:line="314" w:lineRule="auto"/>
        <w:sectPr>
          <w:pgSz w:w="11907" w:h="16839"/>
          <w:pgMar w:top="1431" w:right="1712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5" w:right="106" w:firstLine="8"/>
        <w:spacing w:before="165" w:line="27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附录</w:t>
      </w:r>
      <w:r>
        <w:rPr>
          <w:rFonts w:ascii="SimHei" w:hAnsi="SimHei" w:eastAsia="SimHei" w:cs="SimHei"/>
          <w:sz w:val="31"/>
          <w:szCs w:val="31"/>
          <w:spacing w:val="-4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1：2018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4"/>
        </w:rPr>
        <w:t>~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2022</w:t>
      </w:r>
      <w:r>
        <w:rPr>
          <w:rFonts w:ascii="SimHei" w:hAnsi="SimHei" w:eastAsia="SimHei" w:cs="SimHei"/>
          <w:sz w:val="31"/>
          <w:szCs w:val="31"/>
          <w:spacing w:val="-5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年实现规模增长的37</w:t>
      </w:r>
      <w:r>
        <w:rPr>
          <w:rFonts w:ascii="SimHei" w:hAnsi="SimHei" w:eastAsia="SimHei" w:cs="SimHei"/>
          <w:sz w:val="31"/>
          <w:szCs w:val="31"/>
          <w:spacing w:val="-5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家境内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上市企业名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单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ind w:firstLine="14"/>
        <w:spacing w:line="6314" w:lineRule="exact"/>
        <w:rPr/>
      </w:pPr>
      <w:r>
        <w:rPr>
          <w:position w:val="-126"/>
        </w:rPr>
        <w:drawing>
          <wp:inline distT="0" distB="0" distL="0" distR="0">
            <wp:extent cx="5274563" cy="400964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400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ind w:left="44"/>
        <w:spacing w:before="101" w:line="239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附录</w:t>
      </w:r>
      <w:r>
        <w:rPr>
          <w:rFonts w:ascii="SimHei" w:hAnsi="SimHei" w:eastAsia="SimHei" w:cs="SimHei"/>
          <w:sz w:val="31"/>
          <w:szCs w:val="31"/>
          <w:spacing w:val="-6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2：2018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4"/>
        </w:rPr>
        <w:t>~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2022</w:t>
      </w:r>
      <w:r>
        <w:rPr>
          <w:rFonts w:ascii="SimHei" w:hAnsi="SimHei" w:eastAsia="SimHei" w:cs="SimHei"/>
          <w:sz w:val="31"/>
          <w:szCs w:val="31"/>
          <w:spacing w:val="-6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年不同梯次企业增长分异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情况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ind w:left="26" w:firstLine="605"/>
        <w:spacing w:before="97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具体而言，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2018 </w:t>
      </w:r>
      <w:r>
        <w:rPr>
          <w:rFonts w:ascii="SimSun" w:hAnsi="SimSun" w:eastAsia="SimSun" w:cs="SimSun"/>
          <w:sz w:val="30"/>
          <w:szCs w:val="30"/>
          <w:spacing w:val="-3"/>
        </w:rPr>
        <w:t>年第一梯队（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T1</w:t>
      </w:r>
      <w:r>
        <w:rPr>
          <w:rFonts w:ascii="SimSun" w:hAnsi="SimSun" w:eastAsia="SimSun" w:cs="SimSun"/>
          <w:sz w:val="30"/>
          <w:szCs w:val="30"/>
          <w:spacing w:val="-3"/>
        </w:rPr>
        <w:t>）的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 </w:t>
      </w:r>
      <w:r>
        <w:rPr>
          <w:rFonts w:ascii="SimSun" w:hAnsi="SimSun" w:eastAsia="SimSun" w:cs="SimSun"/>
          <w:sz w:val="30"/>
          <w:szCs w:val="30"/>
          <w:spacing w:val="-3"/>
        </w:rPr>
        <w:t>家企</w:t>
      </w:r>
      <w:r>
        <w:rPr>
          <w:rFonts w:ascii="SimSun" w:hAnsi="SimSun" w:eastAsia="SimSun" w:cs="SimSun"/>
          <w:sz w:val="30"/>
          <w:szCs w:val="30"/>
          <w:spacing w:val="-4"/>
        </w:rPr>
        <w:t>业近五年年均</w:t>
      </w:r>
      <w:r>
        <w:rPr>
          <w:rFonts w:ascii="SimSun" w:hAnsi="SimSun" w:eastAsia="SimSun" w:cs="SimSun"/>
          <w:sz w:val="30"/>
          <w:szCs w:val="30"/>
          <w:spacing w:val="-3"/>
        </w:rPr>
        <w:t>营收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93.4 </w:t>
      </w:r>
      <w:r>
        <w:rPr>
          <w:rFonts w:ascii="SimSun" w:hAnsi="SimSun" w:eastAsia="SimSun" w:cs="SimSun"/>
          <w:sz w:val="30"/>
          <w:szCs w:val="30"/>
          <w:spacing w:val="-3"/>
        </w:rPr>
        <w:t>亿元，年均复合增长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5%</w:t>
      </w:r>
      <w:r>
        <w:rPr>
          <w:rFonts w:ascii="SimSun" w:hAnsi="SimSun" w:eastAsia="SimSun" w:cs="SimSun"/>
          <w:sz w:val="30"/>
          <w:szCs w:val="30"/>
          <w:spacing w:val="-3"/>
        </w:rPr>
        <w:t>。软通动力、科大讯飞、宝信</w:t>
      </w:r>
      <w:r>
        <w:rPr>
          <w:rFonts w:ascii="SimSun" w:hAnsi="SimSun" w:eastAsia="SimSun" w:cs="SimSun"/>
          <w:sz w:val="30"/>
          <w:szCs w:val="30"/>
          <w:spacing w:val="-3"/>
        </w:rPr>
        <w:t>软件、太极股份等实现年均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15%</w:t>
      </w:r>
      <w:r>
        <w:rPr>
          <w:rFonts w:ascii="SimSun" w:hAnsi="SimSun" w:eastAsia="SimSun" w:cs="SimSun"/>
          <w:sz w:val="30"/>
          <w:szCs w:val="30"/>
          <w:spacing w:val="-3"/>
        </w:rPr>
        <w:t>以上增长，</w:t>
      </w:r>
      <w:r>
        <w:rPr>
          <w:rFonts w:ascii="SimSun" w:hAnsi="SimSun" w:eastAsia="SimSun" w:cs="SimSun"/>
          <w:sz w:val="30"/>
          <w:szCs w:val="30"/>
          <w:spacing w:val="-4"/>
        </w:rPr>
        <w:t>中科软、东华软件、</w:t>
      </w:r>
      <w:r>
        <w:rPr>
          <w:rFonts w:ascii="SimSun" w:hAnsi="SimSun" w:eastAsia="SimSun" w:cs="SimSun"/>
          <w:sz w:val="30"/>
          <w:szCs w:val="30"/>
          <w:spacing w:val="-4"/>
        </w:rPr>
        <w:t>电科数字、神州信息、东软集团等保持平均水平以上增长。千方</w:t>
      </w:r>
      <w:r>
        <w:rPr>
          <w:rFonts w:ascii="SimSun" w:hAnsi="SimSun" w:eastAsia="SimSun" w:cs="SimSun"/>
          <w:sz w:val="30"/>
          <w:szCs w:val="30"/>
        </w:rPr>
        <w:t>科技、常山北明、用友网络、国网信通等增长较弱，航天信息、</w:t>
      </w:r>
      <w:r>
        <w:rPr>
          <w:rFonts w:ascii="SimSun" w:hAnsi="SimSun" w:eastAsia="SimSun" w:cs="SimSun"/>
          <w:sz w:val="30"/>
          <w:szCs w:val="30"/>
        </w:rPr>
        <w:t>三六零、天融信、网宿科技、华胜天成等增长乏力、收入下滑。</w:t>
      </w:r>
    </w:p>
    <w:p>
      <w:pPr>
        <w:spacing w:line="331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firstLine="376"/>
        <w:spacing w:before="109" w:line="4786" w:lineRule="exact"/>
        <w:rPr/>
      </w:pPr>
      <w:r>
        <w:rPr>
          <w:position w:val="-95"/>
        </w:rPr>
        <w:pict>
          <v:group id="_x0000_s4" style="mso-position-vertical-relative:line;mso-position-horizontal-relative:char;width:379.1pt;height:239.3pt;" filled="false" stroked="false" coordsize="7582,4786" coordorigin="0,0">
            <v:shape id="_x0000_s6" style="position:absolute;left:9;top:9;width:7562;height:4767;" filled="false" stroked="false" type="#_x0000_t75">
              <v:imagedata o:title="" r:id="rId9"/>
            </v:shape>
            <v:shape id="_x0000_s8" style="position:absolute;left:-20;top:-20;width:7622;height:48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576" w:type="dxa"/>
                      <w:tblInd w:w="22" w:type="dxa"/>
                      <w:tblLayout w:type="fixed"/>
                      <w:tblBorders>
                        <w:left w:val="single" w:color="FFFFFF" w:sz="2" w:space="0"/>
                        <w:bottom w:val="single" w:color="FFFFFF" w:sz="2" w:space="0"/>
                        <w:right w:val="single" w:color="FFFFFF" w:sz="2" w:space="0"/>
                        <w:top w:val="single" w:color="FFFFFF" w:sz="2" w:space="0"/>
                      </w:tblBorders>
                    </w:tblPr>
                    <w:tblGrid>
                      <w:gridCol w:w="7576"/>
                    </w:tblGrid>
                    <w:tr>
                      <w:trPr>
                        <w:trHeight w:val="4775" w:hRule="atLeast"/>
                      </w:trPr>
                      <w:tc>
                        <w:tcPr>
                          <w:tcW w:w="757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255"/>
        <w:spacing w:before="220" w:line="217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数据来源：上市企业数据（东方财富网、巨潮资讯等）、项目组绘制</w:t>
      </w:r>
    </w:p>
    <w:p>
      <w:pPr>
        <w:ind w:left="1140"/>
        <w:spacing w:before="242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2018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年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T1-top20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企业五年增长分异情况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26" w:firstLine="604"/>
        <w:spacing w:before="98" w:line="33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如图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</w:t>
      </w:r>
      <w:r>
        <w:rPr>
          <w:rFonts w:ascii="SimSun" w:hAnsi="SimSun" w:eastAsia="SimSun" w:cs="SimSun"/>
          <w:sz w:val="30"/>
          <w:szCs w:val="30"/>
          <w:spacing w:val="-3"/>
        </w:rPr>
        <w:t>，第二梯队（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T2</w:t>
      </w:r>
      <w:r>
        <w:rPr>
          <w:rFonts w:ascii="SimSun" w:hAnsi="SimSun" w:eastAsia="SimSun" w:cs="SimSun"/>
          <w:sz w:val="30"/>
          <w:szCs w:val="30"/>
          <w:spacing w:val="-3"/>
        </w:rPr>
        <w:t>）企业增长分异突出，奇安信、南天</w:t>
      </w:r>
      <w:r>
        <w:rPr>
          <w:rFonts w:ascii="SimSun" w:hAnsi="SimSun" w:eastAsia="SimSun" w:cs="SimSun"/>
          <w:sz w:val="30"/>
          <w:szCs w:val="30"/>
          <w:spacing w:val="-3"/>
        </w:rPr>
        <w:t>信息异军突起，五年复合增长率超过</w:t>
      </w:r>
      <w:r>
        <w:rPr>
          <w:rFonts w:ascii="SimSun" w:hAnsi="SimSun" w:eastAsia="SimSun" w:cs="SimSun"/>
          <w:sz w:val="30"/>
          <w:szCs w:val="3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30%</w:t>
      </w:r>
      <w:r>
        <w:rPr>
          <w:rFonts w:ascii="SimSun" w:hAnsi="SimSun" w:eastAsia="SimSun" w:cs="SimSun"/>
          <w:sz w:val="30"/>
          <w:szCs w:val="30"/>
          <w:spacing w:val="-3"/>
        </w:rPr>
        <w:t>，中国软件、深信服、</w:t>
      </w:r>
      <w:r>
        <w:rPr>
          <w:rFonts w:ascii="SimSun" w:hAnsi="SimSun" w:eastAsia="SimSun" w:cs="SimSun"/>
          <w:sz w:val="30"/>
          <w:szCs w:val="30"/>
          <w:spacing w:val="-15"/>
        </w:rPr>
        <w:t>广联达、奇安信、博彦科技、宇信科技等保持年均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20%</w:t>
      </w:r>
      <w:r>
        <w:rPr>
          <w:rFonts w:ascii="SimSun" w:hAnsi="SimSun" w:eastAsia="SimSun" w:cs="SimSun"/>
          <w:sz w:val="30"/>
          <w:szCs w:val="30"/>
          <w:spacing w:val="-15"/>
        </w:rPr>
        <w:t>左右增速，</w:t>
      </w:r>
      <w:r>
        <w:rPr>
          <w:rFonts w:ascii="SimSun" w:hAnsi="SimSun" w:eastAsia="SimSun" w:cs="SimSun"/>
          <w:sz w:val="30"/>
          <w:szCs w:val="30"/>
          <w:spacing w:val="-6"/>
        </w:rPr>
        <w:t>启明星辰、朗新科技、天源迪科、四维图新等增速超</w:t>
      </w:r>
      <w:r>
        <w:rPr>
          <w:rFonts w:ascii="SimSun" w:hAnsi="SimSun" w:eastAsia="SimSun" w:cs="SimSun"/>
          <w:sz w:val="30"/>
          <w:szCs w:val="30"/>
          <w:spacing w:val="-7"/>
        </w:rPr>
        <w:t>过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10%</w:t>
      </w:r>
      <w:r>
        <w:rPr>
          <w:rFonts w:ascii="SimSun" w:hAnsi="SimSun" w:eastAsia="SimSun" w:cs="SimSun"/>
          <w:sz w:val="30"/>
          <w:szCs w:val="30"/>
          <w:spacing w:val="-7"/>
        </w:rPr>
        <w:t>，二</w:t>
      </w:r>
      <w:r>
        <w:rPr>
          <w:rFonts w:ascii="SimSun" w:hAnsi="SimSun" w:eastAsia="SimSun" w:cs="SimSun"/>
          <w:sz w:val="30"/>
          <w:szCs w:val="30"/>
          <w:spacing w:val="-4"/>
        </w:rPr>
        <w:t>三四五、新智认知、云鼎科技、易华录、高新兴、银江技术等营</w:t>
      </w:r>
      <w:r>
        <w:rPr>
          <w:rFonts w:ascii="SimSun" w:hAnsi="SimSun" w:eastAsia="SimSun" w:cs="SimSun"/>
          <w:sz w:val="30"/>
          <w:szCs w:val="30"/>
          <w:spacing w:val="-8"/>
        </w:rPr>
        <w:t>收下滑明显。</w:t>
      </w:r>
    </w:p>
    <w:p>
      <w:pPr>
        <w:ind w:left="26" w:right="2" w:firstLine="599"/>
        <w:spacing w:before="296" w:line="33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第三梯队（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T3</w:t>
      </w:r>
      <w:r>
        <w:rPr>
          <w:rFonts w:ascii="SimSun" w:hAnsi="SimSun" w:eastAsia="SimSun" w:cs="SimSun"/>
          <w:sz w:val="30"/>
          <w:szCs w:val="30"/>
          <w:spacing w:val="-2"/>
        </w:rPr>
        <w:t>）企业中，中科创达、卫宁健康、先进数通、</w:t>
      </w:r>
      <w:r>
        <w:rPr>
          <w:rFonts w:ascii="SimSun" w:hAnsi="SimSun" w:eastAsia="SimSun" w:cs="SimSun"/>
          <w:sz w:val="30"/>
          <w:szCs w:val="30"/>
          <w:spacing w:val="-4"/>
        </w:rPr>
        <w:t>同花顺、绿盟科技、城地香江、京北方、新点软件、金山办公等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9 </w:t>
      </w:r>
      <w:r>
        <w:rPr>
          <w:rFonts w:ascii="SimSun" w:hAnsi="SimSun" w:eastAsia="SimSun" w:cs="SimSun"/>
          <w:sz w:val="30"/>
          <w:szCs w:val="30"/>
          <w:spacing w:val="-2"/>
        </w:rPr>
        <w:t>家企业增长显著，五年复合增长率接近或超过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20%</w:t>
      </w:r>
      <w:r>
        <w:rPr>
          <w:rFonts w:ascii="SimSun" w:hAnsi="SimSun" w:eastAsia="SimSun" w:cs="SimSun"/>
          <w:sz w:val="30"/>
          <w:szCs w:val="30"/>
          <w:spacing w:val="-2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 </w:t>
      </w:r>
      <w:r>
        <w:rPr>
          <w:rFonts w:ascii="SimSun" w:hAnsi="SimSun" w:eastAsia="SimSun" w:cs="SimSun"/>
          <w:sz w:val="30"/>
          <w:szCs w:val="30"/>
          <w:spacing w:val="-2"/>
        </w:rPr>
        <w:t>年排</w:t>
      </w:r>
      <w:r>
        <w:rPr>
          <w:rFonts w:ascii="SimSun" w:hAnsi="SimSun" w:eastAsia="SimSun" w:cs="SimSun"/>
          <w:sz w:val="30"/>
          <w:szCs w:val="30"/>
          <w:spacing w:val="-1"/>
        </w:rPr>
        <w:t>名进入第二梯队。第四梯队（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T4</w:t>
      </w:r>
      <w:r>
        <w:rPr>
          <w:rFonts w:ascii="SimSun" w:hAnsi="SimSun" w:eastAsia="SimSun" w:cs="SimSun"/>
          <w:sz w:val="30"/>
          <w:szCs w:val="30"/>
          <w:spacing w:val="-1"/>
        </w:rPr>
        <w:t>）企业中，法</w:t>
      </w:r>
      <w:r>
        <w:rPr>
          <w:rFonts w:ascii="SimSun" w:hAnsi="SimSun" w:eastAsia="SimSun" w:cs="SimSun"/>
          <w:sz w:val="30"/>
          <w:szCs w:val="30"/>
          <w:spacing w:val="-2"/>
        </w:rPr>
        <w:t>本信息增长迅速，</w:t>
      </w:r>
      <w:r>
        <w:rPr>
          <w:rFonts w:ascii="SimSun" w:hAnsi="SimSun" w:eastAsia="SimSun" w:cs="SimSun"/>
          <w:sz w:val="30"/>
          <w:szCs w:val="30"/>
          <w:spacing w:val="-1"/>
        </w:rPr>
        <w:t>营业收入从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2018 </w:t>
      </w:r>
      <w:r>
        <w:rPr>
          <w:rFonts w:ascii="SimSun" w:hAnsi="SimSun" w:eastAsia="SimSun" w:cs="SimSun"/>
          <w:sz w:val="30"/>
          <w:szCs w:val="30"/>
          <w:spacing w:val="-1"/>
        </w:rPr>
        <w:t>年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7.8 </w:t>
      </w:r>
      <w:r>
        <w:rPr>
          <w:rFonts w:ascii="SimSun" w:hAnsi="SimSun" w:eastAsia="SimSun" w:cs="SimSun"/>
          <w:sz w:val="30"/>
          <w:szCs w:val="30"/>
          <w:spacing w:val="-1"/>
        </w:rPr>
        <w:t>亿元增长至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2022 </w:t>
      </w:r>
      <w:r>
        <w:rPr>
          <w:rFonts w:ascii="SimSun" w:hAnsi="SimSun" w:eastAsia="SimSun" w:cs="SimSun"/>
          <w:sz w:val="30"/>
          <w:szCs w:val="30"/>
          <w:spacing w:val="-1"/>
        </w:rPr>
        <w:t>年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35.9 </w:t>
      </w:r>
      <w:r>
        <w:rPr>
          <w:rFonts w:ascii="SimSun" w:hAnsi="SimSun" w:eastAsia="SimSun" w:cs="SimSun"/>
          <w:sz w:val="30"/>
          <w:szCs w:val="30"/>
          <w:spacing w:val="-2"/>
        </w:rPr>
        <w:t>亿元。</w:t>
      </w:r>
    </w:p>
    <w:p>
      <w:pPr>
        <w:spacing w:line="336" w:lineRule="auto"/>
        <w:sectPr>
          <w:pgSz w:w="11907" w:h="16839"/>
          <w:pgMar w:top="1431" w:right="169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firstLine="393"/>
        <w:spacing w:before="183" w:line="4649" w:lineRule="exact"/>
        <w:rPr/>
      </w:pPr>
      <w:r>
        <w:rPr>
          <w:position w:val="-92"/>
        </w:rPr>
        <w:pict>
          <v:group id="_x0000_s10" style="mso-position-vertical-relative:line;mso-position-horizontal-relative:char;width:378pt;height:232.45pt;" filled="false" stroked="false" coordsize="7560,4648" coordorigin="0,0">
            <v:shape id="_x0000_s12" style="position:absolute;left:9;top:9;width:7540;height:4630;" filled="false" stroked="false" type="#_x0000_t75">
              <v:imagedata o:title="" r:id="rId10"/>
            </v:shape>
            <v:shape id="_x0000_s14" style="position:absolute;left:-20;top:-20;width:7600;height:46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554" w:type="dxa"/>
                      <w:tblInd w:w="22" w:type="dxa"/>
                      <w:tblLayout w:type="fixed"/>
                      <w:tblBorders>
                        <w:left w:val="single" w:color="FFFFFF" w:sz="2" w:space="0"/>
                        <w:bottom w:val="single" w:color="FFFFFF" w:sz="2" w:space="0"/>
                        <w:right w:val="single" w:color="FFFFFF" w:sz="2" w:space="0"/>
                        <w:top w:val="single" w:color="FFFFFF" w:sz="2" w:space="0"/>
                      </w:tblBorders>
                    </w:tblPr>
                    <w:tblGrid>
                      <w:gridCol w:w="7554"/>
                    </w:tblGrid>
                    <w:tr>
                      <w:trPr>
                        <w:trHeight w:val="4638" w:hRule="atLeast"/>
                      </w:trPr>
                      <w:tc>
                        <w:tcPr>
                          <w:tcW w:w="7554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right="8"/>
        <w:spacing w:before="297" w:line="218" w:lineRule="auto"/>
        <w:jc w:val="right"/>
        <w:rPr/>
      </w:pPr>
      <w:r>
        <w:rPr>
          <w:spacing w:val="-4"/>
        </w:rPr>
        <w:t>数据来源：上市企业数据（东方财富网、巨潮资讯等）、项目组绘制</w:t>
      </w:r>
    </w:p>
    <w:p>
      <w:pPr>
        <w:ind w:left="1140"/>
        <w:spacing w:before="261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2018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年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T2-top50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企业五年增长分异情况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211607</wp:posOffset>
            </wp:positionH>
            <wp:positionV relativeFrom="paragraph">
              <wp:posOffset>57369</wp:posOffset>
            </wp:positionV>
            <wp:extent cx="740663" cy="100583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0663" cy="1005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40"/>
        <w:spacing w:before="92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廖文凯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【18801625457】</w:t>
      </w:r>
    </w:p>
    <w:p>
      <w:pPr>
        <w:ind w:left="2174" w:right="323" w:firstLine="258"/>
        <w:spacing w:before="119" w:line="23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硕士，主要从事信息化规划咨询与产业经济研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459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211607</wp:posOffset>
            </wp:positionH>
            <wp:positionV relativeFrom="paragraph">
              <wp:posOffset>235006</wp:posOffset>
            </wp:positionV>
            <wp:extent cx="737616" cy="1053083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7616" cy="1053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49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左芳芳</w:t>
      </w:r>
    </w:p>
    <w:p>
      <w:pPr>
        <w:ind w:left="2153" w:right="311" w:firstLine="279"/>
        <w:spacing w:before="112" w:line="226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硕士，中级统计师，长期从事行业洞察与研究</w:t>
      </w:r>
      <w:r>
        <w:rPr>
          <w:rFonts w:ascii="KaiTi" w:hAnsi="KaiTi" w:eastAsia="KaiTi" w:cs="KaiTi"/>
          <w:sz w:val="28"/>
          <w:szCs w:val="28"/>
          <w:spacing w:val="-1"/>
        </w:rPr>
        <w:t>工作，近期聚焦产业数字化、数字政府等研究领</w:t>
      </w:r>
      <w:r>
        <w:rPr>
          <w:rFonts w:ascii="KaiTi" w:hAnsi="KaiTi" w:eastAsia="KaiTi" w:cs="KaiTi"/>
          <w:sz w:val="28"/>
          <w:szCs w:val="28"/>
          <w:spacing w:val="-12"/>
        </w:rPr>
        <w:t>域。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12.jpeg"/><Relationship Id="rId11" Type="http://schemas.openxmlformats.org/officeDocument/2006/relationships/image" Target="media/image11.jpe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2023-09-20T14:09:08Z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2025-11-04T15:54:10</vt:filetime>
  </property>
</Properties>
</file>