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5224B">
      <w:pPr>
        <w:pStyle w:val="2"/>
        <w:spacing w:line="240" w:lineRule="auto"/>
        <w:jc w:val="center"/>
        <w:rPr>
          <w:rFonts w:ascii="方正小标宋简体" w:hAnsi="等线" w:eastAsia="方正小标宋简体" w:cs="Times New Roman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等线" w:eastAsia="方正小标宋简体" w:cs="Times New Roman"/>
          <w:b w:val="0"/>
          <w:bCs w:val="0"/>
          <w:color w:val="000000"/>
          <w:kern w:val="0"/>
          <w:sz w:val="44"/>
          <w:szCs w:val="44"/>
        </w:rPr>
        <w:t>人工智能医疗应用成效及发展趋势分析</w:t>
      </w:r>
    </w:p>
    <w:p w14:paraId="151F904C">
      <w:pPr>
        <w:widowControl/>
        <w:ind w:firstLine="640" w:firstLineChars="200"/>
        <w:jc w:val="left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24"/>
          <w:u w:val="none"/>
          <w:lang w:val="en-US" w:eastAsia="zh-CN" w:bidi="ar-SA"/>
          <w14:ligatures w14:val="standardContextual"/>
        </w:rPr>
        <w:t>国家卫生健康委等三部委联合发布《卫生健康行业人工智能应用场景参考指引》，涵盖医学影像智能辅助诊断、智能导诊、智能病历辅助生成、智能中医临床辅助诊疗等多个方面，推动行业应用创新。北京、上海、广东等地也积极出台专项计划，助力产业发展。AI技术逐步渗透医疗场景各个环节，在提升诊疗效率、优化资源配置、降低服务成本等方面展现价值，加速重构医疗健康服务新范式。</w:t>
      </w:r>
    </w:p>
    <w:p w14:paraId="61B3E15E"/>
    <w:p w14:paraId="41020FC9">
      <w:pPr>
        <w:pStyle w:val="3"/>
        <w:spacing w:before="0" w:after="0" w:line="413" w:lineRule="auto"/>
        <w:ind w:firstLine="643" w:firstLineChars="200"/>
        <w:rPr>
          <w:rFonts w:ascii="Arial" w:hAnsi="Arial" w:eastAsia="黑体" w:cstheme="minorBidi"/>
          <w:bCs w:val="0"/>
          <w:szCs w:val="24"/>
        </w:rPr>
      </w:pPr>
      <w:r>
        <w:rPr>
          <w:rFonts w:hint="eastAsia" w:ascii="Arial" w:hAnsi="Arial" w:eastAsia="黑体" w:cstheme="minorBidi"/>
          <w:bCs w:val="0"/>
          <w:szCs w:val="24"/>
        </w:rPr>
        <w:t>一、传统医疗场景痛点难点分析</w:t>
      </w:r>
    </w:p>
    <w:p w14:paraId="21312E91">
      <w:pPr>
        <w:pStyle w:val="7"/>
        <w:spacing w:after="0"/>
        <w:ind w:left="28" w:right="28" w:firstLine="640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</w:pP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  <w:lang w:eastAsia="zh-CN"/>
        </w:rPr>
        <w:t>（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  <w:lang w:val="en-US" w:eastAsia="zh-CN"/>
        </w:rPr>
        <w:t>一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  <w:lang w:eastAsia="zh-CN"/>
        </w:rPr>
        <w:t>）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</w:rPr>
        <w:t>诊疗效率与质量受限。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一是患者就医流程繁琐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:lang w:eastAsia="zh-CN"/>
          <w14:ligatures w14:val="standardContextual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“三长一短”现象突出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:lang w:eastAsia="zh-CN"/>
          <w14:ligatures w14:val="standardContextual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  <w:t>挂号、候诊、缴费等候时间长，《全国患者就医体验调研报告》显示，患者在传统就医过程中，仅排队挂号平均耗时就达30分钟，在大型三甲医院时间甚至更长。而诊疗时间短，使得医患沟通不足，严重影响就医体验与诊疗效果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二是在诊疗过程中，医生过度依赖个人经验，导致诊断准确性参差不齐。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  <w:t>年轻医生经验匮乏，在面对复杂病症时，易出现误诊、漏诊，导致诊断结果不稳定，影响治疗效果。《临床误诊误治》指出因医生经验不足、缺乏对疾病的认识而造成的误诊占25%。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三是治疗与康复方案存在个性化不足的缺陷。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24"/>
          <w14:ligatures w14:val="standardContextual"/>
        </w:rPr>
        <w:t>治疗方案的制定往往基于医生的个人经验和通用指南，未充分考量患者个体差异，如传统糖尿病治疗方案通常仅依据血糖检测结果制定用药剂量，忽略患者胰岛素敏感性、运动频率及饮食结构等个性化因素。</w:t>
      </w:r>
    </w:p>
    <w:p w14:paraId="10E1638E">
      <w:pPr>
        <w:pStyle w:val="7"/>
        <w:spacing w:after="0"/>
        <w:ind w:left="30" w:right="30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</w:pP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</w:rPr>
        <w:t>（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  <w:lang w:val="en-US" w:eastAsia="zh-CN"/>
        </w:rPr>
        <w:t>二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</w:rPr>
        <w:t>）疾病预防与健康管理滞后。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一是“重治轻防、重医轻护”倾向长期存在，疾病预防能力不足。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  <w:t>一方面，医疗机构与疾控机构职责割裂、医防协同机制薄弱，如基层医疗机构承担慢性病筛查等公共卫生职能，但缺乏激励和考核机制，导致预防工作流于形式；另一方面，居民健康素养不足，主动预防意识薄弱，如2024年全国居民传染病防治素养（29.26%）仅为安全急救素养（61.29%）的一半，慢性病患者常因缺乏健康知识延误干预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二是健康管理体系不完善，难以提供连续、个性化的健康管理服务。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  <w:t>如个人健康信息分散在不同系统（医疗、公卫、体检等），无法整合汇聚成连续视图，无法支持跨时间、跨机构的完整健康状态追踪，导致对居民健康的动态监测能力较弱；又如，居民健康体检往往是一次性交易，体检报告出具即服务结束，缺乏对持续健康状况的追踪。《全生命周期健康管理蓝皮书2024》调研数据显示，44%的受访者有健康问题，焦虑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  <w:t>、高血压、肥胖居于前三。</w:t>
      </w:r>
    </w:p>
    <w:p w14:paraId="00A6304E">
      <w:pPr>
        <w:pStyle w:val="5"/>
        <w:spacing w:before="0" w:beforeAutospacing="0" w:after="0" w:afterAutospacing="0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24"/>
          <w14:ligatures w14:val="standardContextual"/>
        </w:rPr>
      </w:pPr>
      <w:r>
        <w:rPr>
          <w:rFonts w:ascii="楷体_GB2312" w:hAnsi="黑体" w:eastAsia="楷体_GB2312" w:cstheme="minorBidi"/>
          <w:b w:val="0"/>
          <w:bCs w:val="0"/>
          <w:kern w:val="2"/>
          <w:sz w:val="32"/>
          <w:szCs w:val="32"/>
        </w:rPr>
        <w:t>（</w:t>
      </w:r>
      <w:r>
        <w:rPr>
          <w:rFonts w:hint="eastAsia" w:ascii="楷体_GB2312" w:hAnsi="黑体" w:eastAsia="楷体_GB2312" w:cstheme="minorBidi"/>
          <w:b w:val="0"/>
          <w:bCs w:val="0"/>
          <w:kern w:val="2"/>
          <w:sz w:val="32"/>
          <w:szCs w:val="32"/>
          <w:lang w:val="en-US" w:eastAsia="zh-CN"/>
        </w:rPr>
        <w:t>三</w:t>
      </w:r>
      <w:r>
        <w:rPr>
          <w:rFonts w:ascii="楷体_GB2312" w:hAnsi="黑体" w:eastAsia="楷体_GB2312" w:cstheme="minorBidi"/>
          <w:b w:val="0"/>
          <w:bCs w:val="0"/>
          <w:kern w:val="2"/>
          <w:sz w:val="32"/>
          <w:szCs w:val="32"/>
        </w:rPr>
        <w:t>）资源分布不均与数字化基础能力薄弱。</w:t>
      </w:r>
      <w:r>
        <w:rPr>
          <w:rFonts w:ascii="仿宋_GB2312" w:hAnsi="仿宋_GB2312" w:eastAsia="仿宋_GB2312" w:cs="仿宋_GB2312"/>
          <w:b/>
          <w:bCs/>
          <w:color w:val="000000"/>
          <w:kern w:val="2"/>
          <w:sz w:val="32"/>
          <w14:ligatures w14:val="standardContextual"/>
        </w:rPr>
        <w:t>一是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lang w:val="en-US" w:eastAsia="zh-CN"/>
          <w14:ligatures w14:val="standardContextual"/>
        </w:rPr>
        <w:t>医疗</w:t>
      </w:r>
      <w:r>
        <w:rPr>
          <w:rFonts w:ascii="仿宋_GB2312" w:hAnsi="仿宋_GB2312" w:eastAsia="仿宋_GB2312" w:cs="仿宋_GB2312"/>
          <w:b/>
          <w:bCs/>
          <w:color w:val="000000"/>
          <w:kern w:val="2"/>
          <w:sz w:val="32"/>
          <w:szCs w:val="24"/>
          <w14:ligatures w14:val="standardContextual"/>
        </w:rPr>
        <w:t>资源分布不均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lang w:val="en-US" w:eastAsia="zh-CN"/>
          <w14:ligatures w14:val="standardContextual"/>
        </w:rPr>
        <w:t>导致供给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14:ligatures w14:val="standardContextual"/>
        </w:rPr>
        <w:t>结构性失衡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lang w:eastAsia="zh-CN"/>
          <w14:ligatures w14:val="standardContextual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医疗资源尤其是优质医生、先进设备、科研平台、财政投入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lang w:eastAsia="zh-CN"/>
          <w14:ligatures w14:val="standardContextual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过度向城市三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lang w:val="en-US" w:eastAsia="zh-CN"/>
          <w14:ligatures w14:val="standardContextual"/>
        </w:rPr>
        <w:t>甲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医院倾斜，导致基层医疗机构（社区卫生服务中心/站、乡镇卫生院、村卫生室）在“硬件”和“软件”上均处于明显劣势。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lang w:val="en-US" w:eastAsia="zh-CN"/>
          <w14:ligatures w14:val="standardContextual"/>
        </w:rPr>
        <w:t>2023年，我国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基层医疗机构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lang w:val="en-US" w:eastAsia="zh-CN"/>
          <w14:ligatures w14:val="standardContextual"/>
        </w:rPr>
        <w:t>数量占全国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医疗卫生机构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lang w:val="en-US" w:eastAsia="zh-CN"/>
          <w14:ligatures w14:val="standardContextual"/>
        </w:rPr>
        <w:t>的94%，但仅提供了51.8%的诊疗量。</w:t>
      </w:r>
      <w:r>
        <w:rPr>
          <w:rFonts w:ascii="仿宋_GB2312" w:hAnsi="仿宋_GB2312" w:eastAsia="仿宋_GB2312" w:cs="仿宋_GB2312"/>
          <w:color w:val="000000"/>
          <w:kern w:val="2"/>
          <w:sz w:val="32"/>
          <w14:ligatures w14:val="standardContextual"/>
        </w:rPr>
        <w:t>二是医院的数字化基础能力薄弱，大部分医院仍处于医院管理信息化HIS阶段。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14:ligatures w14:val="standardContextual"/>
        </w:rPr>
        <w:t>2023年三级公立医院电子病历系统处于初级医疗决策支持(4级及以上)占比为87.99%，其中实现全流程医疗数据闭环管理，高级医疗决策支持(6级)的医院仅占比2.36%。</w:t>
      </w:r>
    </w:p>
    <w:p w14:paraId="68956E59">
      <w:pPr>
        <w:pStyle w:val="3"/>
        <w:spacing w:before="0" w:after="0" w:line="413" w:lineRule="auto"/>
        <w:ind w:firstLine="643" w:firstLineChars="200"/>
        <w:rPr>
          <w:rFonts w:ascii="Arial" w:hAnsi="Arial" w:eastAsia="黑体" w:cstheme="minorBidi"/>
          <w:bCs w:val="0"/>
          <w:szCs w:val="24"/>
        </w:rPr>
      </w:pPr>
      <w:r>
        <w:rPr>
          <w:rFonts w:hint="eastAsia" w:ascii="Arial" w:hAnsi="Arial" w:eastAsia="黑体" w:cstheme="minorBidi"/>
          <w:bCs w:val="0"/>
          <w:szCs w:val="24"/>
        </w:rPr>
        <w:t>二、人工智能在医疗场景中的应用成效与现存差距分析</w:t>
      </w:r>
    </w:p>
    <w:p w14:paraId="509A350D">
      <w:pPr>
        <w:pStyle w:val="7"/>
        <w:widowControl/>
        <w:spacing w:after="0"/>
        <w:ind w:left="28" w:right="28" w:firstLine="640" w:firstLineChars="200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楷体_GB2312" w:hAnsi="黑体" w:eastAsia="楷体_GB2312"/>
          <w:sz w:val="32"/>
          <w:szCs w:val="32"/>
        </w:rPr>
        <w:t>（</w:t>
      </w:r>
      <w:r>
        <w:rPr>
          <w:rFonts w:hint="eastAsia" w:ascii="楷体_GB2312" w:hAnsi="黑体" w:eastAsia="楷体_GB2312"/>
          <w:sz w:val="32"/>
          <w:szCs w:val="32"/>
          <w:lang w:val="en-US" w:eastAsia="zh-CN"/>
        </w:rPr>
        <w:t>一</w:t>
      </w:r>
      <w:r>
        <w:rPr>
          <w:rFonts w:hint="eastAsia" w:ascii="楷体_GB2312" w:hAnsi="黑体" w:eastAsia="楷体_GB2312"/>
          <w:sz w:val="32"/>
          <w:szCs w:val="32"/>
        </w:rPr>
        <w:t>）人工智能赋能医疗实现流程革新与精准诊疗突破，复杂病症诊断及个性化方案落地仍需人工判别。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一是优化医疗的资源调度与分配。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AI可以通过智能分流与预约系统，根据各医院、各科室的实时就诊需求，为患者提供精准的预约服务，合理分流患者。如深圳市人民医院的AI预问诊系统月均服务超2万人次，病历小结准确率达87%。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二是提升诊断稳定性与准确性，但复杂场景下仍需人工经验辅助。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AI凭借强大的数据分析与图像识别能力，减少年轻医生因经验不足导致的误诊、漏诊情况，使诊断结果更趋稳定。如华为与上海瑞金医院联合研发的RuiPath 3.0模型，能够在病理切片分析中实现98.7%的准确率。不过，在实际运用中，面对极为罕见、复杂的病症，AI的诊断能力有限，难以像资深医生那样进行全面、灵活的综合判断。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三是推动治疗方案个性化定制，但细节落地仍需医生优化完善。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如左医GPT、圆心科技源泉患者管理大模型等16个大模型，可通过精准刻画患者特征，量身定制个性化治疗方案，助力构建“千人千面”的患者管理策略。但在细节落地层面，AI生成的个性化方案在部分细节上还无法完美贴合患者个体需求，仍需医生人工优化调整。</w:t>
      </w:r>
    </w:p>
    <w:p w14:paraId="65CCA546">
      <w:pPr>
        <w:pStyle w:val="7"/>
        <w:widowControl/>
        <w:spacing w:after="0"/>
        <w:ind w:left="30" w:right="30"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楷体_GB2312" w:hAnsi="黑体" w:eastAsia="楷体_GB2312"/>
          <w:sz w:val="32"/>
          <w:szCs w:val="32"/>
        </w:rPr>
        <w:t>（</w:t>
      </w:r>
      <w:r>
        <w:rPr>
          <w:rFonts w:hint="eastAsia" w:ascii="楷体_GB2312" w:hAnsi="黑体" w:eastAsia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黑体" w:eastAsia="楷体_GB2312"/>
          <w:sz w:val="32"/>
          <w:szCs w:val="32"/>
        </w:rPr>
        <w:t>）人工智能加强疾病预防与健康监测能力，但规模化应用需解决泛化性低和成本高昂问题。</w:t>
      </w:r>
      <w:r>
        <w:rPr>
          <w:rFonts w:hint="eastAsia" w:ascii="仿宋_GB2312" w:hAnsi="仿宋_GB2312" w:eastAsia="仿宋_GB2312" w:cs="仿宋_GB2312"/>
          <w:b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AI支撑疾病预警成效显著，但在临床落地仍存在泛化能力不足等问题。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当前，人工智能通过多源数据融合建模提升了疾病早期筛查精准度，例如，针对内蒙古高发的布鲁氏菌病，卫数数据医疗大模型WeEnable通过分析血常规数据，实现91%以上早筛准确率，临床试验中可比临床提前3-6个月发现潜在患者。但当前仍存在模型实际应用于不同地区、不同设备采集的数据时，准确性下降的问题，从而限制AI模型在更广泛范围内的应用。</w:t>
      </w:r>
      <w:r>
        <w:rPr>
          <w:rFonts w:hint="eastAsia" w:ascii="仿宋_GB2312" w:hAnsi="仿宋_GB2312" w:eastAsia="仿宋_GB2312" w:cs="仿宋_GB2312"/>
          <w:b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AI结合可穿戴设备实现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健康管理持续且个性化服务供给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，但设备成本高制约智能健康监测设备普及推广。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如AliveCor公司开发的KardiaMobile设备能够远程监测心律，即时检测并通知临床团队关于房颤、心动过缓或心动过速的情况。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当前智能健康监测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设备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远超消费级电子产品、且多数设备尚未被纳入医保或商保范围，限制健康监测设备大规模普及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彼得森医疗中心调研显示，农村地区地区居民使用远程生理监测的比例比城市低23%，远程治疗监测使用率差距更达31%。</w:t>
      </w:r>
    </w:p>
    <w:p w14:paraId="2764CFA7">
      <w:pPr>
        <w:pStyle w:val="7"/>
        <w:widowControl/>
        <w:spacing w:after="0"/>
        <w:ind w:left="30" w:right="30" w:firstLine="640" w:firstLineChars="200"/>
        <w:rPr>
          <w:rFonts w:hint="eastAsia" w:ascii="楷体_GB2312" w:hAnsi="黑体" w:eastAsia="楷体_GB2312"/>
          <w:bCs/>
          <w:sz w:val="32"/>
          <w:szCs w:val="32"/>
        </w:rPr>
      </w:pPr>
      <w:r>
        <w:rPr>
          <w:rFonts w:hint="eastAsia" w:ascii="楷体_GB2312" w:hAnsi="黑体" w:eastAsia="楷体_GB2312"/>
          <w:sz w:val="32"/>
          <w:szCs w:val="32"/>
        </w:rPr>
        <w:t>（</w:t>
      </w:r>
      <w:r>
        <w:rPr>
          <w:rFonts w:hint="eastAsia" w:ascii="楷体_GB2312" w:hAnsi="黑体" w:eastAsia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黑体" w:eastAsia="楷体_GB2312"/>
          <w:sz w:val="32"/>
          <w:szCs w:val="32"/>
        </w:rPr>
        <w:t>）人工智能助力医疗资源均衡与医院智能化升级，AI落地应用仍存在局限性。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一是优质医疗资源向基层机构下沉。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AI驱动的远程辅助诊疗平台帮助基层医生更准确地筛查和诊断疾病，弥补医生专业能力不足的问题。如深睿医疗的多模态智慧影像大模型能力平台，通过远程指导和统一质控推动优质医疗资源下沉到基层。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二是电子病历等系统实现医疗数据互通，但加剧隐私泄露等风险。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AI自动获取电子病历、影像等数据，并将其准确地录入到医疗系统中，整合分析患者完整的病史，为临床决策提供支持。如华山医院AI数据集成HIS、EMR、影像系统等数据，病灶标记时间从30分钟缩短至10秒，肿瘤治疗有效率提升15%。但医疗AI在推理过程包含患者的医疗记录、身份等隐私数据，在人机交互时，模型可能不当输出或推断用户隐私，阻碍AI在医疗领域的深度应用。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三是医院朝向智能化方向发展，但发展水平参差不齐。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三甲医院积极探索AI应用，DeepSeek已在30多家知名三甲医院上线，但基层医疗机构的AI应用率低，如某基层医疗机构引入大模型进行辅助诊断，但由于算力不足和数据质量，辅助诊断准确率仅为50%，远低于预期水平，最终暂停该项目。</w:t>
      </w:r>
    </w:p>
    <w:p w14:paraId="5A5CD51F">
      <w:pPr>
        <w:pStyle w:val="3"/>
        <w:spacing w:before="0" w:after="0" w:line="413" w:lineRule="auto"/>
        <w:ind w:firstLine="643" w:firstLineChars="200"/>
        <w:rPr>
          <w:rFonts w:ascii="Arial" w:hAnsi="Arial" w:eastAsia="黑体" w:cstheme="minorBidi"/>
          <w:bCs w:val="0"/>
          <w:szCs w:val="24"/>
        </w:rPr>
      </w:pPr>
      <w:r>
        <w:rPr>
          <w:rFonts w:hint="eastAsia" w:ascii="Arial" w:hAnsi="Arial" w:eastAsia="黑体" w:cstheme="minorBidi"/>
          <w:bCs w:val="0"/>
          <w:szCs w:val="24"/>
        </w:rPr>
        <w:t>三、人工智能+医疗发展趋势预判</w:t>
      </w:r>
    </w:p>
    <w:p w14:paraId="6ABDD36D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一是医疗AI从流程优化工具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lang w:val="en-US" w:eastAsia="zh-CN"/>
          <w14:ligatures w14:val="standardContextual"/>
        </w:rPr>
        <w:t>逐渐向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为核心诊疗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lang w:val="en-US" w:eastAsia="zh-CN"/>
          <w14:ligatures w14:val="standardContextual"/>
        </w:rPr>
        <w:t>环节渗透应用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AI+医疗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  <w14:ligatures w14:val="standardContextual"/>
        </w:rPr>
        <w:t>初期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应用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  <w14:ligatures w14:val="standardContextual"/>
        </w:rPr>
        <w:t>场景主要聚焦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医院管理、医保服务等行政支持</w:t>
      </w:r>
      <w:r>
        <w:rPr>
          <w:rFonts w:hint="eastAsia" w:ascii="仿宋_GB2312" w:hAnsi="仿宋_GB2312" w:eastAsia="仿宋_GB2312" w:cs="仿宋_GB2312"/>
          <w:color w:val="000000"/>
          <w:sz w:val="32"/>
          <w:lang w:eastAsia="zh-CN"/>
          <w14:ligatures w14:val="standardContextual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  <w14:ligatures w14:val="standardContextual"/>
        </w:rPr>
        <w:t>当前AI应用加速向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动态健康干预、实时手术辅助等临床主战场深度拓展。如乐普AI可穿戴备实现多生理指标实时监测与健康风险预警。约翰斯·霍普金斯手术机器系统通过外科医生手术视频训练人，自主完成缝合等精细操作。这些技术及产品升级将逐步推动全流程智能化医疗服务体系形成。</w:t>
      </w:r>
    </w:p>
    <w:p w14:paraId="5A3142B3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二是医疗AI从单一模态处理向多模态融合方向加速发展。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通过整合文本、影像、基因组学及生理信号等异构数据，构建全链路诊断决策支持体系。临床数据类型多样且基因测序、可穿戴设备等新型数据源爆发式增长，要求模型具备跨模态数据处理与关联分析能力，为个性化的精准医疗提供技术支撑。当前多模态大模型持续突破技术边界，为医疗应用奠定基础。如谷歌推出的MedGemma医疗大模型，即是基于多模态大模型Gemma3架构构建，通过无缝结合医学图像和文本数据的分析，提升医疗诊断与治疗的效率。</w:t>
      </w:r>
    </w:p>
    <w:p w14:paraId="60923D84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三是生态协同加强推动医疗AI普惠化发展。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医疗AI涉及到多个领域的知识和技术，单一企业往往难以具备所有方面的专业能力和资源，药企、AI公司、云公司等各方需加强合作，打破数据孤岛、整合技术资源、优化产业链协作机制，共同打造更具竞争力的医疗AI产品和解决方案，以此推动医疗资源的均衡配置与效率提升。如蚂蚁集团与华为阿里联合推出医疗大模型一体机，医疗机构可一键实现私有化部署，推进医疗AI的快速落地。</w:t>
      </w:r>
    </w:p>
    <w:p w14:paraId="6194FFFA">
      <w:pPr>
        <w:pStyle w:val="3"/>
        <w:spacing w:before="0" w:after="0" w:line="413" w:lineRule="auto"/>
        <w:ind w:firstLine="643" w:firstLineChars="200"/>
        <w:rPr>
          <w:rFonts w:ascii="仿宋_GB2312" w:hAnsi="仿宋_GB2312" w:eastAsia="仿宋_GB2312" w:cs="仿宋_GB2312"/>
          <w:color w:val="000000"/>
          <w:szCs w:val="24"/>
          <w14:ligatures w14:val="standardContextual"/>
        </w:rPr>
      </w:pPr>
      <w:r>
        <w:rPr>
          <w:rFonts w:hint="eastAsia" w:ascii="Arial" w:hAnsi="Arial" w:eastAsia="黑体" w:cstheme="minorBidi"/>
          <w:bCs w:val="0"/>
          <w:szCs w:val="24"/>
        </w:rPr>
        <w:t>四、人工智能+医疗应用发展的启示及建议</w:t>
      </w:r>
    </w:p>
    <w:p w14:paraId="475B18E7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一是强化技术攻坚与数据底座建设。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鼓励产学研联合研发医疗垂直领域大模型，开发适配县域医疗场景的轻量化医疗AI模型，降低硬件依赖。建设国家级医疗数据可信流通平台，制定统一数据标准与互操作规范，促进高质量、多模态医疗数据的合规汇聚与共享，支撑医疗大模型训练需求。</w:t>
      </w:r>
    </w:p>
    <w:p w14:paraId="0868B55F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二是推进高价值场景落地。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设立"AI+医疗"专项补贴，支持诊疗关键环节的AI应用试点，重点突破基层常见病辅助诊疗、公共卫生服务等场景。推动开发低算力需求、易用性强的轻量化AI工具，配套完善医疗AI伦理审查机制与监管框架，构建全生命周期合规保障体系。</w:t>
      </w:r>
    </w:p>
    <w:p w14:paraId="35B702A0">
      <w:pPr>
        <w:pStyle w:val="7"/>
        <w:widowControl/>
        <w:spacing w:after="0"/>
        <w:ind w:left="30" w:right="30" w:firstLine="643" w:firstLineChars="200"/>
        <w:rPr>
          <w:rFonts w:ascii="仿宋_GB2312" w:hAnsi="仿宋_GB2312" w:eastAsia="仿宋_GB2312" w:cs="仿宋_GB2312"/>
          <w:color w:val="000000"/>
          <w:sz w:val="32"/>
          <w14:ligatures w14:val="standardContextual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14:ligatures w14:val="standardContextual"/>
        </w:rPr>
        <w:t>三是构建产业协同创新生态。</w:t>
      </w:r>
      <w:r>
        <w:rPr>
          <w:rFonts w:hint="eastAsia" w:ascii="仿宋_GB2312" w:hAnsi="仿宋_GB2312" w:eastAsia="仿宋_GB2312" w:cs="仿宋_GB2312"/>
          <w:color w:val="000000"/>
          <w:sz w:val="32"/>
          <w14:ligatures w14:val="standardContextual"/>
        </w:rPr>
        <w:t>打造常态化医疗AI产业对接平台，通过年度峰会、专题展会等形式促进产学研用深度融合。支持组建行业创新联合体，开展联合技术攻关与市场开拓。完善金融支持、咨询服务等产业配套服务体系。</w:t>
      </w:r>
    </w:p>
    <w:p w14:paraId="043FF8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86672"/>
    <w:rsid w:val="00084896"/>
    <w:rsid w:val="00497BF8"/>
    <w:rsid w:val="004A4347"/>
    <w:rsid w:val="005F71C8"/>
    <w:rsid w:val="007758B8"/>
    <w:rsid w:val="00803CCF"/>
    <w:rsid w:val="00A23C86"/>
    <w:rsid w:val="00A453B2"/>
    <w:rsid w:val="00BC486D"/>
    <w:rsid w:val="00C571A5"/>
    <w:rsid w:val="00C92CE3"/>
    <w:rsid w:val="00D5289E"/>
    <w:rsid w:val="02512F75"/>
    <w:rsid w:val="025D24E0"/>
    <w:rsid w:val="05B821F2"/>
    <w:rsid w:val="07275E52"/>
    <w:rsid w:val="16600685"/>
    <w:rsid w:val="19D77E98"/>
    <w:rsid w:val="1A6C1067"/>
    <w:rsid w:val="25823388"/>
    <w:rsid w:val="29C43650"/>
    <w:rsid w:val="2A286672"/>
    <w:rsid w:val="2B7A1CA6"/>
    <w:rsid w:val="2E547B9D"/>
    <w:rsid w:val="2FCB323B"/>
    <w:rsid w:val="2FE6661E"/>
    <w:rsid w:val="307A4793"/>
    <w:rsid w:val="32747BB2"/>
    <w:rsid w:val="34121ADA"/>
    <w:rsid w:val="350731EE"/>
    <w:rsid w:val="378E3AC0"/>
    <w:rsid w:val="3AE42DED"/>
    <w:rsid w:val="3C574EAC"/>
    <w:rsid w:val="41355345"/>
    <w:rsid w:val="44962692"/>
    <w:rsid w:val="507C63A8"/>
    <w:rsid w:val="56334913"/>
    <w:rsid w:val="590841DA"/>
    <w:rsid w:val="5D6B6997"/>
    <w:rsid w:val="6A563572"/>
    <w:rsid w:val="6A8711F5"/>
    <w:rsid w:val="6FD7038D"/>
    <w:rsid w:val="6FFC33BC"/>
    <w:rsid w:val="7B044CC5"/>
    <w:rsid w:val="7D9A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14"/>
    <w:qFormat/>
    <w:uiPriority w:val="0"/>
    <w:pPr>
      <w:jc w:val="left"/>
    </w:p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6"/>
    <w:next w:val="6"/>
    <w:link w:val="15"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annotation reference"/>
    <w:basedOn w:val="10"/>
    <w:qFormat/>
    <w:uiPriority w:val="0"/>
    <w:rPr>
      <w:sz w:val="21"/>
      <w:szCs w:val="21"/>
    </w:rPr>
  </w:style>
  <w:style w:type="paragraph" w:customStyle="1" w:styleId="13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4">
    <w:name w:val="批注文字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5">
    <w:name w:val="批注主题 字符"/>
    <w:basedOn w:val="14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3567</Words>
  <Characters>3729</Characters>
  <Lines>27</Lines>
  <Paragraphs>7</Paragraphs>
  <TotalTime>2</TotalTime>
  <ScaleCrop>false</ScaleCrop>
  <LinksUpToDate>false</LinksUpToDate>
  <CharactersWithSpaces>3730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2025-06-06T02:57:00Z</dcterms:created>
  <dc:creator>Comb</dc:creator>
  <cp:lastModifiedBy>Comb</cp:lastModifiedBy>
  <dcterms:modified xsi:type="dcterms:W3CDTF">2025-06-06T09:18:57Z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C288DBBC8B2E4436BA0E9953D1F8AE1E_13</vt:lpwstr>
  </property>
  <property fmtid="{D5CDD505-2E9C-101B-9397-08002B2CF9AE}" pid="4" name="KSOTemplateDocerSaveRecord">
    <vt:lpwstr>eyJoZGlkIjoiODMxYjA0ZDAyNWJkOTcyODMyODc5N2EyZTNlODI2NTAiLCJ1c2VySWQiOiIyMDYyNTg3MTEifQ==</vt:lpwstr>
  </property>
</Properties>
</file>