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288" w:lineRule="auto"/>
        <w:jc w:val="center"/>
        <w:outlineLvl w:val="0"/>
        <w:rPr>
          <w:rFonts w:ascii="Times New Roman" w:hAnsi="Times New Roman" w:eastAsia="宋体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 w:ascii="Times New Roman" w:hAnsi="Times New Roman" w:eastAsia="宋体"/>
          <w:b/>
          <w:bCs/>
          <w:sz w:val="28"/>
          <w:szCs w:val="28"/>
        </w:rPr>
        <w:t>人工智能</w:t>
      </w: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>领域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的投资逻辑</w:t>
      </w: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>分析</w:t>
      </w:r>
    </w:p>
    <w:p>
      <w:pPr>
        <w:spacing w:before="156" w:beforeLines="50" w:after="156" w:afterLines="50" w:line="288" w:lineRule="auto"/>
        <w:ind w:firstLine="560" w:firstLineChars="200"/>
        <w:jc w:val="left"/>
        <w:rPr>
          <w:rFonts w:hint="eastAsia"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4月30日，中共中央政治局会议上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首次提出</w:t>
      </w:r>
      <w:r>
        <w:rPr>
          <w:rFonts w:hint="eastAsia" w:ascii="Times New Roman" w:hAnsi="Times New Roman" w:eastAsia="宋体"/>
          <w:sz w:val="28"/>
          <w:szCs w:val="28"/>
        </w:rPr>
        <w:t>“要积极发展风险投资，壮大耐心资本”。耐心资本既能解决我国中长期资金供给不足的痛点，又能引导投资走向长期、形成良好的科技创新生态。国家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正在</w:t>
      </w:r>
      <w:r>
        <w:rPr>
          <w:rFonts w:hint="eastAsia" w:ascii="Times New Roman" w:hAnsi="Times New Roman" w:eastAsia="宋体"/>
          <w:sz w:val="28"/>
          <w:szCs w:val="28"/>
        </w:rPr>
        <w:t>营造政府领投、企业、机构跟投的氛围，打造“投早、投小、投硬科技”的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投资理念</w:t>
      </w:r>
      <w:r>
        <w:rPr>
          <w:rFonts w:hint="eastAsia" w:ascii="Times New Roman" w:hAnsi="Times New Roman" w:eastAsia="宋体"/>
          <w:sz w:val="28"/>
          <w:szCs w:val="28"/>
        </w:rPr>
        <w:t>。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人工智能作为推动新质生产力发展的重要引擎备受关注，专业投资机构纷纷预测人工智能或成为2024年最重要的投资主线，本文重点分析</w:t>
      </w:r>
      <w:r>
        <w:rPr>
          <w:rFonts w:hint="eastAsia" w:ascii="Times New Roman" w:hAnsi="Times New Roman" w:eastAsia="宋体"/>
          <w:sz w:val="28"/>
          <w:szCs w:val="28"/>
        </w:rPr>
        <w:t>政府、企业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和</w:t>
      </w:r>
      <w:r>
        <w:rPr>
          <w:rFonts w:hint="eastAsia" w:ascii="Times New Roman" w:hAnsi="Times New Roman" w:eastAsia="宋体"/>
          <w:sz w:val="28"/>
          <w:szCs w:val="28"/>
        </w:rPr>
        <w:t>机构在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人工智能</w:t>
      </w:r>
      <w:r>
        <w:rPr>
          <w:rFonts w:hint="eastAsia" w:ascii="Times New Roman" w:hAnsi="Times New Roman" w:eastAsia="宋体"/>
          <w:sz w:val="28"/>
          <w:szCs w:val="28"/>
        </w:rPr>
        <w:t>领域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的</w:t>
      </w:r>
      <w:r>
        <w:rPr>
          <w:rFonts w:hint="eastAsia" w:ascii="Times New Roman" w:hAnsi="Times New Roman" w:eastAsia="宋体"/>
          <w:sz w:val="28"/>
          <w:szCs w:val="28"/>
        </w:rPr>
        <w:t>投资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逻辑和策略</w:t>
      </w:r>
      <w:r>
        <w:rPr>
          <w:rFonts w:hint="eastAsia" w:ascii="Times New Roman" w:hAnsi="Times New Roman" w:eastAsia="宋体"/>
          <w:sz w:val="28"/>
          <w:szCs w:val="28"/>
        </w:rPr>
        <w:t>。</w:t>
      </w:r>
    </w:p>
    <w:p>
      <w:pPr>
        <w:pStyle w:val="15"/>
        <w:spacing w:before="156" w:beforeLines="50" w:after="156" w:afterLines="50" w:line="288" w:lineRule="auto"/>
        <w:ind w:left="420" w:firstLine="0" w:firstLineChars="0"/>
        <w:outlineLvl w:val="0"/>
        <w:rPr>
          <w:rFonts w:ascii="Times New Roman" w:hAnsi="Times New Roman" w:eastAsia="宋体" w:cs="宋体"/>
          <w:b/>
          <w:sz w:val="28"/>
          <w:szCs w:val="28"/>
        </w:rPr>
      </w:pPr>
      <w:r>
        <w:rPr>
          <w:rFonts w:hint="eastAsia" w:ascii="Times New Roman" w:hAnsi="Times New Roman" w:eastAsia="宋体" w:cs="宋体"/>
          <w:b/>
          <w:sz w:val="28"/>
          <w:szCs w:val="28"/>
        </w:rPr>
        <w:t>一、政府引导基金是压舱石，为促进地方</w:t>
      </w:r>
      <w:r>
        <w:rPr>
          <w:rFonts w:hint="eastAsia" w:ascii="Times New Roman" w:hAnsi="Times New Roman" w:eastAsia="宋体" w:cs="宋体"/>
          <w:b/>
          <w:sz w:val="28"/>
          <w:szCs w:val="28"/>
          <w:lang w:val="en-US" w:eastAsia="zh-CN"/>
        </w:rPr>
        <w:t>AI</w:t>
      </w:r>
      <w:r>
        <w:rPr>
          <w:rFonts w:hint="eastAsia" w:ascii="Times New Roman" w:hAnsi="Times New Roman" w:eastAsia="宋体" w:cs="宋体"/>
          <w:b/>
          <w:sz w:val="28"/>
          <w:szCs w:val="28"/>
        </w:rPr>
        <w:t>产业发展而投资</w:t>
      </w:r>
    </w:p>
    <w:p>
      <w:pPr>
        <w:widowControl/>
        <w:spacing w:before="0" w:beforeLines="-2147483648" w:after="100" w:afterLines="-2147483648" w:afterAutospacing="1"/>
        <w:ind w:firstLine="560" w:firstLineChars="200"/>
        <w:jc w:val="left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（一）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央地政策逐步完善，政府引导基金发展活跃。一是央地人工智能领域产业投资政策频出。</w:t>
      </w:r>
      <w:r>
        <w:rPr>
          <w:rFonts w:hint="eastAsia" w:ascii="宋体" w:hAnsi="宋体" w:eastAsia="宋体" w:cs="宋体"/>
          <w:sz w:val="28"/>
          <w:szCs w:val="28"/>
        </w:rPr>
        <w:t>中央层面，6月15日国务院办公厅发布《促进创业投资高质量发展的若干政策措施》，强调要发挥国家新兴产业创业投资引导基金、国家中小企业发展基金、国家科技成果转化引导基金等，通过“母基金+参股+直投”方式支持人工智能等战略性新兴产业和未来产业。地方层面，深圳、上海等地均出台推动人工智能发展的行动方案，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深圳市提出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u w:val="none"/>
          <w:shd w:val="clear" w:fill="auto"/>
          <w:lang w:val="en-US" w:eastAsia="zh-CN" w:bidi="ar"/>
        </w:rPr>
        <w:t>发挥政府投资引导基金作用，统筹整合基金资源，形成规模1000亿元的人工智能基金群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u w:val="none"/>
          <w:shd w:val="clear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二是人工智能领域政府引导基金发展活跃。</w:t>
      </w:r>
      <w:r>
        <w:rPr>
          <w:rFonts w:hint="eastAsia" w:ascii="宋体" w:hAnsi="宋体" w:eastAsia="宋体" w:cs="宋体"/>
          <w:sz w:val="28"/>
          <w:szCs w:val="28"/>
        </w:rPr>
        <w:t>国家层面，千亿级国家集成电路产业投资基金三期将AI芯片作为重点投资领域。地方层面，北京、上海、深圳、安徽等省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市</w:t>
      </w:r>
      <w:r>
        <w:rPr>
          <w:rFonts w:hint="eastAsia" w:ascii="宋体" w:hAnsi="宋体" w:eastAsia="宋体" w:cs="宋体"/>
          <w:sz w:val="28"/>
          <w:szCs w:val="28"/>
        </w:rPr>
        <w:t>成立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百亿级</w:t>
      </w:r>
      <w:r>
        <w:rPr>
          <w:rFonts w:hint="eastAsia" w:ascii="宋体" w:hAnsi="宋体" w:eastAsia="宋体" w:cs="宋体"/>
          <w:sz w:val="28"/>
          <w:szCs w:val="28"/>
        </w:rPr>
        <w:t>人工智能主题母基金，围绕人工智能直接股权投</w:t>
      </w:r>
      <w:r>
        <w:rPr>
          <w:rFonts w:hint="eastAsia" w:ascii="宋体" w:hAnsi="宋体" w:eastAsia="宋体" w:cs="宋体"/>
          <w:sz w:val="28"/>
          <w:szCs w:val="28"/>
          <w:highlight w:val="none"/>
        </w:rPr>
        <w:t>资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日益活跃</w:t>
      </w:r>
      <w:r>
        <w:rPr>
          <w:rFonts w:hint="eastAsia" w:ascii="宋体" w:hAnsi="宋体" w:eastAsia="宋体" w:cs="宋体"/>
          <w:sz w:val="28"/>
          <w:szCs w:val="28"/>
          <w:highlight w:val="none"/>
        </w:rPr>
        <w:t>，如</w:t>
      </w:r>
      <w:r>
        <w:rPr>
          <w:rFonts w:hint="eastAsia" w:ascii="宋体" w:hAnsi="宋体" w:eastAsia="宋体" w:cs="宋体"/>
          <w:sz w:val="28"/>
          <w:szCs w:val="28"/>
          <w:highlight w:val="none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2024年</w:t>
      </w:r>
      <w:r>
        <w:rPr>
          <w:rFonts w:hint="eastAsia" w:ascii="宋体" w:hAnsi="宋体" w:eastAsia="宋体" w:cs="宋体"/>
          <w:sz w:val="28"/>
          <w:szCs w:val="28"/>
          <w:highlight w:val="none"/>
        </w:rPr>
        <w:t>1月成</w:t>
      </w:r>
      <w:r>
        <w:rPr>
          <w:rFonts w:hint="eastAsia" w:ascii="宋体" w:hAnsi="宋体" w:eastAsia="宋体" w:cs="宋体"/>
          <w:sz w:val="28"/>
          <w:szCs w:val="28"/>
        </w:rPr>
        <w:t>立的北京市人工智能产业投资基金陆续投资智谱AI、面壁智能等核心产业链企业，平均每月一笔、单笔融资金额达数亿元。</w:t>
      </w:r>
    </w:p>
    <w:p>
      <w:pPr>
        <w:spacing w:before="156" w:beforeLines="50" w:after="156" w:afterLines="50"/>
        <w:ind w:firstLine="562" w:firstLineChars="200"/>
        <w:outlineLvl w:val="1"/>
        <w:rPr>
          <w:rFonts w:hint="default" w:ascii="Times New Roman" w:hAnsi="Times New Roman" w:eastAsia="宋体" w:cs="宋体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（二）通过政府出资打造资本组合，发展出合肥模式、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深圳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模式等成功经验。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是“以投代引”的合肥模式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打造本地战新产业集群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如</w:t>
      </w:r>
      <w:r>
        <w:rPr>
          <w:rFonts w:hint="eastAsia" w:ascii="宋体" w:hAnsi="宋体" w:eastAsia="宋体" w:cs="宋体"/>
          <w:sz w:val="28"/>
          <w:szCs w:val="28"/>
        </w:rPr>
        <w:t>合肥市政府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出资</w:t>
      </w:r>
      <w:r>
        <w:rPr>
          <w:rFonts w:hint="eastAsia" w:ascii="宋体" w:hAnsi="宋体" w:eastAsia="宋体" w:cs="宋体"/>
          <w:sz w:val="28"/>
          <w:szCs w:val="28"/>
        </w:rPr>
        <w:t>3/4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与</w:t>
      </w:r>
      <w:r>
        <w:rPr>
          <w:rFonts w:hint="eastAsia" w:ascii="宋体" w:hAnsi="宋体" w:eastAsia="宋体" w:cs="宋体"/>
          <w:sz w:val="28"/>
          <w:szCs w:val="28"/>
        </w:rPr>
        <w:t>兆易创新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出资1</w:t>
      </w:r>
      <w:r>
        <w:rPr>
          <w:rFonts w:hint="eastAsia" w:ascii="宋体" w:hAnsi="宋体" w:eastAsia="宋体" w:cs="宋体"/>
          <w:sz w:val="28"/>
          <w:szCs w:val="28"/>
        </w:rPr>
        <w:t>/4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共同创立新公司合肥长鑫，大批半导体企业受合肥长鑫吸引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入驻合肥，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使</w:t>
      </w:r>
      <w:r>
        <w:rPr>
          <w:rFonts w:hint="eastAsia" w:ascii="宋体" w:hAnsi="宋体" w:eastAsia="宋体" w:cs="宋体"/>
          <w:sz w:val="28"/>
          <w:szCs w:val="28"/>
        </w:rPr>
        <w:t>合肥成为国内少数拥有整个集成电路产业链的城市之一。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是“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园区+创投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”的深圳模式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形成创新生态圈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。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"/>
        </w:rPr>
        <w:t>以科技园区为依托，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深圳市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"/>
        </w:rPr>
        <w:t>通过</w:t>
      </w:r>
      <w:r>
        <w:rPr>
          <w:rFonts w:hint="eastAsia" w:ascii="宋体" w:hAnsi="宋体" w:eastAsia="宋体" w:cs="宋体"/>
          <w:sz w:val="28"/>
          <w:szCs w:val="28"/>
          <w:lang w:bidi="ar"/>
        </w:rPr>
        <w:t>减免租金、资金注入和技术参股等手段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"/>
        </w:rPr>
        <w:t>，</w:t>
      </w:r>
      <w:r>
        <w:rPr>
          <w:rFonts w:hint="eastAsia" w:ascii="宋体" w:hAnsi="宋体" w:eastAsia="宋体" w:cs="宋体"/>
          <w:sz w:val="28"/>
          <w:szCs w:val="28"/>
          <w:lang w:bidi="ar"/>
        </w:rPr>
        <w:t>支持科技园区与新兴产业的繁荣发展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"/>
        </w:rPr>
        <w:t>。目前，深圳国资共建设运营71个科技园区，并利用“优先跟投权”机制(通常不超过5%)，在创业团队孵化、成长、成熟过程中，实施股权投资支持产业发展。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三是央企深度参与“央地协同”模式，扩大资本效应。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中国移动贯彻落实中央企业现代产业链链长工作要求，按照“中国移动+国调基金(诚通系)+当地国资”模式深化央地协同，如中移和创投资与北京、上海分别合作设立两支产业链发展基金。</w:t>
      </w:r>
    </w:p>
    <w:p>
      <w:pPr>
        <w:numPr>
          <w:ilvl w:val="0"/>
          <w:numId w:val="1"/>
        </w:numPr>
        <w:spacing w:before="156" w:beforeLines="50" w:after="156" w:afterLines="50" w:line="288" w:lineRule="auto"/>
        <w:ind w:firstLine="562" w:firstLineChars="200"/>
        <w:outlineLvl w:val="0"/>
        <w:rPr>
          <w:rFonts w:ascii="Times New Roman" w:hAnsi="Times New Roman" w:eastAsia="宋体" w:cs="宋体"/>
          <w:b/>
          <w:sz w:val="28"/>
          <w:szCs w:val="28"/>
        </w:rPr>
      </w:pPr>
      <w:r>
        <w:rPr>
          <w:rFonts w:hint="eastAsia" w:ascii="Times New Roman" w:hAnsi="Times New Roman" w:eastAsia="宋体" w:cs="宋体"/>
          <w:b/>
          <w:sz w:val="28"/>
          <w:szCs w:val="28"/>
        </w:rPr>
        <w:t>企业风险投资是主力军，为服务</w:t>
      </w:r>
      <w:r>
        <w:rPr>
          <w:rFonts w:hint="eastAsia" w:ascii="Times New Roman" w:hAnsi="Times New Roman" w:eastAsia="宋体" w:cs="宋体"/>
          <w:b/>
          <w:sz w:val="28"/>
          <w:szCs w:val="28"/>
          <w:lang w:val="en-US" w:eastAsia="zh-CN"/>
        </w:rPr>
        <w:t>AI</w:t>
      </w:r>
      <w:r>
        <w:rPr>
          <w:rFonts w:hint="eastAsia" w:ascii="Times New Roman" w:hAnsi="Times New Roman" w:eastAsia="宋体" w:cs="宋体"/>
          <w:b/>
          <w:sz w:val="28"/>
          <w:szCs w:val="28"/>
        </w:rPr>
        <w:t>业务战略发展而投资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88" w:lineRule="auto"/>
        <w:ind w:firstLine="560" w:firstLineChars="200"/>
        <w:textAlignment w:val="auto"/>
        <w:outlineLvl w:val="9"/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 w:cs="宋体"/>
          <w:b w:val="0"/>
          <w:bCs/>
          <w:sz w:val="28"/>
          <w:szCs w:val="28"/>
          <w:lang w:val="en-US" w:eastAsia="zh-CN"/>
        </w:rPr>
        <w:t>2023年企业风险投资占据生成式AI融资金额的90%，较2022年提升50PP。</w:t>
      </w:r>
      <w:r>
        <w:rPr>
          <w:rFonts w:hint="eastAsia" w:ascii="Times New Roman" w:hAnsi="Times New Roman" w:eastAsia="宋体"/>
          <w:sz w:val="28"/>
          <w:szCs w:val="28"/>
          <w:highlight w:val="none"/>
          <w:lang w:val="en-US" w:eastAsia="zh-CN"/>
        </w:rPr>
        <w:t>企业的投资策略旨在实现战略协同效应和构建业务壁垒，以巩固产业领导地位。同时，企业也着眼于长远，密切关注新兴技术发展和跨领域创新，以捕捉变革带来的市场机遇。</w:t>
      </w:r>
    </w:p>
    <w:p>
      <w:pPr>
        <w:numPr>
          <w:ilvl w:val="0"/>
          <w:numId w:val="2"/>
        </w:numPr>
        <w:spacing w:before="156" w:beforeLines="50" w:after="156" w:afterLines="50" w:line="288" w:lineRule="auto"/>
        <w:ind w:firstLine="562" w:firstLineChars="200"/>
        <w:outlineLvl w:val="1"/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基础层：投资网络技术、能源资源等核心要素，实现算力基础设施高效和可持续的运营。一是提升技术能力。</w:t>
      </w:r>
      <w:r>
        <w:rPr>
          <w:rFonts w:hint="eastAsia" w:ascii="Times New Roman" w:hAnsi="Times New Roman" w:eastAsia="宋体"/>
          <w:sz w:val="28"/>
          <w:szCs w:val="28"/>
        </w:rPr>
        <w:t>2019年，英伟达以约70亿美元完成对以色列网络技术公司Mellanox的收购，通过收购英伟达优化数据中心的计算、网络和存储堆栈，从而提供更高性能的数据中心解决方案。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二是降低运行成本。</w:t>
      </w:r>
      <w:r>
        <w:rPr>
          <w:rFonts w:hint="eastAsia" w:ascii="Times New Roman" w:hAnsi="Times New Roman" w:eastAsia="宋体"/>
          <w:sz w:val="28"/>
          <w:szCs w:val="28"/>
        </w:rPr>
        <w:t>为满足数据中心日益增长的用电需求，美国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科技巨头</w:t>
      </w:r>
      <w:r>
        <w:rPr>
          <w:rFonts w:hint="eastAsia" w:ascii="Times New Roman" w:hAnsi="Times New Roman" w:eastAsia="宋体"/>
          <w:sz w:val="28"/>
          <w:szCs w:val="28"/>
        </w:rPr>
        <w:t>在全球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投资</w:t>
      </w:r>
      <w:r>
        <w:rPr>
          <w:rFonts w:hint="eastAsia" w:ascii="Times New Roman" w:hAnsi="Times New Roman" w:eastAsia="宋体"/>
          <w:sz w:val="28"/>
          <w:szCs w:val="28"/>
        </w:rPr>
        <w:t>清洁能源</w:t>
      </w:r>
      <w:r>
        <w:rPr>
          <w:rFonts w:hint="eastAsia" w:ascii="Times New Roman" w:hAnsi="Times New Roman" w:eastAsia="宋体"/>
          <w:sz w:val="28"/>
          <w:szCs w:val="28"/>
          <w:lang w:eastAsia="zh-CN"/>
        </w:rPr>
        <w:t>，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通过</w:t>
      </w:r>
      <w:r>
        <w:rPr>
          <w:rFonts w:hint="eastAsia" w:ascii="Times New Roman" w:hAnsi="Times New Roman" w:eastAsia="宋体"/>
          <w:sz w:val="28"/>
          <w:szCs w:val="28"/>
        </w:rPr>
        <w:t>合作协议保证清洁能源供应和提前锁定能源价格。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如：7月1日，谷歌以数千万美元入股台湾的太阳能开发商和运营商永鑫能源公司，</w:t>
      </w:r>
      <w:r>
        <w:rPr>
          <w:rFonts w:hint="eastAsia" w:ascii="Times New Roman" w:hAnsi="Times New Roman" w:eastAsia="宋体"/>
          <w:sz w:val="28"/>
          <w:szCs w:val="28"/>
        </w:rPr>
        <w:t>预计通过购电协议采购太阳能，满足公司数据中心园区、云服务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等</w:t>
      </w:r>
      <w:r>
        <w:rPr>
          <w:rFonts w:hint="eastAsia" w:ascii="Times New Roman" w:hAnsi="Times New Roman" w:eastAsia="宋体"/>
          <w:sz w:val="28"/>
          <w:szCs w:val="28"/>
        </w:rPr>
        <w:t>电力需求。</w:t>
      </w:r>
    </w:p>
    <w:p>
      <w:pPr>
        <w:numPr>
          <w:ilvl w:val="0"/>
          <w:numId w:val="2"/>
        </w:numPr>
        <w:spacing w:before="156" w:beforeLines="50" w:after="156" w:afterLines="50" w:line="288" w:lineRule="auto"/>
        <w:ind w:firstLine="562" w:firstLineChars="200"/>
        <w:outlineLvl w:val="1"/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平台层：补齐平台工具链和底层模型资源，扩大市场覆盖。一是通过投资快速完善基础模型调用及开发的工具链。</w:t>
      </w:r>
      <w:r>
        <w:rPr>
          <w:rFonts w:hint="eastAsia" w:ascii="Times New Roman" w:hAnsi="Times New Roman" w:eastAsia="宋体"/>
          <w:b w:val="0"/>
          <w:bCs w:val="0"/>
          <w:sz w:val="28"/>
          <w:szCs w:val="28"/>
        </w:rPr>
        <w:t>如OpenAI</w:t>
      </w:r>
      <w:r>
        <w:rPr>
          <w:rFonts w:hint="eastAsia" w:ascii="Times New Roman" w:hAnsi="Times New Roman" w:eastAsia="宋体"/>
          <w:sz w:val="28"/>
          <w:szCs w:val="28"/>
        </w:rPr>
        <w:t>以5亿美元收购实时分析数据库公司Rockset，有效增强OpenAI数据检索与分析等能力。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二是布局全球AI市场。</w:t>
      </w:r>
      <w:r>
        <w:rPr>
          <w:rFonts w:hint="eastAsia" w:ascii="Times New Roman" w:hAnsi="Times New Roman" w:eastAsia="宋体"/>
          <w:sz w:val="28"/>
          <w:szCs w:val="28"/>
        </w:rPr>
        <w:t>未来基础模型或涉及国家AI主权问题，美国巨头企业频繁投资国外优秀基础模型公司，如</w:t>
      </w:r>
      <w:r>
        <w:rPr>
          <w:rFonts w:hint="eastAsia" w:ascii="Times New Roman" w:hAnsi="Times New Roman" w:eastAsia="宋体"/>
          <w:sz w:val="28"/>
          <w:szCs w:val="28"/>
          <w:lang w:eastAsia="zh-CN"/>
        </w:rPr>
        <w:t>：</w:t>
      </w:r>
      <w:r>
        <w:rPr>
          <w:rFonts w:hint="eastAsia" w:ascii="Times New Roman" w:hAnsi="Times New Roman" w:eastAsia="宋体"/>
          <w:sz w:val="28"/>
          <w:szCs w:val="28"/>
        </w:rPr>
        <w:t>微软投资法国的Mistral AI和阿联酋-阿布扎比的G42，亚马逊投资法国的H，实现在全球市场的更广泛覆盖。</w:t>
      </w:r>
    </w:p>
    <w:p>
      <w:pPr>
        <w:numPr>
          <w:ilvl w:val="0"/>
          <w:numId w:val="2"/>
        </w:numPr>
        <w:spacing w:before="156" w:beforeLines="50" w:after="156" w:afterLines="50" w:line="288" w:lineRule="auto"/>
        <w:ind w:firstLine="562" w:firstLineChars="200"/>
        <w:outlineLvl w:val="1"/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应用层：关注潜力场景，加速AI技术应用商业化。一是医疗保健、生物技术和自动驾驶等垂直领域成国外企业投资热点。</w:t>
      </w:r>
      <w:r>
        <w:rPr>
          <w:rFonts w:hint="eastAsia" w:ascii="Times New Roman" w:hAnsi="Times New Roman" w:eastAsia="宋体"/>
          <w:b w:val="0"/>
          <w:bCs w:val="0"/>
          <w:sz w:val="28"/>
          <w:szCs w:val="28"/>
        </w:rPr>
        <w:t>如：</w:t>
      </w:r>
      <w:r>
        <w:rPr>
          <w:rFonts w:hint="eastAsia" w:ascii="Times New Roman" w:hAnsi="Times New Roman" w:eastAsia="宋体"/>
          <w:sz w:val="28"/>
          <w:szCs w:val="28"/>
        </w:rPr>
        <w:t>英伟达投资Genesis Therapeutics等8家优秀药物发现领域研发企业，微软股权投资通用汽车旗下子公司Cruise和英国Wayve两家自动驾驶公司。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二是机器人将与大模型形成能力闭环，成为国内外企业重点投资领域。</w:t>
      </w:r>
      <w:r>
        <w:rPr>
          <w:rFonts w:hint="eastAsia" w:ascii="Times New Roman" w:hAnsi="Times New Roman" w:eastAsia="宋体"/>
          <w:sz w:val="28"/>
          <w:szCs w:val="28"/>
        </w:rPr>
        <w:t>如：英伟达对工业机器人初创企业Machina Labs和物流机器人初创企业Serve Robotics进行投资；阿里系投资平台杭州灏月投资通用机器人公司深圳逐际动力，双方将共同打造机器人产品、开拓可商业化落地的应用场景。</w:t>
      </w:r>
    </w:p>
    <w:p>
      <w:pPr>
        <w:numPr>
          <w:ilvl w:val="0"/>
          <w:numId w:val="3"/>
        </w:numPr>
        <w:spacing w:before="156" w:beforeLines="50" w:after="156" w:afterLines="50" w:line="288" w:lineRule="auto"/>
        <w:ind w:firstLine="562" w:firstLineChars="200"/>
        <w:outlineLvl w:val="0"/>
        <w:rPr>
          <w:rFonts w:ascii="Times New Roman" w:hAnsi="Times New Roman" w:eastAsia="宋体" w:cs="宋体"/>
          <w:bCs/>
          <w:sz w:val="28"/>
          <w:szCs w:val="28"/>
        </w:rPr>
      </w:pPr>
      <w:r>
        <w:rPr>
          <w:rFonts w:hint="eastAsia" w:ascii="Times New Roman" w:hAnsi="Times New Roman" w:eastAsia="宋体" w:cs="宋体"/>
          <w:b/>
          <w:sz w:val="28"/>
          <w:szCs w:val="28"/>
        </w:rPr>
        <w:t>风险投资机构是风向标，为获得金融资本回报而投资</w:t>
      </w:r>
    </w:p>
    <w:p>
      <w:pPr>
        <w:numPr>
          <w:ilvl w:val="0"/>
          <w:numId w:val="4"/>
        </w:numPr>
        <w:spacing w:before="156" w:beforeLines="50" w:after="156" w:afterLines="50" w:line="288" w:lineRule="auto"/>
        <w:ind w:firstLine="562" w:firstLineChars="200"/>
        <w:jc w:val="left"/>
        <w:outlineLvl w:val="1"/>
        <w:rPr>
          <w:rFonts w:ascii="Times New Roman" w:hAnsi="Times New Roman" w:eastAsia="宋体" w:cs="宋体"/>
          <w:bCs/>
          <w:sz w:val="24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倾向早期介入、多次支持和全方位投后服务。一是早期介入。</w:t>
      </w:r>
      <w:r>
        <w:rPr>
          <w:rFonts w:hint="eastAsia" w:ascii="Times New Roman" w:hAnsi="Times New Roman" w:eastAsia="宋体"/>
          <w:sz w:val="28"/>
          <w:szCs w:val="28"/>
        </w:rPr>
        <w:t>由于生成式AI和产品驱动增长（PLG）有较好结合，人工智能时代的初创公司创业期盈利可能性显著提高，风险投资机构更倾向于人工智能领域的早期投资，67%的投资事件发生在B轮之前</w:t>
      </w:r>
      <w:r>
        <w:rPr>
          <w:rStyle w:val="14"/>
          <w:rFonts w:hint="eastAsia" w:ascii="Times New Roman" w:hAnsi="Times New Roman" w:eastAsia="宋体"/>
          <w:sz w:val="28"/>
          <w:szCs w:val="28"/>
        </w:rPr>
        <w:footnoteReference w:id="0"/>
      </w:r>
      <w:r>
        <w:rPr>
          <w:rFonts w:hint="eastAsia" w:ascii="Times New Roman" w:hAnsi="Times New Roman" w:eastAsia="宋体"/>
          <w:sz w:val="28"/>
          <w:szCs w:val="28"/>
        </w:rPr>
        <w:t>。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二是多次支持。</w:t>
      </w:r>
      <w:r>
        <w:rPr>
          <w:rFonts w:hint="eastAsia" w:ascii="Times New Roman" w:hAnsi="Times New Roman" w:eastAsia="宋体"/>
          <w:sz w:val="28"/>
          <w:szCs w:val="28"/>
        </w:rPr>
        <w:t>如</w:t>
      </w:r>
      <w:r>
        <w:rPr>
          <w:rFonts w:hint="eastAsia" w:ascii="Times New Roman" w:hAnsi="Times New Roman" w:eastAsia="宋体"/>
          <w:sz w:val="28"/>
          <w:szCs w:val="28"/>
          <w:lang w:eastAsia="zh-CN"/>
        </w:rPr>
        <w:t>：</w:t>
      </w:r>
      <w:r>
        <w:rPr>
          <w:rFonts w:hint="eastAsia" w:ascii="Times New Roman" w:hAnsi="Times New Roman" w:eastAsia="宋体"/>
          <w:sz w:val="28"/>
          <w:szCs w:val="28"/>
        </w:rPr>
        <w:t>a16z自2016年起累计参与27家人工智能企业39次投资，其中30%企业获得多次投资。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三是全方位投后服务。</w:t>
      </w:r>
      <w:r>
        <w:rPr>
          <w:rFonts w:hint="eastAsia" w:ascii="Times New Roman" w:hAnsi="Times New Roman" w:eastAsia="宋体"/>
          <w:sz w:val="28"/>
          <w:szCs w:val="28"/>
        </w:rPr>
        <w:t>美国知名孵化器YC为初创企业提供融资指导、商业模式构建、市场营销等方面的创业建议和指导，帮助被投企业快速成长并实现商业目标。</w:t>
      </w:r>
    </w:p>
    <w:p>
      <w:pPr>
        <w:numPr>
          <w:ilvl w:val="0"/>
          <w:numId w:val="4"/>
        </w:numPr>
        <w:spacing w:before="156" w:beforeLines="50" w:after="156" w:afterLines="50" w:line="288" w:lineRule="auto"/>
        <w:ind w:firstLine="562" w:firstLineChars="200"/>
        <w:outlineLvl w:val="1"/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看好Agent技术、多模态交互和垂直AI应用等领域的投资回报。Agent技术领域，如</w:t>
      </w:r>
      <w:r>
        <w:rPr>
          <w:rFonts w:hint="eastAsia" w:ascii="Times New Roman" w:hAnsi="Times New Roman" w:eastAsia="宋体"/>
          <w:sz w:val="28"/>
          <w:szCs w:val="28"/>
        </w:rPr>
        <w:t>YC S2023孵化项目主要是面向程序员的编程助手，W2024孵化项目中的AI Worker产品通过集成Agent技术，在医疗等领域展现出巨大潜力。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多模态</w:t>
      </w: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>交互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方面</w:t>
      </w:r>
      <w:r>
        <w:rPr>
          <w:rFonts w:hint="eastAsia" w:ascii="Times New Roman" w:hAnsi="Times New Roman" w:eastAsia="宋体"/>
          <w:sz w:val="28"/>
          <w:szCs w:val="28"/>
        </w:rPr>
        <w:t>，结合视觉、语音、文本等多种数据输入，能提供更人性化的人机交互体验，进一步激发消费应用市场的新增长点</w:t>
      </w:r>
      <w:r>
        <w:rPr>
          <w:rFonts w:hint="eastAsia" w:ascii="Times New Roman" w:hAnsi="Times New Roman" w:eastAsia="宋体"/>
          <w:sz w:val="28"/>
          <w:szCs w:val="28"/>
          <w:lang w:eastAsia="zh-CN"/>
        </w:rPr>
        <w:t>，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多家</w:t>
      </w:r>
      <w:r>
        <w:rPr>
          <w:rFonts w:hint="eastAsia" w:ascii="Times New Roman" w:hAnsi="Times New Roman" w:eastAsia="宋体"/>
          <w:sz w:val="28"/>
          <w:szCs w:val="28"/>
        </w:rPr>
        <w:t>风险投资机构普遍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看好多模态AI技术的发展</w:t>
      </w:r>
      <w:r>
        <w:rPr>
          <w:rStyle w:val="14"/>
          <w:rFonts w:hint="eastAsia" w:ascii="Times New Roman" w:hAnsi="Times New Roman" w:eastAsia="宋体"/>
          <w:sz w:val="28"/>
          <w:szCs w:val="28"/>
          <w:lang w:val="en-US" w:eastAsia="zh-CN"/>
        </w:rPr>
        <w:footnoteReference w:id="1"/>
      </w:r>
      <w:r>
        <w:rPr>
          <w:rFonts w:hint="eastAsia" w:ascii="Times New Roman" w:hAnsi="Times New Roman" w:eastAsia="宋体"/>
          <w:sz w:val="28"/>
          <w:szCs w:val="28"/>
        </w:rPr>
        <w:t>。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垂直AI方面</w:t>
      </w:r>
      <w:r>
        <w:rPr>
          <w:rFonts w:hint="eastAsia" w:ascii="Times New Roman" w:hAnsi="Times New Roman" w:eastAsia="宋体"/>
          <w:sz w:val="28"/>
          <w:szCs w:val="28"/>
        </w:rPr>
        <w:t>，BVP预测垂直AI市值有望超越传统垂直SaaS十倍以上，如汤森路透以6.5亿美元收购法律技术服务商Casetext，标志着垂直AI领域的并购活动正加速进行。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>
      <w:pPr>
        <w:pStyle w:val="5"/>
        <w:snapToGrid w:val="0"/>
        <w:rPr>
          <w:rFonts w:hint="default" w:eastAsiaTheme="minorEastAsia"/>
          <w:lang w:val="en-US" w:eastAsia="zh-CN"/>
        </w:rPr>
      </w:pPr>
      <w:r>
        <w:rPr>
          <w:rStyle w:val="14"/>
        </w:rPr>
        <w:footnoteRef/>
      </w:r>
      <w:r>
        <w:t xml:space="preserve"> </w:t>
      </w:r>
      <w:r>
        <w:rPr>
          <w:rFonts w:hint="eastAsia"/>
          <w:lang w:val="en-US" w:eastAsia="zh-CN"/>
        </w:rPr>
        <w:t>依据IT桔子人工智能投资事件统计</w:t>
      </w:r>
    </w:p>
  </w:footnote>
  <w:footnote w:id="1">
    <w:p>
      <w:pPr>
        <w:pStyle w:val="5"/>
        <w:snapToGrid w:val="0"/>
      </w:pPr>
      <w:r>
        <w:rPr>
          <w:rStyle w:val="14"/>
        </w:rPr>
        <w:footnoteRef/>
      </w:r>
      <w:r>
        <w:t xml:space="preserve"> </w:t>
      </w:r>
      <w:r>
        <w:rPr>
          <w:rFonts w:hint="eastAsia"/>
        </w:rPr>
        <w:t xml:space="preserve"> a16z《Big Ideas in Tech for 2024》、YC W2024、BVP《State of the Cloud 2024》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54371D"/>
    <w:multiLevelType w:val="singleLevel"/>
    <w:tmpl w:val="B154371D"/>
    <w:lvl w:ilvl="0" w:tentative="0">
      <w:start w:val="3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001F33E4"/>
    <w:multiLevelType w:val="singleLevel"/>
    <w:tmpl w:val="001F33E4"/>
    <w:lvl w:ilvl="0" w:tentative="0">
      <w:start w:val="1"/>
      <w:numFmt w:val="chineseCounting"/>
      <w:suff w:val="nothing"/>
      <w:lvlText w:val="（%1）"/>
      <w:lvlJc w:val="left"/>
      <w:rPr>
        <w:rFonts w:hint="eastAsia"/>
        <w:b/>
        <w:bCs/>
      </w:rPr>
    </w:lvl>
  </w:abstractNum>
  <w:abstractNum w:abstractNumId="2">
    <w:nsid w:val="2E44BC7B"/>
    <w:multiLevelType w:val="singleLevel"/>
    <w:tmpl w:val="2E44BC7B"/>
    <w:lvl w:ilvl="0" w:tentative="0">
      <w:start w:val="1"/>
      <w:numFmt w:val="chineseCounting"/>
      <w:suff w:val="nothing"/>
      <w:lvlText w:val="（%1）"/>
      <w:lvlJc w:val="left"/>
      <w:rPr>
        <w:rFonts w:hint="eastAsia"/>
        <w:b/>
        <w:bCs/>
      </w:rPr>
    </w:lvl>
  </w:abstractNum>
  <w:abstractNum w:abstractNumId="3">
    <w:nsid w:val="6E4D90E9"/>
    <w:multiLevelType w:val="singleLevel"/>
    <w:tmpl w:val="6E4D90E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4"/>
    <w:footnote w:id="5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xOTAwZmEyM2ZlMTEyYjg4OWM2ZDJmOGE0YzhlNmQifQ=="/>
    <w:docVar w:name="KSO_WPS_MARK_KEY" w:val="665af6ac-44de-444e-82e1-6fe2d454852f"/>
  </w:docVars>
  <w:rsids>
    <w:rsidRoot w:val="002F3564"/>
    <w:rsid w:val="00031E47"/>
    <w:rsid w:val="0016504B"/>
    <w:rsid w:val="001B1B8E"/>
    <w:rsid w:val="00261A26"/>
    <w:rsid w:val="002B421B"/>
    <w:rsid w:val="002C6036"/>
    <w:rsid w:val="002E2995"/>
    <w:rsid w:val="002E4BC1"/>
    <w:rsid w:val="002F3564"/>
    <w:rsid w:val="003E2FC5"/>
    <w:rsid w:val="004069A9"/>
    <w:rsid w:val="004609F4"/>
    <w:rsid w:val="00705B70"/>
    <w:rsid w:val="007773C0"/>
    <w:rsid w:val="0079686F"/>
    <w:rsid w:val="00797548"/>
    <w:rsid w:val="007A42D7"/>
    <w:rsid w:val="007B7826"/>
    <w:rsid w:val="007C1714"/>
    <w:rsid w:val="00866B74"/>
    <w:rsid w:val="00897ACA"/>
    <w:rsid w:val="008D12A6"/>
    <w:rsid w:val="008D602F"/>
    <w:rsid w:val="009B0CDD"/>
    <w:rsid w:val="009F5387"/>
    <w:rsid w:val="00A10E63"/>
    <w:rsid w:val="00A80678"/>
    <w:rsid w:val="00A9063A"/>
    <w:rsid w:val="00CC2561"/>
    <w:rsid w:val="00E241F8"/>
    <w:rsid w:val="00F27A0D"/>
    <w:rsid w:val="00F7516D"/>
    <w:rsid w:val="00FD757D"/>
    <w:rsid w:val="010477A1"/>
    <w:rsid w:val="014B7425"/>
    <w:rsid w:val="019E0AA8"/>
    <w:rsid w:val="01D7395E"/>
    <w:rsid w:val="023F2212"/>
    <w:rsid w:val="026B2025"/>
    <w:rsid w:val="027C2217"/>
    <w:rsid w:val="028D069F"/>
    <w:rsid w:val="02BE5CE5"/>
    <w:rsid w:val="02F63578"/>
    <w:rsid w:val="032A0D9E"/>
    <w:rsid w:val="03300487"/>
    <w:rsid w:val="03596E6C"/>
    <w:rsid w:val="0366069D"/>
    <w:rsid w:val="03710805"/>
    <w:rsid w:val="039338C3"/>
    <w:rsid w:val="04AE1B52"/>
    <w:rsid w:val="04E65035"/>
    <w:rsid w:val="04FA1988"/>
    <w:rsid w:val="05024B2A"/>
    <w:rsid w:val="05047743"/>
    <w:rsid w:val="050A3C5D"/>
    <w:rsid w:val="05945965"/>
    <w:rsid w:val="05AA47BE"/>
    <w:rsid w:val="060E2E41"/>
    <w:rsid w:val="06430A0E"/>
    <w:rsid w:val="06530982"/>
    <w:rsid w:val="065C5953"/>
    <w:rsid w:val="06776FE5"/>
    <w:rsid w:val="069F0978"/>
    <w:rsid w:val="06A077E6"/>
    <w:rsid w:val="06E3233D"/>
    <w:rsid w:val="07320D7A"/>
    <w:rsid w:val="076F402B"/>
    <w:rsid w:val="07A17DB7"/>
    <w:rsid w:val="07FE4E94"/>
    <w:rsid w:val="084030B3"/>
    <w:rsid w:val="08874799"/>
    <w:rsid w:val="088A61B1"/>
    <w:rsid w:val="08A47272"/>
    <w:rsid w:val="09D61F55"/>
    <w:rsid w:val="09EC470F"/>
    <w:rsid w:val="09EE5B74"/>
    <w:rsid w:val="0A1E121B"/>
    <w:rsid w:val="0A536594"/>
    <w:rsid w:val="0AF344E1"/>
    <w:rsid w:val="0B602941"/>
    <w:rsid w:val="0BAB5946"/>
    <w:rsid w:val="0C8827C3"/>
    <w:rsid w:val="0CF445AA"/>
    <w:rsid w:val="0D46533A"/>
    <w:rsid w:val="0D6568F6"/>
    <w:rsid w:val="0D85029F"/>
    <w:rsid w:val="0D850D30"/>
    <w:rsid w:val="0DAE59ED"/>
    <w:rsid w:val="0DD72A2A"/>
    <w:rsid w:val="0DDE6751"/>
    <w:rsid w:val="0E0F2794"/>
    <w:rsid w:val="0E697FB4"/>
    <w:rsid w:val="0F4D220C"/>
    <w:rsid w:val="0F981634"/>
    <w:rsid w:val="101C3B92"/>
    <w:rsid w:val="10285E8F"/>
    <w:rsid w:val="10341295"/>
    <w:rsid w:val="10621148"/>
    <w:rsid w:val="10687C1A"/>
    <w:rsid w:val="109D41F7"/>
    <w:rsid w:val="110F2AEF"/>
    <w:rsid w:val="111B6540"/>
    <w:rsid w:val="11295562"/>
    <w:rsid w:val="112A33E4"/>
    <w:rsid w:val="115C4AE2"/>
    <w:rsid w:val="11C85265"/>
    <w:rsid w:val="121C2012"/>
    <w:rsid w:val="12AD31C8"/>
    <w:rsid w:val="12B801C1"/>
    <w:rsid w:val="12F57891"/>
    <w:rsid w:val="12FD63E9"/>
    <w:rsid w:val="134C2BA6"/>
    <w:rsid w:val="137B5074"/>
    <w:rsid w:val="13855EF2"/>
    <w:rsid w:val="138C0E00"/>
    <w:rsid w:val="13C46A1B"/>
    <w:rsid w:val="13C627F3"/>
    <w:rsid w:val="13EC0DAB"/>
    <w:rsid w:val="13EF50ED"/>
    <w:rsid w:val="13F64D18"/>
    <w:rsid w:val="149A59CD"/>
    <w:rsid w:val="14D04B29"/>
    <w:rsid w:val="14DA401C"/>
    <w:rsid w:val="150B3ED4"/>
    <w:rsid w:val="151F30AB"/>
    <w:rsid w:val="1540664F"/>
    <w:rsid w:val="15AB7A85"/>
    <w:rsid w:val="15D92DDD"/>
    <w:rsid w:val="167F6E76"/>
    <w:rsid w:val="17AB288A"/>
    <w:rsid w:val="17DD2384"/>
    <w:rsid w:val="17E551B2"/>
    <w:rsid w:val="17EA391A"/>
    <w:rsid w:val="17FD0698"/>
    <w:rsid w:val="18904496"/>
    <w:rsid w:val="197A0DC9"/>
    <w:rsid w:val="19807154"/>
    <w:rsid w:val="19817D6A"/>
    <w:rsid w:val="199B6470"/>
    <w:rsid w:val="19BE131C"/>
    <w:rsid w:val="19C7197E"/>
    <w:rsid w:val="1A36101F"/>
    <w:rsid w:val="1A49537D"/>
    <w:rsid w:val="1A646862"/>
    <w:rsid w:val="1AD77A4D"/>
    <w:rsid w:val="1AF20311"/>
    <w:rsid w:val="1AF35E2D"/>
    <w:rsid w:val="1C3201DA"/>
    <w:rsid w:val="1C5229E9"/>
    <w:rsid w:val="1D3E15EC"/>
    <w:rsid w:val="1D540896"/>
    <w:rsid w:val="1DB33597"/>
    <w:rsid w:val="1E315899"/>
    <w:rsid w:val="1E936876"/>
    <w:rsid w:val="1EE27902"/>
    <w:rsid w:val="1F2F7361"/>
    <w:rsid w:val="1FE9532B"/>
    <w:rsid w:val="204301BE"/>
    <w:rsid w:val="20434C03"/>
    <w:rsid w:val="20B864E9"/>
    <w:rsid w:val="20C24D14"/>
    <w:rsid w:val="211F239D"/>
    <w:rsid w:val="217557F8"/>
    <w:rsid w:val="21920158"/>
    <w:rsid w:val="219D6686"/>
    <w:rsid w:val="21BE314A"/>
    <w:rsid w:val="21CB067D"/>
    <w:rsid w:val="21EE3FE5"/>
    <w:rsid w:val="220C6769"/>
    <w:rsid w:val="224B5538"/>
    <w:rsid w:val="228F7203"/>
    <w:rsid w:val="22BE7D53"/>
    <w:rsid w:val="22EA2467"/>
    <w:rsid w:val="22ED0765"/>
    <w:rsid w:val="2304680C"/>
    <w:rsid w:val="23602655"/>
    <w:rsid w:val="238D31A7"/>
    <w:rsid w:val="23B355FF"/>
    <w:rsid w:val="23ED32B3"/>
    <w:rsid w:val="24327E6B"/>
    <w:rsid w:val="24651B54"/>
    <w:rsid w:val="24D22AD1"/>
    <w:rsid w:val="24E52AD0"/>
    <w:rsid w:val="2571383E"/>
    <w:rsid w:val="25D13B43"/>
    <w:rsid w:val="26485289"/>
    <w:rsid w:val="264D0202"/>
    <w:rsid w:val="265B43D9"/>
    <w:rsid w:val="265B6BA9"/>
    <w:rsid w:val="26770E5C"/>
    <w:rsid w:val="26DB7EAB"/>
    <w:rsid w:val="27952D2F"/>
    <w:rsid w:val="290C07F0"/>
    <w:rsid w:val="292A0E22"/>
    <w:rsid w:val="29581C87"/>
    <w:rsid w:val="29AE18A7"/>
    <w:rsid w:val="29B171B8"/>
    <w:rsid w:val="29C760A5"/>
    <w:rsid w:val="2A2D3A5E"/>
    <w:rsid w:val="2A4C2E6E"/>
    <w:rsid w:val="2AB6322C"/>
    <w:rsid w:val="2ADB7E76"/>
    <w:rsid w:val="2B0C71D6"/>
    <w:rsid w:val="2B8474FA"/>
    <w:rsid w:val="2BF2357F"/>
    <w:rsid w:val="2C0C793D"/>
    <w:rsid w:val="2C4D406C"/>
    <w:rsid w:val="2C7A6D3F"/>
    <w:rsid w:val="2D5C6290"/>
    <w:rsid w:val="2DB252A5"/>
    <w:rsid w:val="2DB539AF"/>
    <w:rsid w:val="2E6D3E83"/>
    <w:rsid w:val="2EC11FB4"/>
    <w:rsid w:val="2F0D22EF"/>
    <w:rsid w:val="2F271B42"/>
    <w:rsid w:val="2F823085"/>
    <w:rsid w:val="2FA27FA7"/>
    <w:rsid w:val="2FCD5ADD"/>
    <w:rsid w:val="2FE50B81"/>
    <w:rsid w:val="30204E85"/>
    <w:rsid w:val="30AA0BEB"/>
    <w:rsid w:val="30E65DCB"/>
    <w:rsid w:val="31201DD1"/>
    <w:rsid w:val="31345A16"/>
    <w:rsid w:val="31460A7F"/>
    <w:rsid w:val="31F75BE8"/>
    <w:rsid w:val="32534400"/>
    <w:rsid w:val="325E7BE3"/>
    <w:rsid w:val="32AB107A"/>
    <w:rsid w:val="331D35FA"/>
    <w:rsid w:val="335C05C6"/>
    <w:rsid w:val="33624D3C"/>
    <w:rsid w:val="337E3E1D"/>
    <w:rsid w:val="33AD7074"/>
    <w:rsid w:val="33D56551"/>
    <w:rsid w:val="33FE167D"/>
    <w:rsid w:val="341C26FE"/>
    <w:rsid w:val="345B087E"/>
    <w:rsid w:val="3478054D"/>
    <w:rsid w:val="34821B26"/>
    <w:rsid w:val="34AB15F9"/>
    <w:rsid w:val="34AD01E3"/>
    <w:rsid w:val="34F57ECE"/>
    <w:rsid w:val="350E1ED8"/>
    <w:rsid w:val="358D6E3D"/>
    <w:rsid w:val="35CD1B7A"/>
    <w:rsid w:val="35F90B5A"/>
    <w:rsid w:val="360437A1"/>
    <w:rsid w:val="362D2DF5"/>
    <w:rsid w:val="36575075"/>
    <w:rsid w:val="36AF4EB1"/>
    <w:rsid w:val="36FA576D"/>
    <w:rsid w:val="37665A23"/>
    <w:rsid w:val="378449F2"/>
    <w:rsid w:val="37D20EDF"/>
    <w:rsid w:val="38022FEE"/>
    <w:rsid w:val="3812246D"/>
    <w:rsid w:val="38172D0E"/>
    <w:rsid w:val="385831D0"/>
    <w:rsid w:val="387F2FF0"/>
    <w:rsid w:val="38940A0D"/>
    <w:rsid w:val="38B77CE5"/>
    <w:rsid w:val="393E7F88"/>
    <w:rsid w:val="396401D4"/>
    <w:rsid w:val="39AF6EBF"/>
    <w:rsid w:val="39B41EB2"/>
    <w:rsid w:val="39B966CD"/>
    <w:rsid w:val="39D97A67"/>
    <w:rsid w:val="3AA77126"/>
    <w:rsid w:val="3AAA1C17"/>
    <w:rsid w:val="3AB605BC"/>
    <w:rsid w:val="3AC404AF"/>
    <w:rsid w:val="3B09246B"/>
    <w:rsid w:val="3B690D9F"/>
    <w:rsid w:val="3B7800FB"/>
    <w:rsid w:val="3BCE39A9"/>
    <w:rsid w:val="3C1E4563"/>
    <w:rsid w:val="3C347276"/>
    <w:rsid w:val="3D1C4922"/>
    <w:rsid w:val="3DCD5E6B"/>
    <w:rsid w:val="3E0E290D"/>
    <w:rsid w:val="3E6A2613"/>
    <w:rsid w:val="3E9A1DF2"/>
    <w:rsid w:val="3EC6440B"/>
    <w:rsid w:val="3F5742F4"/>
    <w:rsid w:val="3F622BD7"/>
    <w:rsid w:val="3F975C9B"/>
    <w:rsid w:val="3FA13628"/>
    <w:rsid w:val="3FB24383"/>
    <w:rsid w:val="40063640"/>
    <w:rsid w:val="4037567F"/>
    <w:rsid w:val="403F6DE8"/>
    <w:rsid w:val="409E381B"/>
    <w:rsid w:val="40B7508E"/>
    <w:rsid w:val="410F1764"/>
    <w:rsid w:val="41A96EDA"/>
    <w:rsid w:val="420E6FA9"/>
    <w:rsid w:val="423020F5"/>
    <w:rsid w:val="42520175"/>
    <w:rsid w:val="426F2BC8"/>
    <w:rsid w:val="42A137FD"/>
    <w:rsid w:val="42BF1A9F"/>
    <w:rsid w:val="42CC21A3"/>
    <w:rsid w:val="42F44377"/>
    <w:rsid w:val="42FF4BE0"/>
    <w:rsid w:val="433A6D62"/>
    <w:rsid w:val="43617FED"/>
    <w:rsid w:val="43CB0F0F"/>
    <w:rsid w:val="43CC58FF"/>
    <w:rsid w:val="44314262"/>
    <w:rsid w:val="44735770"/>
    <w:rsid w:val="449F689B"/>
    <w:rsid w:val="44D53B35"/>
    <w:rsid w:val="452B268D"/>
    <w:rsid w:val="46021DD7"/>
    <w:rsid w:val="46037A0C"/>
    <w:rsid w:val="46044165"/>
    <w:rsid w:val="46441DED"/>
    <w:rsid w:val="46971BD8"/>
    <w:rsid w:val="47044DA5"/>
    <w:rsid w:val="470E248F"/>
    <w:rsid w:val="474D7656"/>
    <w:rsid w:val="47B17E52"/>
    <w:rsid w:val="483B4AF7"/>
    <w:rsid w:val="48475318"/>
    <w:rsid w:val="49050C83"/>
    <w:rsid w:val="49805F8A"/>
    <w:rsid w:val="49CE4ADE"/>
    <w:rsid w:val="4A02570B"/>
    <w:rsid w:val="4A4B3954"/>
    <w:rsid w:val="4A5C1C5B"/>
    <w:rsid w:val="4A917F5C"/>
    <w:rsid w:val="4ABF7FCB"/>
    <w:rsid w:val="4ACA5F58"/>
    <w:rsid w:val="4AE27F68"/>
    <w:rsid w:val="4B150E74"/>
    <w:rsid w:val="4B7E5F47"/>
    <w:rsid w:val="4B8864C1"/>
    <w:rsid w:val="4C026852"/>
    <w:rsid w:val="4C0E7B15"/>
    <w:rsid w:val="4C157D01"/>
    <w:rsid w:val="4CBC1312"/>
    <w:rsid w:val="4CC92E8B"/>
    <w:rsid w:val="4CD6197F"/>
    <w:rsid w:val="4CDC22DE"/>
    <w:rsid w:val="4D1D580C"/>
    <w:rsid w:val="4D3410AE"/>
    <w:rsid w:val="4D505A2E"/>
    <w:rsid w:val="4E1A0CF8"/>
    <w:rsid w:val="4E1A22BD"/>
    <w:rsid w:val="4E286BFF"/>
    <w:rsid w:val="4E9813BB"/>
    <w:rsid w:val="4ED73718"/>
    <w:rsid w:val="4F0941AB"/>
    <w:rsid w:val="4F33761A"/>
    <w:rsid w:val="4F5858DB"/>
    <w:rsid w:val="4F625C02"/>
    <w:rsid w:val="4F6C34E7"/>
    <w:rsid w:val="4F943DCA"/>
    <w:rsid w:val="4FEE5EF7"/>
    <w:rsid w:val="50331A4F"/>
    <w:rsid w:val="503713B5"/>
    <w:rsid w:val="50D3709C"/>
    <w:rsid w:val="50DB4890"/>
    <w:rsid w:val="512B020B"/>
    <w:rsid w:val="512C7D6B"/>
    <w:rsid w:val="517843C5"/>
    <w:rsid w:val="518F1E39"/>
    <w:rsid w:val="51B41739"/>
    <w:rsid w:val="51F53C68"/>
    <w:rsid w:val="522C295C"/>
    <w:rsid w:val="525C28FF"/>
    <w:rsid w:val="526E5745"/>
    <w:rsid w:val="528851B6"/>
    <w:rsid w:val="52977478"/>
    <w:rsid w:val="52D924B7"/>
    <w:rsid w:val="52E104EB"/>
    <w:rsid w:val="53037D86"/>
    <w:rsid w:val="53190DF1"/>
    <w:rsid w:val="53446469"/>
    <w:rsid w:val="53483436"/>
    <w:rsid w:val="535A3AA7"/>
    <w:rsid w:val="538928BA"/>
    <w:rsid w:val="538E183C"/>
    <w:rsid w:val="538F4881"/>
    <w:rsid w:val="53B33AD6"/>
    <w:rsid w:val="53C103D3"/>
    <w:rsid w:val="53CE4D57"/>
    <w:rsid w:val="5436377A"/>
    <w:rsid w:val="54506FF8"/>
    <w:rsid w:val="54514DA2"/>
    <w:rsid w:val="54A43F83"/>
    <w:rsid w:val="54E3249D"/>
    <w:rsid w:val="55A84AE1"/>
    <w:rsid w:val="55EB6CC6"/>
    <w:rsid w:val="5630526E"/>
    <w:rsid w:val="563C2632"/>
    <w:rsid w:val="56434CD8"/>
    <w:rsid w:val="5742423A"/>
    <w:rsid w:val="57A57A43"/>
    <w:rsid w:val="57B500F0"/>
    <w:rsid w:val="57F63044"/>
    <w:rsid w:val="580544D9"/>
    <w:rsid w:val="582B5D65"/>
    <w:rsid w:val="58660B01"/>
    <w:rsid w:val="588B5020"/>
    <w:rsid w:val="58AE1E68"/>
    <w:rsid w:val="58B42480"/>
    <w:rsid w:val="58CF436A"/>
    <w:rsid w:val="59263E02"/>
    <w:rsid w:val="5943175D"/>
    <w:rsid w:val="594B053D"/>
    <w:rsid w:val="59536482"/>
    <w:rsid w:val="59684D1F"/>
    <w:rsid w:val="59970BD3"/>
    <w:rsid w:val="5A7263AF"/>
    <w:rsid w:val="5AB31713"/>
    <w:rsid w:val="5B102666"/>
    <w:rsid w:val="5B434A6C"/>
    <w:rsid w:val="5B6634E0"/>
    <w:rsid w:val="5B94492A"/>
    <w:rsid w:val="5BD226A9"/>
    <w:rsid w:val="5C180181"/>
    <w:rsid w:val="5C3830CF"/>
    <w:rsid w:val="5D3036E9"/>
    <w:rsid w:val="5D3C0868"/>
    <w:rsid w:val="5D8436F0"/>
    <w:rsid w:val="5D852344"/>
    <w:rsid w:val="5DFC769F"/>
    <w:rsid w:val="5E1840D4"/>
    <w:rsid w:val="5E382B79"/>
    <w:rsid w:val="5E4D1421"/>
    <w:rsid w:val="5E50414E"/>
    <w:rsid w:val="5EED3928"/>
    <w:rsid w:val="5F094BE9"/>
    <w:rsid w:val="5F372B2D"/>
    <w:rsid w:val="5F576C79"/>
    <w:rsid w:val="5FBF0F0E"/>
    <w:rsid w:val="5FFD1949"/>
    <w:rsid w:val="60034D9C"/>
    <w:rsid w:val="600F4147"/>
    <w:rsid w:val="6061371C"/>
    <w:rsid w:val="610751B5"/>
    <w:rsid w:val="615564D1"/>
    <w:rsid w:val="61732678"/>
    <w:rsid w:val="618C209E"/>
    <w:rsid w:val="61BA27D8"/>
    <w:rsid w:val="61FF0922"/>
    <w:rsid w:val="621E57FF"/>
    <w:rsid w:val="626372C0"/>
    <w:rsid w:val="62A71CF2"/>
    <w:rsid w:val="62A80882"/>
    <w:rsid w:val="62C57EEC"/>
    <w:rsid w:val="63352116"/>
    <w:rsid w:val="63397853"/>
    <w:rsid w:val="63AD7C73"/>
    <w:rsid w:val="63C60D1A"/>
    <w:rsid w:val="64453F44"/>
    <w:rsid w:val="64490F6E"/>
    <w:rsid w:val="645D7DC2"/>
    <w:rsid w:val="6488096B"/>
    <w:rsid w:val="64885CC2"/>
    <w:rsid w:val="65B45814"/>
    <w:rsid w:val="65C14C51"/>
    <w:rsid w:val="660D7ED1"/>
    <w:rsid w:val="660E477B"/>
    <w:rsid w:val="66167F98"/>
    <w:rsid w:val="661A420A"/>
    <w:rsid w:val="66552ACF"/>
    <w:rsid w:val="66674E88"/>
    <w:rsid w:val="66AA0049"/>
    <w:rsid w:val="66B94E0C"/>
    <w:rsid w:val="671D58AF"/>
    <w:rsid w:val="677B0314"/>
    <w:rsid w:val="67B76BE4"/>
    <w:rsid w:val="687A045A"/>
    <w:rsid w:val="68E47DBD"/>
    <w:rsid w:val="68EF2D67"/>
    <w:rsid w:val="696D7326"/>
    <w:rsid w:val="6A434F61"/>
    <w:rsid w:val="6B216549"/>
    <w:rsid w:val="6B2B002F"/>
    <w:rsid w:val="6B95409A"/>
    <w:rsid w:val="6B9F7293"/>
    <w:rsid w:val="6BC55102"/>
    <w:rsid w:val="6C3D1C1F"/>
    <w:rsid w:val="6C783081"/>
    <w:rsid w:val="6CD71CD7"/>
    <w:rsid w:val="6CDA1E9D"/>
    <w:rsid w:val="6D221877"/>
    <w:rsid w:val="6D401E81"/>
    <w:rsid w:val="6D59196F"/>
    <w:rsid w:val="6D5C748C"/>
    <w:rsid w:val="6D645365"/>
    <w:rsid w:val="6DEE7685"/>
    <w:rsid w:val="6E20340D"/>
    <w:rsid w:val="6E825907"/>
    <w:rsid w:val="6ED87C1D"/>
    <w:rsid w:val="6F0D067E"/>
    <w:rsid w:val="6FE45F11"/>
    <w:rsid w:val="704A0779"/>
    <w:rsid w:val="708128CE"/>
    <w:rsid w:val="70881523"/>
    <w:rsid w:val="708B22CB"/>
    <w:rsid w:val="70C73762"/>
    <w:rsid w:val="713003C1"/>
    <w:rsid w:val="71F16A0B"/>
    <w:rsid w:val="725B6435"/>
    <w:rsid w:val="728C7EF0"/>
    <w:rsid w:val="729C3F60"/>
    <w:rsid w:val="731D5B80"/>
    <w:rsid w:val="732C6966"/>
    <w:rsid w:val="736F7CBB"/>
    <w:rsid w:val="74015E49"/>
    <w:rsid w:val="74530C56"/>
    <w:rsid w:val="74C74B98"/>
    <w:rsid w:val="759C77C1"/>
    <w:rsid w:val="75BE243F"/>
    <w:rsid w:val="75ED6880"/>
    <w:rsid w:val="75FD54FF"/>
    <w:rsid w:val="75FD5B65"/>
    <w:rsid w:val="76365756"/>
    <w:rsid w:val="76B107D0"/>
    <w:rsid w:val="76BA746F"/>
    <w:rsid w:val="76D43575"/>
    <w:rsid w:val="76EC33A1"/>
    <w:rsid w:val="76FC2B6F"/>
    <w:rsid w:val="775F656B"/>
    <w:rsid w:val="77773E8A"/>
    <w:rsid w:val="784F24A2"/>
    <w:rsid w:val="786E0DC7"/>
    <w:rsid w:val="78A23076"/>
    <w:rsid w:val="78D10B9A"/>
    <w:rsid w:val="78DC1BF6"/>
    <w:rsid w:val="791D4026"/>
    <w:rsid w:val="796013CF"/>
    <w:rsid w:val="799A047B"/>
    <w:rsid w:val="7A5348BA"/>
    <w:rsid w:val="7A9C453F"/>
    <w:rsid w:val="7ABC27EB"/>
    <w:rsid w:val="7ACC52A7"/>
    <w:rsid w:val="7AD44958"/>
    <w:rsid w:val="7B087CB8"/>
    <w:rsid w:val="7B1D7EA7"/>
    <w:rsid w:val="7B6E2A88"/>
    <w:rsid w:val="7BD92223"/>
    <w:rsid w:val="7BF842F1"/>
    <w:rsid w:val="7C0F742D"/>
    <w:rsid w:val="7C242FD0"/>
    <w:rsid w:val="7C246D74"/>
    <w:rsid w:val="7C661A55"/>
    <w:rsid w:val="7C9C26B1"/>
    <w:rsid w:val="7CC35938"/>
    <w:rsid w:val="7D1B0177"/>
    <w:rsid w:val="7D8306B2"/>
    <w:rsid w:val="7E2C493A"/>
    <w:rsid w:val="7E7F7396"/>
    <w:rsid w:val="7EDC4997"/>
    <w:rsid w:val="7F0021AB"/>
    <w:rsid w:val="7F31574E"/>
    <w:rsid w:val="7F43222E"/>
    <w:rsid w:val="7F8819BF"/>
    <w:rsid w:val="7FF6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7"/>
    <w:qFormat/>
    <w:uiPriority w:val="0"/>
    <w:pPr>
      <w:jc w:val="left"/>
    </w:pPr>
  </w:style>
  <w:style w:type="paragraph" w:styleId="5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7">
    <w:name w:val="annotation subject"/>
    <w:basedOn w:val="4"/>
    <w:next w:val="4"/>
    <w:link w:val="18"/>
    <w:qFormat/>
    <w:uiPriority w:val="0"/>
    <w:rPr>
      <w:b/>
      <w:bCs/>
    </w:rPr>
  </w:style>
  <w:style w:type="table" w:styleId="9">
    <w:name w:val="Table Grid"/>
    <w:basedOn w:val="8"/>
    <w:semiHidden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character" w:styleId="14">
    <w:name w:val="footnote reference"/>
    <w:basedOn w:val="10"/>
    <w:qFormat/>
    <w:uiPriority w:val="0"/>
    <w:rPr>
      <w:vertAlign w:val="superscript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paragraph" w:customStyle="1" w:styleId="16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7">
    <w:name w:val="批注文字 字符"/>
    <w:basedOn w:val="10"/>
    <w:link w:val="4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8">
    <w:name w:val="批注主题 字符"/>
    <w:basedOn w:val="17"/>
    <w:link w:val="7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642C9-DE61-4777-AA7B-6BBDC6B742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2309</Words>
  <Characters>2491</Characters>
  <Lines>34</Lines>
  <Paragraphs>9</Paragraphs>
  <TotalTime>51</TotalTime>
  <ScaleCrop>false</ScaleCrop>
  <LinksUpToDate>false</LinksUpToDate>
  <CharactersWithSpaces>2497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2024-07-03T00:48:00Z</dcterms:created>
  <dc:creator>hp</dc:creator>
  <cp:lastModifiedBy>田盼</cp:lastModifiedBy>
  <dcterms:modified xsi:type="dcterms:W3CDTF">2024-07-30T10:36:30Z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F43EE9DA9AAA48A2AA3D4D8CA50E5762_13</vt:lpwstr>
  </property>
</Properties>
</file>