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6378" w:rsidRDefault="0027345E">
      <w:pPr>
        <w:pStyle w:val="1"/>
      </w:pPr>
      <w:r>
        <w:rPr>
          <w:rFonts w:hint="eastAsia"/>
        </w:rPr>
        <w:t>从公开采购市场看产数</w:t>
      </w:r>
      <w:r w:rsidR="00BE123B">
        <w:rPr>
          <w:rFonts w:hint="eastAsia"/>
        </w:rPr>
        <w:t>业务</w:t>
      </w:r>
      <w:r w:rsidRPr="0027345E">
        <w:rPr>
          <w:rFonts w:hint="eastAsia"/>
        </w:rPr>
        <w:t>发展特征、</w:t>
      </w:r>
      <w:r w:rsidR="00BE123B">
        <w:rPr>
          <w:rFonts w:hint="eastAsia"/>
        </w:rPr>
        <w:t>趋势</w:t>
      </w:r>
      <w:r w:rsidRPr="0027345E">
        <w:rPr>
          <w:rFonts w:hint="eastAsia"/>
        </w:rPr>
        <w:t>及启示</w:t>
      </w:r>
    </w:p>
    <w:p w:rsidR="008D6378" w:rsidRDefault="008763C5">
      <w:pPr>
        <w:ind w:firstLine="480"/>
      </w:pPr>
      <w:bookmarkStart w:id="0" w:name="OLE_LINK9"/>
      <w:bookmarkStart w:id="1" w:name="OLE_LINK1"/>
      <w:r>
        <w:rPr>
          <w:rFonts w:hint="eastAsia"/>
        </w:rPr>
        <w:t>2</w:t>
      </w:r>
      <w:r>
        <w:t>025</w:t>
      </w:r>
      <w:r>
        <w:rPr>
          <w:rFonts w:hint="eastAsia"/>
        </w:rPr>
        <w:t>年两会期间，全国人大审查《关于</w:t>
      </w:r>
      <w:r>
        <w:t>2024年中央和地方预算执行情况与2025年中央和地方预算草案的报告》</w:t>
      </w:r>
      <w:r>
        <w:rPr>
          <w:rFonts w:hint="eastAsia"/>
        </w:rPr>
        <w:t>，其中多处涉及</w:t>
      </w:r>
      <w:r>
        <w:t>公开招投标和政府采购政策</w:t>
      </w:r>
      <w:r w:rsidR="00EC1A5B">
        <w:rPr>
          <w:rFonts w:hint="eastAsia"/>
        </w:rPr>
        <w:t>落实情况，公开采购市场成为解读产业</w:t>
      </w:r>
      <w:bookmarkStart w:id="2" w:name="_GoBack"/>
      <w:bookmarkEnd w:id="2"/>
      <w:r w:rsidR="00EC1A5B">
        <w:rPr>
          <w:rFonts w:hint="eastAsia"/>
        </w:rPr>
        <w:t>数字化业务发展走向的重要参照</w:t>
      </w:r>
      <w:r>
        <w:rPr>
          <w:rFonts w:hint="eastAsia"/>
        </w:rPr>
        <w:t>。本文从政府采购、公共资源交易、千里马等渠道收集汇总产数中标数据</w:t>
      </w:r>
      <w:r>
        <w:rPr>
          <w:rStyle w:val="af2"/>
        </w:rPr>
        <w:footnoteReference w:id="1"/>
      </w:r>
      <w:r>
        <w:rPr>
          <w:rFonts w:hint="eastAsia"/>
        </w:rPr>
        <w:t>，全面回顾2</w:t>
      </w:r>
      <w:r>
        <w:t>024</w:t>
      </w:r>
      <w:r>
        <w:rPr>
          <w:rFonts w:hint="eastAsia"/>
        </w:rPr>
        <w:t>年产数业务发展特征与</w:t>
      </w:r>
      <w:r w:rsidR="00BB7D08">
        <w:rPr>
          <w:rFonts w:hint="eastAsia"/>
        </w:rPr>
        <w:t>运营商中标表现</w:t>
      </w:r>
      <w:r>
        <w:rPr>
          <w:rFonts w:hint="eastAsia"/>
        </w:rPr>
        <w:t>，</w:t>
      </w:r>
      <w:r w:rsidR="00BB7D08">
        <w:rPr>
          <w:rFonts w:hint="eastAsia"/>
        </w:rPr>
        <w:t>结合电信面临的问题挑战</w:t>
      </w:r>
      <w:r>
        <w:rPr>
          <w:rFonts w:hint="eastAsia"/>
        </w:rPr>
        <w:t>，从区域发展、技术创新、生态合作三方面提出相关</w:t>
      </w:r>
      <w:r w:rsidR="00BB7D08">
        <w:rPr>
          <w:rFonts w:hint="eastAsia"/>
        </w:rPr>
        <w:t>启示策略</w:t>
      </w:r>
      <w:r>
        <w:rPr>
          <w:rFonts w:hint="eastAsia"/>
        </w:rPr>
        <w:t>。</w:t>
      </w:r>
      <w:bookmarkEnd w:id="0"/>
    </w:p>
    <w:p w:rsidR="008D6378" w:rsidRDefault="008763C5">
      <w:pPr>
        <w:pStyle w:val="2"/>
        <w:numPr>
          <w:ilvl w:val="0"/>
          <w:numId w:val="1"/>
        </w:numPr>
      </w:pPr>
      <w:r>
        <w:rPr>
          <w:rFonts w:hint="eastAsia"/>
        </w:rPr>
        <w:t>从采购市场看产数业务发展新特征</w:t>
      </w:r>
    </w:p>
    <w:p w:rsidR="008D6378" w:rsidRDefault="008763C5">
      <w:pPr>
        <w:pStyle w:val="3"/>
      </w:pPr>
      <w:r>
        <w:rPr>
          <w:rFonts w:hint="eastAsia"/>
        </w:rPr>
        <w:t>1.1</w:t>
      </w:r>
      <w:r>
        <w:t xml:space="preserve"> </w:t>
      </w:r>
      <w:r>
        <w:rPr>
          <w:rFonts w:hint="eastAsia"/>
        </w:rPr>
        <w:t>采购市场规范升级，推动产数业务高质量发展</w:t>
      </w:r>
    </w:p>
    <w:p w:rsidR="008D6378" w:rsidRDefault="008763C5">
      <w:pPr>
        <w:ind w:firstLine="482"/>
        <w:rPr>
          <w:b/>
          <w:bCs/>
        </w:rPr>
      </w:pPr>
      <w:r>
        <w:rPr>
          <w:rFonts w:hint="eastAsia"/>
          <w:b/>
          <w:bCs/>
        </w:rPr>
        <w:t>项目交易更加透明</w:t>
      </w:r>
      <w:r>
        <w:rPr>
          <w:b/>
          <w:bCs/>
        </w:rPr>
        <w:t>。</w:t>
      </w:r>
      <w:r>
        <w:t>2024年2月，国家财政部办公厅发布《关于进一步提高政府采购信息查询使用便利度的通知》，要求地方分网将所有政府采购项目推送至中央主网，实现“一站式”查询</w:t>
      </w:r>
      <w:r w:rsidR="00D15040">
        <w:rPr>
          <w:rFonts w:hint="eastAsia"/>
        </w:rPr>
        <w:t>，</w:t>
      </w:r>
      <w:r w:rsidR="00F662DC">
        <w:rPr>
          <w:rFonts w:hint="eastAsia"/>
        </w:rPr>
        <w:t>同时也便于</w:t>
      </w:r>
      <w:r>
        <w:rPr>
          <w:rFonts w:hint="eastAsia"/>
        </w:rPr>
        <w:t>识别异常交易（如</w:t>
      </w:r>
      <w:r w:rsidR="00D15040" w:rsidRPr="00D15040">
        <w:rPr>
          <w:rFonts w:hint="eastAsia"/>
        </w:rPr>
        <w:t>中移系统集成因</w:t>
      </w:r>
      <w:r w:rsidR="00D15040" w:rsidRPr="00D15040">
        <w:t>海军项目违规，被暂停</w:t>
      </w:r>
      <w:r w:rsidR="00D15040">
        <w:rPr>
          <w:rFonts w:hint="eastAsia"/>
        </w:rPr>
        <w:t>中标</w:t>
      </w:r>
      <w:r w:rsidR="00D15040" w:rsidRPr="00D15040">
        <w:t>资格</w:t>
      </w:r>
      <w:r>
        <w:rPr>
          <w:rFonts w:hint="eastAsia"/>
        </w:rPr>
        <w:t>）。</w:t>
      </w:r>
    </w:p>
    <w:p w:rsidR="008D6378" w:rsidRDefault="008763C5">
      <w:pPr>
        <w:ind w:firstLine="482"/>
      </w:pPr>
      <w:r>
        <w:rPr>
          <w:rFonts w:hint="eastAsia"/>
          <w:b/>
          <w:bCs/>
        </w:rPr>
        <w:t>扶持</w:t>
      </w:r>
      <w:r>
        <w:rPr>
          <w:b/>
          <w:bCs/>
        </w:rPr>
        <w:t>创新</w:t>
      </w:r>
      <w:r>
        <w:rPr>
          <w:rFonts w:hint="eastAsia"/>
          <w:b/>
          <w:bCs/>
        </w:rPr>
        <w:t>产品应用</w:t>
      </w:r>
      <w:r>
        <w:rPr>
          <w:b/>
          <w:bCs/>
        </w:rPr>
        <w:t>。</w:t>
      </w:r>
      <w:r>
        <w:t>4月，国务院办公厅印发《政府采购领域三年行动方案》，</w:t>
      </w:r>
      <w:r>
        <w:rPr>
          <w:rFonts w:hint="eastAsia"/>
        </w:rPr>
        <w:t>通过扶持</w:t>
      </w:r>
      <w:r>
        <w:t>科技创新</w:t>
      </w:r>
      <w:r>
        <w:rPr>
          <w:rFonts w:hint="eastAsia"/>
        </w:rPr>
        <w:t>促进产业发展，</w:t>
      </w:r>
      <w:r>
        <w:t>推进创新产品</w:t>
      </w:r>
      <w:r w:rsidR="00D15040">
        <w:t>应用和迭代升级</w:t>
      </w:r>
      <w:r w:rsidR="00D15040">
        <w:rPr>
          <w:rFonts w:hint="eastAsia"/>
        </w:rPr>
        <w:t>，</w:t>
      </w:r>
      <w:r>
        <w:rPr>
          <w:rFonts w:hint="eastAsia"/>
        </w:rPr>
        <w:t>推动产数业务向高附加值领域升级（如数据安全、</w:t>
      </w:r>
      <w:r>
        <w:t>AI</w:t>
      </w:r>
      <w:r>
        <w:rPr>
          <w:rFonts w:hint="eastAsia"/>
        </w:rPr>
        <w:t>产品</w:t>
      </w:r>
      <w:r>
        <w:t>）</w:t>
      </w:r>
      <w:r>
        <w:rPr>
          <w:rFonts w:hint="eastAsia"/>
        </w:rPr>
        <w:t>。</w:t>
      </w:r>
    </w:p>
    <w:p w:rsidR="008D6378" w:rsidRDefault="008763C5">
      <w:pPr>
        <w:ind w:firstLine="482"/>
      </w:pPr>
      <w:r>
        <w:rPr>
          <w:rFonts w:hint="eastAsia"/>
          <w:b/>
          <w:bCs/>
        </w:rPr>
        <w:t>突出</w:t>
      </w:r>
      <w:r>
        <w:rPr>
          <w:b/>
          <w:bCs/>
        </w:rPr>
        <w:t>评标技术导向。</w:t>
      </w:r>
      <w:r>
        <w:t>5月，《国务院办公厅关于创新完善体制机制推动招标投标市场规范健康发展的意见》</w:t>
      </w:r>
      <w:r w:rsidR="00D15040" w:rsidRPr="00D15040">
        <w:rPr>
          <w:rFonts w:hint="eastAsia"/>
        </w:rPr>
        <w:t>限制最低价中标适用范围，强化技术评分占比</w:t>
      </w:r>
      <w:r w:rsidR="00D15040">
        <w:rPr>
          <w:rFonts w:hint="eastAsia"/>
        </w:rPr>
        <w:t>，</w:t>
      </w:r>
      <w:r>
        <w:rPr>
          <w:rFonts w:hint="eastAsia"/>
        </w:rPr>
        <w:t>具备技术壁垒的企业（如拥有自主算法的</w:t>
      </w:r>
      <w:r>
        <w:t>AI公司）将获得溢价空间</w:t>
      </w:r>
      <w:r>
        <w:rPr>
          <w:rFonts w:hint="eastAsia"/>
        </w:rPr>
        <w:t>。</w:t>
      </w:r>
    </w:p>
    <w:p w:rsidR="008D6378" w:rsidRDefault="008763C5">
      <w:pPr>
        <w:pStyle w:val="3"/>
      </w:pPr>
      <w:r>
        <w:rPr>
          <w:rFonts w:hint="eastAsia"/>
        </w:rPr>
        <w:t>1</w:t>
      </w:r>
      <w:r>
        <w:t xml:space="preserve">.2 </w:t>
      </w:r>
      <w:r w:rsidR="00D15040">
        <w:rPr>
          <w:rFonts w:hint="eastAsia"/>
        </w:rPr>
        <w:t>产数</w:t>
      </w:r>
      <w:r>
        <w:rPr>
          <w:rFonts w:hint="eastAsia"/>
        </w:rPr>
        <w:t>市场规模持续</w:t>
      </w:r>
      <w:r>
        <w:t>增长，</w:t>
      </w:r>
      <w:r>
        <w:rPr>
          <w:rFonts w:hint="eastAsia"/>
        </w:rPr>
        <w:t>发展规律</w:t>
      </w:r>
      <w:r w:rsidR="00D15040">
        <w:rPr>
          <w:rFonts w:hint="eastAsia"/>
        </w:rPr>
        <w:t>愈发</w:t>
      </w:r>
      <w:r>
        <w:rPr>
          <w:rFonts w:hint="eastAsia"/>
        </w:rPr>
        <w:t>凸显</w:t>
      </w:r>
    </w:p>
    <w:p w:rsidR="008D6378" w:rsidRDefault="00D15040">
      <w:pPr>
        <w:ind w:firstLine="482"/>
      </w:pPr>
      <w:r>
        <w:rPr>
          <w:rFonts w:hint="eastAsia"/>
          <w:b/>
        </w:rPr>
        <w:t>总量</w:t>
      </w:r>
      <w:r w:rsidR="008763C5">
        <w:rPr>
          <w:rFonts w:hint="eastAsia"/>
          <w:b/>
        </w:rPr>
        <w:t>增长</w:t>
      </w:r>
      <w:r>
        <w:rPr>
          <w:rFonts w:hint="eastAsia"/>
          <w:b/>
        </w:rPr>
        <w:t>与周期性波动</w:t>
      </w:r>
      <w:r w:rsidR="008763C5">
        <w:rPr>
          <w:rFonts w:hint="eastAsia"/>
          <w:b/>
        </w:rPr>
        <w:t>。</w:t>
      </w:r>
      <w:r w:rsidR="008763C5">
        <w:t>2024年</w:t>
      </w:r>
      <w:r w:rsidR="00A70393">
        <w:rPr>
          <w:rFonts w:hint="eastAsia"/>
        </w:rPr>
        <w:t>公开</w:t>
      </w:r>
      <w:r w:rsidR="008763C5">
        <w:t>项目数量34</w:t>
      </w:r>
      <w:r w:rsidR="00F662DC">
        <w:t>万个，总额</w:t>
      </w:r>
      <w:r w:rsidR="00F662DC">
        <w:rPr>
          <w:rFonts w:hint="eastAsia"/>
        </w:rPr>
        <w:t>达</w:t>
      </w:r>
      <w:r w:rsidR="008763C5">
        <w:t>8490亿元，</w:t>
      </w:r>
      <w:r w:rsidR="008763C5">
        <w:rPr>
          <w:rFonts w:hint="eastAsia"/>
        </w:rPr>
        <w:t>同比增长1</w:t>
      </w:r>
      <w:r w:rsidR="008763C5">
        <w:t>2%</w:t>
      </w:r>
      <w:r w:rsidR="008763C5">
        <w:rPr>
          <w:rFonts w:hint="eastAsia"/>
        </w:rPr>
        <w:t>，运营商中标份额占1</w:t>
      </w:r>
      <w:r w:rsidR="008763C5">
        <w:t>7.3%</w:t>
      </w:r>
      <w:r w:rsidR="008763C5">
        <w:rPr>
          <w:rFonts w:hint="eastAsia"/>
        </w:rPr>
        <w:t>。其中</w:t>
      </w:r>
      <w:r w:rsidRPr="00D15040">
        <w:t>2</w:t>
      </w:r>
      <w:r w:rsidR="00F662DC">
        <w:t>月受春节</w:t>
      </w:r>
      <w:r w:rsidR="00F662DC">
        <w:rPr>
          <w:rFonts w:hint="eastAsia"/>
        </w:rPr>
        <w:t>影响</w:t>
      </w:r>
      <w:r w:rsidRPr="00D15040">
        <w:t>大幅下滑，3月两会明确特别国债/专项债</w:t>
      </w:r>
      <w:r>
        <w:rPr>
          <w:rFonts w:hint="eastAsia"/>
        </w:rPr>
        <w:t>等</w:t>
      </w:r>
      <w:r w:rsidRPr="00D15040">
        <w:t>资金安排后增速反弹，年中和年末形成规模高峰</w:t>
      </w:r>
      <w:r w:rsidR="008763C5">
        <w:rPr>
          <w:rFonts w:hint="eastAsia"/>
        </w:rPr>
        <w:t>。</w:t>
      </w:r>
    </w:p>
    <w:p w:rsidR="008D6378" w:rsidRDefault="008763C5">
      <w:pPr>
        <w:ind w:firstLine="482"/>
      </w:pPr>
      <w:r>
        <w:rPr>
          <w:rFonts w:hint="eastAsia"/>
          <w:b/>
        </w:rPr>
        <w:t>东部省份强者恒强，全国县域市场增长显著。</w:t>
      </w:r>
      <w:r w:rsidR="00D15040">
        <w:rPr>
          <w:rFonts w:hint="eastAsia"/>
        </w:rPr>
        <w:t>市场</w:t>
      </w:r>
      <w:r>
        <w:rPr>
          <w:rFonts w:hint="eastAsia"/>
        </w:rPr>
        <w:t>规模T</w:t>
      </w:r>
      <w:r>
        <w:t>OP3</w:t>
      </w:r>
      <w:r>
        <w:rPr>
          <w:rFonts w:hint="eastAsia"/>
        </w:rPr>
        <w:t>为东部地区的广东、江苏、浙江，</w:t>
      </w:r>
      <w:r w:rsidR="00F662DC">
        <w:rPr>
          <w:rFonts w:hint="eastAsia"/>
        </w:rPr>
        <w:t>三省</w:t>
      </w:r>
      <w:r w:rsidR="00D15040">
        <w:rPr>
          <w:rFonts w:hint="eastAsia"/>
        </w:rPr>
        <w:t>合计</w:t>
      </w:r>
      <w:r>
        <w:rPr>
          <w:rFonts w:hint="eastAsia"/>
        </w:rPr>
        <w:t>占比超</w:t>
      </w:r>
      <w:r w:rsidR="00D15040">
        <w:t>25%</w:t>
      </w:r>
      <w:r w:rsidR="00D15040">
        <w:rPr>
          <w:rFonts w:hint="eastAsia"/>
        </w:rPr>
        <w:t>，继续领跑全国。全国</w:t>
      </w:r>
      <w:r>
        <w:rPr>
          <w:rFonts w:hint="eastAsia"/>
        </w:rPr>
        <w:t>县域规模约</w:t>
      </w:r>
      <w:r>
        <w:t>4000</w:t>
      </w:r>
      <w:r>
        <w:rPr>
          <w:rFonts w:hint="eastAsia"/>
        </w:rPr>
        <w:t>亿，占总量的4</w:t>
      </w:r>
      <w:r>
        <w:t>7%</w:t>
      </w:r>
      <w:r>
        <w:rPr>
          <w:rFonts w:hint="eastAsia"/>
        </w:rPr>
        <w:t>，较</w:t>
      </w:r>
      <w:r w:rsidR="00D15040">
        <w:rPr>
          <w:rFonts w:hint="eastAsia"/>
        </w:rPr>
        <w:t>去年占比</w:t>
      </w:r>
      <w:r>
        <w:rPr>
          <w:rFonts w:hint="eastAsia"/>
        </w:rPr>
        <w:t>提升9pp，产数市场持续向县域下沉。</w:t>
      </w:r>
    </w:p>
    <w:p w:rsidR="008D6378" w:rsidRDefault="008763C5">
      <w:pPr>
        <w:ind w:firstLine="482"/>
      </w:pPr>
      <w:r>
        <w:rPr>
          <w:rFonts w:hint="eastAsia"/>
          <w:b/>
        </w:rPr>
        <w:lastRenderedPageBreak/>
        <w:t>政府采购增速下滑，地方国企采购需求增长。</w:t>
      </w:r>
      <w:r>
        <w:t>政府采购规模3214.6</w:t>
      </w:r>
      <w:r w:rsidR="00EC1A5B">
        <w:t>亿，同比</w:t>
      </w:r>
      <w:r>
        <w:t>下降12%，院校、医院等事业单位采购</w:t>
      </w:r>
      <w:r w:rsidR="00D15040">
        <w:rPr>
          <w:rFonts w:hint="eastAsia"/>
        </w:rPr>
        <w:t>同步</w:t>
      </w:r>
      <w:r>
        <w:t>负增长</w:t>
      </w:r>
      <w:r>
        <w:rPr>
          <w:rFonts w:hint="eastAsia"/>
        </w:rPr>
        <w:t>，</w:t>
      </w:r>
      <w:r>
        <w:t>市场</w:t>
      </w:r>
      <w:r w:rsidR="00D15040">
        <w:rPr>
          <w:rFonts w:hint="eastAsia"/>
        </w:rPr>
        <w:t>增长乏力</w:t>
      </w:r>
      <w:r>
        <w:rPr>
          <w:rFonts w:hint="eastAsia"/>
        </w:rPr>
        <w:t>。</w:t>
      </w:r>
      <w:r>
        <w:t>相反，</w:t>
      </w:r>
      <w:r>
        <w:rPr>
          <w:rFonts w:hint="eastAsia"/>
        </w:rPr>
        <w:t>地方国企</w:t>
      </w:r>
      <w:r>
        <w:t>采购</w:t>
      </w:r>
      <w:r>
        <w:rPr>
          <w:rFonts w:hint="eastAsia"/>
        </w:rPr>
        <w:t>规模同比</w:t>
      </w:r>
      <w:r w:rsidR="00D15040">
        <w:rPr>
          <w:rFonts w:hint="eastAsia"/>
        </w:rPr>
        <w:t>激增</w:t>
      </w:r>
      <w:r>
        <w:t>63%</w:t>
      </w:r>
      <w:r w:rsidR="00D15040">
        <w:rPr>
          <w:rFonts w:hint="eastAsia"/>
        </w:rPr>
        <w:t>，城投、大数据公司等通过</w:t>
      </w:r>
      <w:r>
        <w:rPr>
          <w:rFonts w:hint="eastAsia"/>
        </w:rPr>
        <w:t>资源</w:t>
      </w:r>
      <w:r w:rsidR="00D15040">
        <w:rPr>
          <w:rFonts w:hint="eastAsia"/>
        </w:rPr>
        <w:t>整合</w:t>
      </w:r>
      <w:r>
        <w:rPr>
          <w:rFonts w:hint="eastAsia"/>
        </w:rPr>
        <w:t>承接政府需求，</w:t>
      </w:r>
      <w:r w:rsidR="00D15040">
        <w:rPr>
          <w:rFonts w:hint="eastAsia"/>
        </w:rPr>
        <w:t>主导直接招标</w:t>
      </w:r>
      <w:r>
        <w:rPr>
          <w:rFonts w:hint="eastAsia"/>
        </w:rPr>
        <w:t>。</w:t>
      </w:r>
    </w:p>
    <w:p w:rsidR="008D6378" w:rsidRDefault="00D15040">
      <w:pPr>
        <w:ind w:firstLine="482"/>
      </w:pPr>
      <w:r>
        <w:rPr>
          <w:rFonts w:hint="eastAsia"/>
          <w:b/>
        </w:rPr>
        <w:t>项目单价二八定律</w:t>
      </w:r>
      <w:r w:rsidR="008763C5">
        <w:rPr>
          <w:rFonts w:hint="eastAsia"/>
          <w:b/>
        </w:rPr>
        <w:t>凸显，大单主导市场份额。</w:t>
      </w:r>
      <w:r w:rsidRPr="00D15040">
        <w:rPr>
          <w:rFonts w:hint="eastAsia"/>
        </w:rPr>
        <w:t>单价超</w:t>
      </w:r>
      <w:r w:rsidRPr="00D15040">
        <w:t>200万项目数量占21%、金额占82%，其中1000万以上超大单占比4%却贡献超50%市场份额</w:t>
      </w:r>
      <w:r>
        <w:rPr>
          <w:rFonts w:hint="eastAsia"/>
        </w:rPr>
        <w:t xml:space="preserve">。 </w:t>
      </w:r>
      <w:r w:rsidR="008763C5">
        <w:rPr>
          <w:rFonts w:hint="eastAsia"/>
        </w:rPr>
        <w:t>2</w:t>
      </w:r>
      <w:r w:rsidR="008763C5">
        <w:t>025</w:t>
      </w:r>
      <w:r w:rsidR="008763C5">
        <w:rPr>
          <w:rFonts w:hint="eastAsia"/>
        </w:rPr>
        <w:t>年</w:t>
      </w:r>
      <w:r>
        <w:rPr>
          <w:rFonts w:hint="eastAsia"/>
        </w:rPr>
        <w:t>超长期特别国债等</w:t>
      </w:r>
      <w:r w:rsidR="008763C5">
        <w:rPr>
          <w:rFonts w:hint="eastAsia"/>
        </w:rPr>
        <w:t>资金使用将继续遵循</w:t>
      </w:r>
      <w:r w:rsidR="008763C5">
        <w:t>“保重点、强示范”</w:t>
      </w:r>
      <w:r>
        <w:t>原则</w:t>
      </w:r>
      <w:r w:rsidR="008763C5">
        <w:t>，倒逼地方政府将分散需求整合为大单招标</w:t>
      </w:r>
      <w:r w:rsidR="008763C5">
        <w:rPr>
          <w:rFonts w:hint="eastAsia"/>
        </w:rPr>
        <w:t>。</w:t>
      </w:r>
    </w:p>
    <w:bookmarkEnd w:id="1"/>
    <w:p w:rsidR="008D6378" w:rsidRDefault="008763C5">
      <w:pPr>
        <w:ind w:firstLineChars="0" w:firstLine="0"/>
        <w:jc w:val="center"/>
      </w:pPr>
      <w:r>
        <w:rPr>
          <w:noProof/>
        </w:rPr>
        <w:drawing>
          <wp:inline distT="0" distB="0" distL="0" distR="0">
            <wp:extent cx="5170714" cy="31442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173933" cy="3146163"/>
                    </a:xfrm>
                    <a:prstGeom prst="rect">
                      <a:avLst/>
                    </a:prstGeom>
                    <a:noFill/>
                    <a:ln>
                      <a:noFill/>
                    </a:ln>
                  </pic:spPr>
                </pic:pic>
              </a:graphicData>
            </a:graphic>
          </wp:inline>
        </w:drawing>
      </w:r>
    </w:p>
    <w:p w:rsidR="008D6378" w:rsidRDefault="008763C5">
      <w:pPr>
        <w:ind w:firstLineChars="0" w:firstLine="0"/>
        <w:jc w:val="center"/>
      </w:pPr>
      <w:r>
        <w:rPr>
          <w:rFonts w:hint="eastAsia"/>
          <w:sz w:val="22"/>
        </w:rPr>
        <w:t>图1：2</w:t>
      </w:r>
      <w:r>
        <w:rPr>
          <w:sz w:val="22"/>
        </w:rPr>
        <w:t>024</w:t>
      </w:r>
      <w:r>
        <w:rPr>
          <w:rFonts w:hint="eastAsia"/>
          <w:sz w:val="22"/>
        </w:rPr>
        <w:t>年公开市场产数项目规模及县域、运营商份额情况</w:t>
      </w:r>
    </w:p>
    <w:p w:rsidR="008D6378" w:rsidRDefault="00D02807">
      <w:pPr>
        <w:pStyle w:val="2"/>
        <w:numPr>
          <w:ilvl w:val="0"/>
          <w:numId w:val="1"/>
        </w:numPr>
      </w:pPr>
      <w:r>
        <w:rPr>
          <w:rFonts w:hint="eastAsia"/>
        </w:rPr>
        <w:t>运营商中标</w:t>
      </w:r>
      <w:r w:rsidR="00393510">
        <w:rPr>
          <w:rFonts w:hint="eastAsia"/>
        </w:rPr>
        <w:t>表现</w:t>
      </w:r>
      <w:r w:rsidR="00BE123B">
        <w:rPr>
          <w:rFonts w:hint="eastAsia"/>
        </w:rPr>
        <w:t>及发展趋势</w:t>
      </w:r>
    </w:p>
    <w:p w:rsidR="008D6378" w:rsidRDefault="008763C5">
      <w:pPr>
        <w:pStyle w:val="3"/>
      </w:pPr>
      <w:r>
        <w:rPr>
          <w:rFonts w:hint="eastAsia"/>
        </w:rPr>
        <w:t>2</w:t>
      </w:r>
      <w:r>
        <w:t>.</w:t>
      </w:r>
      <w:r>
        <w:rPr>
          <w:rFonts w:hint="eastAsia"/>
        </w:rPr>
        <w:t>1运营商东部产数市场分化加剧</w:t>
      </w:r>
      <w:r>
        <w:t>，县域</w:t>
      </w:r>
      <w:r>
        <w:rPr>
          <w:rFonts w:hint="eastAsia"/>
        </w:rPr>
        <w:t>市场加速抢占</w:t>
      </w:r>
    </w:p>
    <w:p w:rsidR="008D6378" w:rsidRDefault="004B20D2" w:rsidP="00D15040">
      <w:pPr>
        <w:ind w:firstLine="482"/>
      </w:pPr>
      <w:r>
        <w:rPr>
          <w:rFonts w:hint="eastAsia"/>
          <w:b/>
        </w:rPr>
        <w:t>东部移动领跑，联通稳中求进，电信增速下滑</w:t>
      </w:r>
      <w:r w:rsidR="008763C5">
        <w:rPr>
          <w:rFonts w:hint="eastAsia"/>
          <w:b/>
        </w:rPr>
        <w:t>。</w:t>
      </w:r>
      <w:r w:rsidR="00D15040" w:rsidRPr="00D15040">
        <w:rPr>
          <w:rFonts w:hint="eastAsia"/>
        </w:rPr>
        <w:t>东部省份运营商中标份额达</w:t>
      </w:r>
      <w:r w:rsidR="00D15040" w:rsidRPr="00D15040">
        <w:t>20%（高于中西部及北方），但内部竞争加剧</w:t>
      </w:r>
      <w:r w:rsidR="00D15040">
        <w:rPr>
          <w:rFonts w:hint="eastAsia"/>
        </w:rPr>
        <w:t>。</w:t>
      </w:r>
      <w:r w:rsidR="008763C5">
        <w:t>移动以44%份额领跑，启动AI+行动计划，针对政企打造AI产品族</w:t>
      </w:r>
      <w:r w:rsidR="00470FC8">
        <w:rPr>
          <w:rFonts w:hint="eastAsia"/>
        </w:rPr>
        <w:t>，提升云网算力服务、</w:t>
      </w:r>
      <w:r w:rsidR="00470FC8" w:rsidRPr="00470FC8">
        <w:t>数据产品</w:t>
      </w:r>
      <w:r w:rsidR="00470FC8">
        <w:rPr>
          <w:rFonts w:hint="eastAsia"/>
        </w:rPr>
        <w:t>等项目竞争力</w:t>
      </w:r>
      <w:r w:rsidR="008763C5">
        <w:rPr>
          <w:rFonts w:hint="eastAsia"/>
        </w:rPr>
        <w:t>。</w:t>
      </w:r>
      <w:r w:rsidR="008763C5">
        <w:t>联通同比</w:t>
      </w:r>
      <w:r w:rsidR="008763C5">
        <w:rPr>
          <w:rFonts w:hint="eastAsia"/>
        </w:rPr>
        <w:t>增长8</w:t>
      </w:r>
      <w:r w:rsidR="008763C5">
        <w:t>%，</w:t>
      </w:r>
      <w:r w:rsidR="00D15040" w:rsidRPr="00D15040">
        <w:rPr>
          <w:rFonts w:hint="eastAsia"/>
        </w:rPr>
        <w:t>依托“数据治理</w:t>
      </w:r>
      <w:r w:rsidR="00D15040" w:rsidRPr="00D15040">
        <w:t>+隐私计算”双引擎，布局医疗、工业数据智能分析平台</w:t>
      </w:r>
      <w:r w:rsidR="008763C5">
        <w:rPr>
          <w:rFonts w:hint="eastAsia"/>
        </w:rPr>
        <w:t>。</w:t>
      </w:r>
      <w:r w:rsidR="00A70393">
        <w:rPr>
          <w:rFonts w:hint="eastAsia"/>
        </w:rPr>
        <w:t>电信在</w:t>
      </w:r>
      <w:r w:rsidR="00D15040" w:rsidRPr="00D15040">
        <w:rPr>
          <w:rFonts w:hint="eastAsia"/>
        </w:rPr>
        <w:t>浙江、广东等传统优势区增速下滑</w:t>
      </w:r>
      <w:r w:rsidR="00D15040">
        <w:rPr>
          <w:rFonts w:hint="eastAsia"/>
        </w:rPr>
        <w:t>，</w:t>
      </w:r>
      <w:r w:rsidR="00D15040" w:rsidRPr="00D15040">
        <w:rPr>
          <w:rFonts w:hint="eastAsia"/>
        </w:rPr>
        <w:t>需突破业务增长瓶颈</w:t>
      </w:r>
      <w:r w:rsidR="00D15040">
        <w:rPr>
          <w:rFonts w:hint="eastAsia"/>
        </w:rPr>
        <w:t>。</w:t>
      </w:r>
    </w:p>
    <w:p w:rsidR="008D6378" w:rsidRDefault="00A70393">
      <w:pPr>
        <w:ind w:firstLine="482"/>
      </w:pPr>
      <w:r>
        <w:rPr>
          <w:rFonts w:hint="eastAsia"/>
          <w:b/>
        </w:rPr>
        <w:t>中西部县域市场高速增长，</w:t>
      </w:r>
      <w:r w:rsidR="00D15040">
        <w:rPr>
          <w:rFonts w:hint="eastAsia"/>
          <w:b/>
        </w:rPr>
        <w:t>运营商竞争激烈</w:t>
      </w:r>
      <w:r w:rsidR="008763C5">
        <w:rPr>
          <w:rFonts w:hint="eastAsia"/>
          <w:b/>
        </w:rPr>
        <w:t>。</w:t>
      </w:r>
      <w:r w:rsidR="008763C5">
        <w:rPr>
          <w:rFonts w:hint="eastAsia"/>
        </w:rPr>
        <w:t>运营商在县域市场中标规模同比增长3</w:t>
      </w:r>
      <w:r w:rsidR="008763C5">
        <w:t>4%</w:t>
      </w:r>
      <w:r w:rsidR="008763C5">
        <w:rPr>
          <w:rFonts w:hint="eastAsia"/>
        </w:rPr>
        <w:t>，</w:t>
      </w:r>
      <w:r w:rsidR="009168BB">
        <w:rPr>
          <w:rFonts w:hint="eastAsia"/>
        </w:rPr>
        <w:t>远</w:t>
      </w:r>
      <w:r w:rsidR="008763C5">
        <w:rPr>
          <w:rFonts w:hint="eastAsia"/>
        </w:rPr>
        <w:t>高于整体市场增速，其中中西部同比增速4</w:t>
      </w:r>
      <w:r w:rsidR="008763C5">
        <w:t>9%</w:t>
      </w:r>
      <w:r w:rsidR="008763C5">
        <w:rPr>
          <w:rFonts w:hint="eastAsia"/>
        </w:rPr>
        <w:t>，是县域核心增长</w:t>
      </w:r>
      <w:r w:rsidR="00F662DC">
        <w:rPr>
          <w:rFonts w:hint="eastAsia"/>
        </w:rPr>
        <w:lastRenderedPageBreak/>
        <w:t>引擎，移动、电信中标规模相当。此</w:t>
      </w:r>
      <w:r w:rsidR="008763C5">
        <w:rPr>
          <w:rFonts w:hint="eastAsia"/>
        </w:rPr>
        <w:t>外，移动、联通在东部</w:t>
      </w:r>
      <w:r w:rsidR="004B20D2">
        <w:rPr>
          <w:rFonts w:hint="eastAsia"/>
        </w:rPr>
        <w:t>不断</w:t>
      </w:r>
      <w:r w:rsidR="004B20D2">
        <w:t>深化与地方国企</w:t>
      </w:r>
      <w:r w:rsidR="004B20D2">
        <w:rPr>
          <w:rFonts w:hint="eastAsia"/>
        </w:rPr>
        <w:t>、科技巨头</w:t>
      </w:r>
      <w:r w:rsidR="004B20D2">
        <w:t>合作</w:t>
      </w:r>
      <w:r w:rsidR="004B20D2">
        <w:rPr>
          <w:rFonts w:hint="eastAsia"/>
        </w:rPr>
        <w:t>，</w:t>
      </w:r>
      <w:r w:rsidR="008763C5">
        <w:rPr>
          <w:rFonts w:hint="eastAsia"/>
        </w:rPr>
        <w:t>县域</w:t>
      </w:r>
      <w:r w:rsidR="00EC1A5B">
        <w:rPr>
          <w:rFonts w:hint="eastAsia"/>
        </w:rPr>
        <w:t>中标</w:t>
      </w:r>
      <w:r w:rsidR="008763C5">
        <w:rPr>
          <w:rFonts w:hint="eastAsia"/>
        </w:rPr>
        <w:t>增长较快</w:t>
      </w:r>
      <w:r w:rsidR="004B20D2">
        <w:rPr>
          <w:rFonts w:hint="eastAsia"/>
        </w:rPr>
        <w:t>，</w:t>
      </w:r>
      <w:r w:rsidR="008763C5">
        <w:rPr>
          <w:rFonts w:hint="eastAsia"/>
        </w:rPr>
        <w:t>如移动与阿里在浙江县域合作建设</w:t>
      </w:r>
      <w:r w:rsidR="008763C5">
        <w:t>AI数据中心，提升云计算</w:t>
      </w:r>
      <w:r w:rsidR="008763C5">
        <w:rPr>
          <w:rFonts w:hint="eastAsia"/>
        </w:rPr>
        <w:t>项目中标份额。电信在北方县域市场领涨</w:t>
      </w:r>
      <w:r w:rsidR="004B20D2">
        <w:rPr>
          <w:rFonts w:hint="eastAsia"/>
        </w:rPr>
        <w:t>，但规模</w:t>
      </w:r>
      <w:r w:rsidR="008763C5">
        <w:rPr>
          <w:rFonts w:hint="eastAsia"/>
        </w:rPr>
        <w:t>较少，数字乡村、社会治理等领域处于加速渗透期。2</w:t>
      </w:r>
      <w:r w:rsidR="008763C5">
        <w:t>025</w:t>
      </w:r>
      <w:r w:rsidR="008763C5">
        <w:rPr>
          <w:rFonts w:hint="eastAsia"/>
        </w:rPr>
        <w:t>年县域市场仍将是运营商在产数市场的核心增长极，市场竞争将愈发激烈。</w:t>
      </w:r>
    </w:p>
    <w:p w:rsidR="008D6378" w:rsidRDefault="008763C5">
      <w:pPr>
        <w:ind w:firstLineChars="0" w:firstLine="482"/>
        <w:jc w:val="center"/>
      </w:pPr>
      <w:r>
        <w:rPr>
          <w:rFonts w:hint="eastAsia"/>
          <w:sz w:val="22"/>
        </w:rPr>
        <w:t>表1：全国县域市场三大运营商中标情况</w:t>
      </w:r>
    </w:p>
    <w:tbl>
      <w:tblPr>
        <w:tblpPr w:leftFromText="180" w:rightFromText="180" w:vertAnchor="text" w:horzAnchor="page" w:tblpXSpec="center" w:tblpY="67"/>
        <w:tblOverlap w:val="never"/>
        <w:tblW w:w="4811" w:type="pct"/>
        <w:tblLayout w:type="fixed"/>
        <w:tblLook w:val="04A0" w:firstRow="1" w:lastRow="0" w:firstColumn="1" w:lastColumn="0" w:noHBand="0" w:noVBand="1"/>
      </w:tblPr>
      <w:tblGrid>
        <w:gridCol w:w="833"/>
        <w:gridCol w:w="860"/>
        <w:gridCol w:w="828"/>
        <w:gridCol w:w="818"/>
        <w:gridCol w:w="844"/>
        <w:gridCol w:w="875"/>
        <w:gridCol w:w="849"/>
        <w:gridCol w:w="1044"/>
        <w:gridCol w:w="1031"/>
      </w:tblGrid>
      <w:tr w:rsidR="008D6378">
        <w:trPr>
          <w:trHeight w:val="315"/>
        </w:trPr>
        <w:tc>
          <w:tcPr>
            <w:tcW w:w="521"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区域</w:t>
            </w:r>
          </w:p>
        </w:tc>
        <w:tc>
          <w:tcPr>
            <w:tcW w:w="538"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电信中标金额</w:t>
            </w:r>
          </w:p>
        </w:tc>
        <w:tc>
          <w:tcPr>
            <w:tcW w:w="518"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电信同比增长</w:t>
            </w:r>
          </w:p>
        </w:tc>
        <w:tc>
          <w:tcPr>
            <w:tcW w:w="512"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移动中标金额</w:t>
            </w:r>
          </w:p>
        </w:tc>
        <w:tc>
          <w:tcPr>
            <w:tcW w:w="528"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移动同比增长</w:t>
            </w:r>
          </w:p>
        </w:tc>
        <w:tc>
          <w:tcPr>
            <w:tcW w:w="548"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联通中标金额</w:t>
            </w:r>
          </w:p>
        </w:tc>
        <w:tc>
          <w:tcPr>
            <w:tcW w:w="532"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联通同比增长</w:t>
            </w:r>
          </w:p>
        </w:tc>
        <w:tc>
          <w:tcPr>
            <w:tcW w:w="654"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运营商中标金额</w:t>
            </w:r>
          </w:p>
        </w:tc>
        <w:tc>
          <w:tcPr>
            <w:tcW w:w="646" w:type="pct"/>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0"/>
                <w:szCs w:val="20"/>
              </w:rPr>
            </w:pPr>
            <w:r>
              <w:rPr>
                <w:rFonts w:ascii="宋体" w:eastAsia="宋体" w:hAnsi="宋体" w:cs="宋体" w:hint="eastAsia"/>
                <w:b/>
                <w:bCs/>
                <w:color w:val="FFFFFF"/>
                <w:kern w:val="0"/>
                <w:sz w:val="20"/>
                <w:szCs w:val="20"/>
              </w:rPr>
              <w:t>运营商同比增长</w:t>
            </w:r>
          </w:p>
        </w:tc>
      </w:tr>
      <w:tr w:rsidR="008D6378">
        <w:trPr>
          <w:trHeight w:val="179"/>
        </w:trPr>
        <w:tc>
          <w:tcPr>
            <w:tcW w:w="521"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东部</w:t>
            </w:r>
          </w:p>
        </w:tc>
        <w:tc>
          <w:tcPr>
            <w:tcW w:w="538"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126亿</w:t>
            </w:r>
          </w:p>
        </w:tc>
        <w:tc>
          <w:tcPr>
            <w:tcW w:w="518"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16%</w:t>
            </w:r>
          </w:p>
        </w:tc>
        <w:tc>
          <w:tcPr>
            <w:tcW w:w="512"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145亿</w:t>
            </w:r>
          </w:p>
        </w:tc>
        <w:tc>
          <w:tcPr>
            <w:tcW w:w="528"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FF0000"/>
                <w:kern w:val="0"/>
                <w:sz w:val="18"/>
                <w:szCs w:val="18"/>
              </w:rPr>
              <w:t>38%</w:t>
            </w:r>
          </w:p>
        </w:tc>
        <w:tc>
          <w:tcPr>
            <w:tcW w:w="548"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47亿</w:t>
            </w:r>
          </w:p>
        </w:tc>
        <w:tc>
          <w:tcPr>
            <w:tcW w:w="532"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37%</w:t>
            </w:r>
          </w:p>
        </w:tc>
        <w:tc>
          <w:tcPr>
            <w:tcW w:w="654"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318亿</w:t>
            </w:r>
          </w:p>
        </w:tc>
        <w:tc>
          <w:tcPr>
            <w:tcW w:w="646"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28%</w:t>
            </w:r>
          </w:p>
        </w:tc>
      </w:tr>
      <w:tr w:rsidR="008D6378">
        <w:trPr>
          <w:trHeight w:val="283"/>
        </w:trPr>
        <w:tc>
          <w:tcPr>
            <w:tcW w:w="521"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中西部</w:t>
            </w:r>
          </w:p>
        </w:tc>
        <w:tc>
          <w:tcPr>
            <w:tcW w:w="538"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140亿</w:t>
            </w:r>
          </w:p>
        </w:tc>
        <w:tc>
          <w:tcPr>
            <w:tcW w:w="518" w:type="pct"/>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43%</w:t>
            </w:r>
          </w:p>
        </w:tc>
        <w:tc>
          <w:tcPr>
            <w:tcW w:w="512"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143亿</w:t>
            </w:r>
          </w:p>
        </w:tc>
        <w:tc>
          <w:tcPr>
            <w:tcW w:w="528"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FF0000"/>
                <w:kern w:val="0"/>
                <w:sz w:val="18"/>
                <w:szCs w:val="18"/>
              </w:rPr>
              <w:t>57%</w:t>
            </w:r>
          </w:p>
        </w:tc>
        <w:tc>
          <w:tcPr>
            <w:tcW w:w="548"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63亿</w:t>
            </w:r>
          </w:p>
        </w:tc>
        <w:tc>
          <w:tcPr>
            <w:tcW w:w="532"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42%</w:t>
            </w:r>
          </w:p>
        </w:tc>
        <w:tc>
          <w:tcPr>
            <w:tcW w:w="654"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346亿</w:t>
            </w:r>
          </w:p>
        </w:tc>
        <w:tc>
          <w:tcPr>
            <w:tcW w:w="646" w:type="pct"/>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49%</w:t>
            </w:r>
          </w:p>
        </w:tc>
      </w:tr>
      <w:tr w:rsidR="008D6378">
        <w:trPr>
          <w:trHeight w:val="242"/>
        </w:trPr>
        <w:tc>
          <w:tcPr>
            <w:tcW w:w="521"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北方</w:t>
            </w:r>
          </w:p>
        </w:tc>
        <w:tc>
          <w:tcPr>
            <w:tcW w:w="538"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25亿</w:t>
            </w:r>
          </w:p>
        </w:tc>
        <w:tc>
          <w:tcPr>
            <w:tcW w:w="518"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FF0000"/>
                <w:kern w:val="0"/>
                <w:sz w:val="18"/>
                <w:szCs w:val="18"/>
              </w:rPr>
              <w:t>35%</w:t>
            </w:r>
          </w:p>
        </w:tc>
        <w:tc>
          <w:tcPr>
            <w:tcW w:w="512"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55亿</w:t>
            </w:r>
          </w:p>
        </w:tc>
        <w:tc>
          <w:tcPr>
            <w:tcW w:w="528"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20%</w:t>
            </w:r>
          </w:p>
        </w:tc>
        <w:tc>
          <w:tcPr>
            <w:tcW w:w="548"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51亿</w:t>
            </w:r>
          </w:p>
        </w:tc>
        <w:tc>
          <w:tcPr>
            <w:tcW w:w="532"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6%</w:t>
            </w:r>
          </w:p>
        </w:tc>
        <w:tc>
          <w:tcPr>
            <w:tcW w:w="654"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131亿</w:t>
            </w:r>
          </w:p>
        </w:tc>
        <w:tc>
          <w:tcPr>
            <w:tcW w:w="646" w:type="pct"/>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16%</w:t>
            </w:r>
          </w:p>
        </w:tc>
      </w:tr>
      <w:tr w:rsidR="008D6378">
        <w:trPr>
          <w:trHeight w:val="242"/>
        </w:trPr>
        <w:tc>
          <w:tcPr>
            <w:tcW w:w="521"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全国</w:t>
            </w:r>
          </w:p>
        </w:tc>
        <w:tc>
          <w:tcPr>
            <w:tcW w:w="538"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291亿</w:t>
            </w:r>
          </w:p>
        </w:tc>
        <w:tc>
          <w:tcPr>
            <w:tcW w:w="518"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30%</w:t>
            </w:r>
          </w:p>
        </w:tc>
        <w:tc>
          <w:tcPr>
            <w:tcW w:w="512"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343亿</w:t>
            </w:r>
          </w:p>
        </w:tc>
        <w:tc>
          <w:tcPr>
            <w:tcW w:w="528"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FF0000"/>
                <w:kern w:val="0"/>
                <w:sz w:val="18"/>
                <w:szCs w:val="18"/>
              </w:rPr>
              <w:t>42%</w:t>
            </w:r>
          </w:p>
        </w:tc>
        <w:tc>
          <w:tcPr>
            <w:tcW w:w="548"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161亿</w:t>
            </w:r>
          </w:p>
        </w:tc>
        <w:tc>
          <w:tcPr>
            <w:tcW w:w="532"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27%</w:t>
            </w:r>
          </w:p>
        </w:tc>
        <w:tc>
          <w:tcPr>
            <w:tcW w:w="654"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795亿</w:t>
            </w:r>
          </w:p>
        </w:tc>
        <w:tc>
          <w:tcPr>
            <w:tcW w:w="646" w:type="pct"/>
            <w:tcBorders>
              <w:top w:val="single" w:sz="4" w:space="0" w:color="auto"/>
              <w:left w:val="single" w:sz="4" w:space="0" w:color="auto"/>
              <w:bottom w:val="single" w:sz="4" w:space="0" w:color="auto"/>
              <w:right w:val="single" w:sz="4" w:space="0" w:color="auto"/>
            </w:tcBorders>
            <w:shd w:val="clear" w:color="DDEBF7" w:fill="auto"/>
            <w:noWrap/>
            <w:vAlign w:val="center"/>
          </w:tcPr>
          <w:p w:rsidR="008D6378" w:rsidRDefault="008763C5">
            <w:pPr>
              <w:widowControl/>
              <w:spacing w:line="240" w:lineRule="auto"/>
              <w:ind w:firstLineChars="0" w:firstLine="0"/>
              <w:jc w:val="center"/>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34%</w:t>
            </w:r>
          </w:p>
        </w:tc>
      </w:tr>
    </w:tbl>
    <w:p w:rsidR="008D6378" w:rsidRDefault="008763C5">
      <w:pPr>
        <w:pStyle w:val="3"/>
      </w:pPr>
      <w:r>
        <w:rPr>
          <w:rFonts w:hint="eastAsia"/>
        </w:rPr>
        <w:t>2</w:t>
      </w:r>
      <w:r>
        <w:t>.</w:t>
      </w:r>
      <w:r>
        <w:rPr>
          <w:rFonts w:hint="eastAsia"/>
        </w:rPr>
        <w:t>2</w:t>
      </w:r>
      <w:r>
        <w:t xml:space="preserve"> </w:t>
      </w:r>
      <w:r>
        <w:rPr>
          <w:rFonts w:hint="eastAsia"/>
        </w:rPr>
        <w:t>运营商在政务、医疗等传统领域具有优势，能源、制造、农业及水利等高增长赛道渗透不足</w:t>
      </w:r>
    </w:p>
    <w:p w:rsidR="008D6378" w:rsidRDefault="008763C5">
      <w:pPr>
        <w:ind w:firstLine="482"/>
        <w:rPr>
          <w:bCs/>
        </w:rPr>
      </w:pPr>
      <w:r>
        <w:rPr>
          <w:rFonts w:hint="eastAsia"/>
          <w:b/>
          <w:bCs/>
        </w:rPr>
        <w:t>移动、联通布局医疗创新驱动高速增长</w:t>
      </w:r>
      <w:r w:rsidR="004B20D2">
        <w:rPr>
          <w:rFonts w:hint="eastAsia"/>
          <w:bCs/>
        </w:rPr>
        <w:t>。在</w:t>
      </w:r>
      <w:r>
        <w:rPr>
          <w:rFonts w:hint="eastAsia"/>
          <w:bCs/>
        </w:rPr>
        <w:t>政务、医疗等传统优势领域，运营商保持</w:t>
      </w:r>
      <w:r>
        <w:rPr>
          <w:bCs/>
        </w:rPr>
        <w:t>20%</w:t>
      </w:r>
      <w:r w:rsidR="004B20D2">
        <w:rPr>
          <w:bCs/>
        </w:rPr>
        <w:t>以上市场份额</w:t>
      </w:r>
      <w:r w:rsidR="004B20D2">
        <w:rPr>
          <w:rFonts w:hint="eastAsia"/>
          <w:bCs/>
        </w:rPr>
        <w:t>，</w:t>
      </w:r>
      <w:r>
        <w:rPr>
          <w:rFonts w:hint="eastAsia"/>
          <w:bCs/>
        </w:rPr>
        <w:t>其中移动、联通加速智慧医疗细分场景能力创新，中标规模翻倍。如移动（增速</w:t>
      </w:r>
      <w:r>
        <w:rPr>
          <w:bCs/>
        </w:rPr>
        <w:t>98%）</w:t>
      </w:r>
      <w:r>
        <w:rPr>
          <w:rFonts w:hint="eastAsia"/>
          <w:bCs/>
        </w:rPr>
        <w:t>在医疗平台类项目中，</w:t>
      </w:r>
      <w:r>
        <w:rPr>
          <w:bCs/>
        </w:rPr>
        <w:t>依托OneHealth</w:t>
      </w:r>
      <w:r>
        <w:rPr>
          <w:rFonts w:hint="eastAsia"/>
          <w:bCs/>
        </w:rPr>
        <w:t>和</w:t>
      </w:r>
      <w:r>
        <w:rPr>
          <w:bCs/>
        </w:rPr>
        <w:t>“连接+算力+能力”优势，</w:t>
      </w:r>
      <w:r w:rsidR="004B20D2">
        <w:rPr>
          <w:rFonts w:hint="eastAsia"/>
          <w:bCs/>
        </w:rPr>
        <w:t>构建覆盖院前急救、远程诊疗、智慧院区等全链条场景的解决方案</w:t>
      </w:r>
      <w:r>
        <w:rPr>
          <w:rFonts w:hint="eastAsia"/>
          <w:bCs/>
        </w:rPr>
        <w:t>；</w:t>
      </w:r>
      <w:r>
        <w:rPr>
          <w:bCs/>
        </w:rPr>
        <w:t>联通（增速139%）</w:t>
      </w:r>
      <w:r>
        <w:rPr>
          <w:rFonts w:hint="eastAsia"/>
          <w:bCs/>
        </w:rPr>
        <w:t>在A</w:t>
      </w:r>
      <w:r>
        <w:rPr>
          <w:bCs/>
        </w:rPr>
        <w:t>I+</w:t>
      </w:r>
      <w:r>
        <w:rPr>
          <w:rFonts w:hint="eastAsia"/>
          <w:bCs/>
        </w:rPr>
        <w:t>医疗类项目中，重点发力数据要素应用和</w:t>
      </w:r>
      <w:r>
        <w:rPr>
          <w:bCs/>
        </w:rPr>
        <w:t>AI大模型</w:t>
      </w:r>
      <w:r>
        <w:rPr>
          <w:rFonts w:hint="eastAsia"/>
          <w:bCs/>
        </w:rPr>
        <w:t>，</w:t>
      </w:r>
      <w:r>
        <w:rPr>
          <w:bCs/>
        </w:rPr>
        <w:t>为北京协和医院、中山三院等2000余家医疗机构提供数智服务</w:t>
      </w:r>
      <w:r>
        <w:rPr>
          <w:rFonts w:hint="eastAsia"/>
          <w:bCs/>
        </w:rPr>
        <w:t>。电信（增速</w:t>
      </w:r>
      <w:r>
        <w:rPr>
          <w:bCs/>
        </w:rPr>
        <w:t>32%）</w:t>
      </w:r>
      <w:r>
        <w:rPr>
          <w:rFonts w:hint="eastAsia"/>
          <w:bCs/>
        </w:rPr>
        <w:t>主要聚焦三甲医院等数字化项目，</w:t>
      </w:r>
      <w:r>
        <w:rPr>
          <w:bCs/>
        </w:rPr>
        <w:t>AI辅助诊断</w:t>
      </w:r>
      <w:r>
        <w:rPr>
          <w:rFonts w:hint="eastAsia"/>
          <w:bCs/>
        </w:rPr>
        <w:t>等</w:t>
      </w:r>
      <w:r>
        <w:rPr>
          <w:bCs/>
        </w:rPr>
        <w:t>场景</w:t>
      </w:r>
      <w:r>
        <w:rPr>
          <w:rFonts w:hint="eastAsia"/>
          <w:bCs/>
        </w:rPr>
        <w:t>中标落后</w:t>
      </w:r>
      <w:r>
        <w:rPr>
          <w:bCs/>
        </w:rPr>
        <w:t>友商</w:t>
      </w:r>
      <w:r>
        <w:rPr>
          <w:rFonts w:hint="eastAsia"/>
          <w:bCs/>
        </w:rPr>
        <w:t>。</w:t>
      </w:r>
    </w:p>
    <w:p w:rsidR="008D6378" w:rsidRDefault="009168BB" w:rsidP="004B20D2">
      <w:pPr>
        <w:ind w:firstLine="482"/>
        <w:rPr>
          <w:bCs/>
        </w:rPr>
      </w:pPr>
      <w:r w:rsidRPr="009168BB">
        <w:rPr>
          <w:rFonts w:hint="eastAsia"/>
          <w:b/>
          <w:bCs/>
        </w:rPr>
        <w:t>高增长赛道渗透不足</w:t>
      </w:r>
      <w:r>
        <w:rPr>
          <w:rFonts w:hint="eastAsia"/>
          <w:b/>
          <w:bCs/>
        </w:rPr>
        <w:t>，移动加强能源领域合作</w:t>
      </w:r>
      <w:r w:rsidR="008763C5">
        <w:rPr>
          <w:rFonts w:hint="eastAsia"/>
          <w:b/>
          <w:bCs/>
        </w:rPr>
        <w:t>。</w:t>
      </w:r>
      <w:r w:rsidR="008763C5">
        <w:rPr>
          <w:rFonts w:hint="eastAsia"/>
          <w:bCs/>
        </w:rPr>
        <w:t>智慧农业及水利、能源、制造等赛道增长超5</w:t>
      </w:r>
      <w:r w:rsidR="008763C5">
        <w:rPr>
          <w:bCs/>
        </w:rPr>
        <w:t>0%</w:t>
      </w:r>
      <w:r w:rsidR="008763C5">
        <w:rPr>
          <w:rFonts w:hint="eastAsia"/>
          <w:bCs/>
        </w:rPr>
        <w:t>，但运营商整体渗透率仅</w:t>
      </w:r>
      <w:r w:rsidR="008763C5">
        <w:rPr>
          <w:bCs/>
        </w:rPr>
        <w:t>12%，呈现出“规模增速背离”的结构性矛盾。</w:t>
      </w:r>
      <w:r w:rsidR="004B20D2">
        <w:rPr>
          <w:rFonts w:hint="eastAsia"/>
          <w:bCs/>
        </w:rPr>
        <w:t>其中移动在能源领域深化合作，</w:t>
      </w:r>
      <w:r w:rsidR="008763C5">
        <w:rPr>
          <w:bCs/>
        </w:rPr>
        <w:t>以32%</w:t>
      </w:r>
      <w:r w:rsidR="004B20D2">
        <w:rPr>
          <w:bCs/>
        </w:rPr>
        <w:t>增速</w:t>
      </w:r>
      <w:r w:rsidR="004B20D2">
        <w:rPr>
          <w:rFonts w:hint="eastAsia"/>
          <w:bCs/>
        </w:rPr>
        <w:t>逆势增长</w:t>
      </w:r>
      <w:r w:rsidR="008763C5">
        <w:rPr>
          <w:bCs/>
        </w:rPr>
        <w:t>，</w:t>
      </w:r>
      <w:r w:rsidR="004B20D2">
        <w:rPr>
          <w:rFonts w:hint="eastAsia"/>
          <w:bCs/>
        </w:rPr>
        <w:t>如</w:t>
      </w:r>
      <w:r w:rsidR="008763C5">
        <w:rPr>
          <w:bCs/>
        </w:rPr>
        <w:t>联合北京易控智驾、宏河百利矿</w:t>
      </w:r>
      <w:r w:rsidR="008763C5">
        <w:rPr>
          <w:rFonts w:hint="eastAsia"/>
          <w:bCs/>
        </w:rPr>
        <w:t>打造全矿纯电无人驾驶示范标杆项目，</w:t>
      </w:r>
      <w:r w:rsidR="008763C5">
        <w:rPr>
          <w:bCs/>
        </w:rPr>
        <w:t>成为国家能源</w:t>
      </w:r>
      <w:r w:rsidR="008763C5">
        <w:rPr>
          <w:rFonts w:hint="eastAsia"/>
          <w:bCs/>
        </w:rPr>
        <w:t>数字化转型典型实践</w:t>
      </w:r>
      <w:r w:rsidR="008763C5">
        <w:rPr>
          <w:bCs/>
        </w:rPr>
        <w:t>案例。</w:t>
      </w:r>
      <w:r w:rsidR="008763C5">
        <w:rPr>
          <w:rFonts w:hint="eastAsia"/>
          <w:bCs/>
        </w:rPr>
        <w:t>2</w:t>
      </w:r>
      <w:r w:rsidR="008763C5">
        <w:rPr>
          <w:bCs/>
        </w:rPr>
        <w:t>025</w:t>
      </w:r>
      <w:r w:rsidR="00D51685">
        <w:rPr>
          <w:rFonts w:hint="eastAsia"/>
          <w:bCs/>
        </w:rPr>
        <w:t>制造</w:t>
      </w:r>
      <w:r w:rsidR="008763C5">
        <w:rPr>
          <w:rFonts w:hint="eastAsia"/>
          <w:bCs/>
        </w:rPr>
        <w:t>、</w:t>
      </w:r>
      <w:r w:rsidR="00D51685">
        <w:rPr>
          <w:rFonts w:hint="eastAsia"/>
          <w:bCs/>
        </w:rPr>
        <w:t>能源、</w:t>
      </w:r>
      <w:r w:rsidR="008763C5">
        <w:rPr>
          <w:rFonts w:hint="eastAsia"/>
          <w:bCs/>
        </w:rPr>
        <w:t>农业等国家战略领域加大资金投入，将是运营商增收的关键。</w:t>
      </w:r>
    </w:p>
    <w:p w:rsidR="008D6378" w:rsidRDefault="008763C5" w:rsidP="00D51685">
      <w:pPr>
        <w:ind w:firstLineChars="0" w:firstLine="0"/>
        <w:jc w:val="center"/>
      </w:pPr>
      <w:r>
        <w:rPr>
          <w:noProof/>
        </w:rPr>
        <w:lastRenderedPageBreak/>
        <w:drawing>
          <wp:inline distT="0" distB="0" distL="114300" distR="114300">
            <wp:extent cx="5207000" cy="3422406"/>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09247" cy="3423883"/>
                    </a:xfrm>
                    <a:prstGeom prst="rect">
                      <a:avLst/>
                    </a:prstGeom>
                    <a:noFill/>
                    <a:ln>
                      <a:noFill/>
                    </a:ln>
                  </pic:spPr>
                </pic:pic>
              </a:graphicData>
            </a:graphic>
          </wp:inline>
        </w:drawing>
      </w:r>
    </w:p>
    <w:p w:rsidR="008D6378" w:rsidRDefault="008763C5">
      <w:pPr>
        <w:spacing w:line="240" w:lineRule="auto"/>
        <w:ind w:firstLine="320"/>
        <w:jc w:val="right"/>
        <w:rPr>
          <w:rFonts w:eastAsiaTheme="minorEastAsia"/>
          <w:sz w:val="16"/>
          <w:szCs w:val="18"/>
        </w:rPr>
      </w:pPr>
      <w:r>
        <w:rPr>
          <w:rFonts w:hint="eastAsia"/>
          <w:sz w:val="16"/>
          <w:szCs w:val="18"/>
        </w:rPr>
        <w:t>注：圆大小代表业务领域中标规模</w:t>
      </w:r>
    </w:p>
    <w:p w:rsidR="008D6378" w:rsidRDefault="008763C5">
      <w:pPr>
        <w:ind w:firstLineChars="0" w:firstLine="440"/>
        <w:jc w:val="center"/>
      </w:pPr>
      <w:r>
        <w:rPr>
          <w:rFonts w:hint="eastAsia"/>
          <w:sz w:val="22"/>
        </w:rPr>
        <w:t>图</w:t>
      </w:r>
      <w:r>
        <w:rPr>
          <w:sz w:val="22"/>
        </w:rPr>
        <w:t>2</w:t>
      </w:r>
      <w:r>
        <w:rPr>
          <w:rFonts w:hint="eastAsia"/>
          <w:sz w:val="22"/>
        </w:rPr>
        <w:t>：</w:t>
      </w:r>
      <w:r w:rsidR="005764D5">
        <w:rPr>
          <w:rFonts w:hint="eastAsia"/>
          <w:sz w:val="22"/>
        </w:rPr>
        <w:t>产数市场</w:t>
      </w:r>
      <w:r>
        <w:rPr>
          <w:rFonts w:hint="eastAsia"/>
          <w:sz w:val="22"/>
        </w:rPr>
        <w:t>数字经济十大场景增速和运营商份额气泡图</w:t>
      </w:r>
    </w:p>
    <w:p w:rsidR="008D6378" w:rsidRDefault="008763C5">
      <w:pPr>
        <w:pStyle w:val="3"/>
      </w:pPr>
      <w:r>
        <w:rPr>
          <w:rFonts w:hint="eastAsia"/>
        </w:rPr>
        <w:t>2</w:t>
      </w:r>
      <w:r>
        <w:t>.3</w:t>
      </w:r>
      <w:r>
        <w:rPr>
          <w:rFonts w:hint="eastAsia"/>
        </w:rPr>
        <w:t>运营商主导大单中标，与央国企竞合边界动态调整</w:t>
      </w:r>
    </w:p>
    <w:p w:rsidR="008D6378" w:rsidRDefault="001C2EEC">
      <w:pPr>
        <w:ind w:firstLine="482"/>
      </w:pPr>
      <w:r>
        <w:rPr>
          <w:rFonts w:hint="eastAsia"/>
          <w:b/>
        </w:rPr>
        <w:t>移动、电信</w:t>
      </w:r>
      <w:r w:rsidR="008763C5">
        <w:rPr>
          <w:rFonts w:hint="eastAsia"/>
          <w:b/>
        </w:rPr>
        <w:t>主导总包，头部效应显著。</w:t>
      </w:r>
      <w:r w:rsidR="008763C5">
        <w:rPr>
          <w:rFonts w:hint="eastAsia"/>
        </w:rPr>
        <w:t>5</w:t>
      </w:r>
      <w:r w:rsidR="008763C5">
        <w:t>0</w:t>
      </w:r>
      <w:r w:rsidR="008763C5">
        <w:rPr>
          <w:rFonts w:hint="eastAsia"/>
        </w:rPr>
        <w:t>家头部数字化企业</w:t>
      </w:r>
      <w:r w:rsidR="008763C5">
        <w:rPr>
          <w:rStyle w:val="af2"/>
        </w:rPr>
        <w:footnoteReference w:id="2"/>
      </w:r>
      <w:r w:rsidR="009168BB" w:rsidRPr="009168BB">
        <w:rPr>
          <w:rFonts w:hint="eastAsia"/>
        </w:rPr>
        <w:t>占据超</w:t>
      </w:r>
      <w:r w:rsidR="009168BB" w:rsidRPr="009168BB">
        <w:t>25%份额，移动、电信、联通稳居前三，中通服、中电科等央国企同步发力</w:t>
      </w:r>
      <w:r w:rsidR="008763C5">
        <w:rPr>
          <w:rFonts w:hint="eastAsia"/>
        </w:rPr>
        <w:t>。</w:t>
      </w:r>
      <w:r>
        <w:rPr>
          <w:rFonts w:hint="eastAsia"/>
        </w:rPr>
        <w:t>部分</w:t>
      </w:r>
      <w:r w:rsidR="008763C5">
        <w:rPr>
          <w:rFonts w:hint="eastAsia"/>
        </w:rPr>
        <w:t>千万、亿级的大单项目会以</w:t>
      </w:r>
      <w:r w:rsidR="004B20D2">
        <w:rPr>
          <w:rFonts w:hint="eastAsia"/>
        </w:rPr>
        <w:t>联合体或分包形式</w:t>
      </w:r>
      <w:r w:rsidR="008763C5">
        <w:rPr>
          <w:rFonts w:hint="eastAsia"/>
        </w:rPr>
        <w:t>中标</w:t>
      </w:r>
      <w:r w:rsidR="004B20D2">
        <w:rPr>
          <w:rFonts w:hint="eastAsia"/>
        </w:rPr>
        <w:t>，</w:t>
      </w:r>
      <w:r w:rsidR="008763C5">
        <w:rPr>
          <w:rFonts w:hint="eastAsia"/>
        </w:rPr>
        <w:t>运营商参与项目</w:t>
      </w:r>
      <w:r w:rsidR="008763C5">
        <w:t>342个，占比19.8%，主要由电信、移动两家主导</w:t>
      </w:r>
      <w:r w:rsidR="008763C5">
        <w:rPr>
          <w:rFonts w:hint="eastAsia"/>
        </w:rPr>
        <w:t>，联合地方国资、技术咨询等企业</w:t>
      </w:r>
      <w:r w:rsidR="008763C5">
        <w:t>，以“属地运营+</w:t>
      </w:r>
      <w:r w:rsidR="008763C5">
        <w:rPr>
          <w:rFonts w:hint="eastAsia"/>
        </w:rPr>
        <w:t>解决方案</w:t>
      </w:r>
      <w:r w:rsidR="008763C5">
        <w:t>输出”等模式</w:t>
      </w:r>
      <w:r w:rsidR="009168BB" w:rsidRPr="009168BB">
        <w:rPr>
          <w:rFonts w:hint="eastAsia"/>
        </w:rPr>
        <w:t>整合资源</w:t>
      </w:r>
      <w:r w:rsidR="008763C5">
        <w:t>。</w:t>
      </w:r>
      <w:r w:rsidR="004B20D2">
        <w:rPr>
          <w:rFonts w:hint="eastAsia"/>
        </w:rPr>
        <w:t>如在四川蓬安县“天府粮仓”</w:t>
      </w:r>
      <w:r>
        <w:t>1.7</w:t>
      </w:r>
      <w:r w:rsidR="008763C5">
        <w:rPr>
          <w:rFonts w:hint="eastAsia"/>
        </w:rPr>
        <w:t>亿项目中，四川移动总承包，广东南方电信规划咨询设计院</w:t>
      </w:r>
      <w:r>
        <w:rPr>
          <w:rFonts w:hint="eastAsia"/>
        </w:rPr>
        <w:t>负责</w:t>
      </w:r>
      <w:r w:rsidR="008763C5">
        <w:rPr>
          <w:rFonts w:hint="eastAsia"/>
        </w:rPr>
        <w:t>设计。</w:t>
      </w:r>
    </w:p>
    <w:p w:rsidR="008D6378" w:rsidRDefault="008763C5">
      <w:pPr>
        <w:ind w:firstLine="482"/>
      </w:pPr>
      <w:r>
        <w:rPr>
          <w:rFonts w:hint="eastAsia"/>
          <w:b/>
        </w:rPr>
        <w:t>央国企数科公司入局，竞合博弈加剧。</w:t>
      </w:r>
      <w:r>
        <w:rPr>
          <w:rFonts w:hint="eastAsia"/>
        </w:rPr>
        <w:t>非运营商央企集团依托数科公司和行业垄断资源（如电力）渗透垂直市场，中标总额超6</w:t>
      </w:r>
      <w:r>
        <w:t>00</w:t>
      </w:r>
      <w:r>
        <w:rPr>
          <w:rFonts w:hint="eastAsia"/>
        </w:rPr>
        <w:t>亿，同比增长超</w:t>
      </w:r>
      <w:r>
        <w:t>20%</w:t>
      </w:r>
      <w:r w:rsidR="001C2EEC">
        <w:rPr>
          <w:rFonts w:hint="eastAsia"/>
        </w:rPr>
        <w:t>，在</w:t>
      </w:r>
      <w:r>
        <w:rPr>
          <w:rFonts w:hint="eastAsia"/>
        </w:rPr>
        <w:t>城市、交通等领域与运营商争夺</w:t>
      </w:r>
      <w:r w:rsidR="001C2EEC">
        <w:rPr>
          <w:rFonts w:hint="eastAsia"/>
        </w:rPr>
        <w:t>份额</w:t>
      </w:r>
      <w:r>
        <w:rPr>
          <w:rFonts w:hint="eastAsia"/>
        </w:rPr>
        <w:t>，如中移动与地方交投数科公司联合竞标，但因行业经验不足落败。</w:t>
      </w:r>
      <w:r>
        <w:t>2025年</w:t>
      </w:r>
      <w:r w:rsidR="00D51685">
        <w:rPr>
          <w:rFonts w:hint="eastAsia"/>
        </w:rPr>
        <w:t>央国企</w:t>
      </w:r>
      <w:r>
        <w:t>加大力度推进战略性重组和专业化整合，推动重点产业提质升级</w:t>
      </w:r>
      <w:r w:rsidR="00EC1A5B">
        <w:rPr>
          <w:rFonts w:hint="eastAsia"/>
        </w:rPr>
        <w:t>，运营商将面临专业壁垒和</w:t>
      </w:r>
      <w:r>
        <w:rPr>
          <w:rFonts w:hint="eastAsia"/>
        </w:rPr>
        <w:t>生态绑定的双重压力。</w:t>
      </w:r>
    </w:p>
    <w:p w:rsidR="008D6378" w:rsidRDefault="008763C5">
      <w:pPr>
        <w:ind w:firstLineChars="0" w:firstLine="0"/>
      </w:pPr>
      <w:r>
        <w:rPr>
          <w:noProof/>
        </w:rPr>
        <w:lastRenderedPageBreak/>
        <w:drawing>
          <wp:inline distT="0" distB="0" distL="0" distR="0">
            <wp:extent cx="5271770" cy="2317750"/>
            <wp:effectExtent l="0" t="0" r="50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t="15007" b="16511"/>
                    <a:stretch>
                      <a:fillRect/>
                    </a:stretch>
                  </pic:blipFill>
                  <pic:spPr>
                    <a:xfrm>
                      <a:off x="0" y="0"/>
                      <a:ext cx="5281556" cy="2321929"/>
                    </a:xfrm>
                    <a:prstGeom prst="rect">
                      <a:avLst/>
                    </a:prstGeom>
                    <a:noFill/>
                    <a:ln>
                      <a:noFill/>
                    </a:ln>
                  </pic:spPr>
                </pic:pic>
              </a:graphicData>
            </a:graphic>
          </wp:inline>
        </w:drawing>
      </w:r>
    </w:p>
    <w:p w:rsidR="008D6378" w:rsidRDefault="008763C5">
      <w:pPr>
        <w:ind w:firstLineChars="0" w:firstLine="440"/>
        <w:jc w:val="center"/>
      </w:pPr>
      <w:r>
        <w:rPr>
          <w:rFonts w:hint="eastAsia"/>
          <w:sz w:val="22"/>
        </w:rPr>
        <w:t>图</w:t>
      </w:r>
      <w:r>
        <w:rPr>
          <w:sz w:val="22"/>
        </w:rPr>
        <w:t>3</w:t>
      </w:r>
      <w:r>
        <w:rPr>
          <w:rFonts w:hint="eastAsia"/>
          <w:sz w:val="22"/>
        </w:rPr>
        <w:t>：产数市场企业</w:t>
      </w:r>
      <w:r w:rsidR="005764D5">
        <w:rPr>
          <w:rFonts w:hint="eastAsia"/>
          <w:sz w:val="22"/>
        </w:rPr>
        <w:t>中标</w:t>
      </w:r>
      <w:r>
        <w:rPr>
          <w:rFonts w:hint="eastAsia"/>
          <w:sz w:val="22"/>
        </w:rPr>
        <w:t>份额对比</w:t>
      </w:r>
    </w:p>
    <w:p w:rsidR="008D6378" w:rsidRDefault="00BB7D08">
      <w:pPr>
        <w:pStyle w:val="2"/>
        <w:numPr>
          <w:ilvl w:val="0"/>
          <w:numId w:val="1"/>
        </w:numPr>
      </w:pPr>
      <w:r>
        <w:rPr>
          <w:rFonts w:hint="eastAsia"/>
        </w:rPr>
        <w:t>对中国电信深化产数业务发展的启示</w:t>
      </w:r>
    </w:p>
    <w:p w:rsidR="008D6378" w:rsidRDefault="008763C5">
      <w:pPr>
        <w:ind w:firstLine="480"/>
      </w:pPr>
      <w:r>
        <w:rPr>
          <w:rFonts w:hint="eastAsia"/>
        </w:rPr>
        <w:t>基于公开采购市场监测，2</w:t>
      </w:r>
      <w:r>
        <w:t>025</w:t>
      </w:r>
      <w:r>
        <w:rPr>
          <w:rFonts w:hint="eastAsia"/>
        </w:rPr>
        <w:t>产数市场将呈现政企采购愈发规范且需求加速发展、东部持续领跑与县域高速增长、大单项目比重加大等特征。与此同时，中国电信也面临着东部增</w:t>
      </w:r>
      <w:r w:rsidR="00EC1A5B">
        <w:rPr>
          <w:rFonts w:hint="eastAsia"/>
        </w:rPr>
        <w:t>长乏力、县域份额提质增速、业务场景创新布局、央国企竞合博弈等</w:t>
      </w:r>
      <w:r>
        <w:rPr>
          <w:rFonts w:hint="eastAsia"/>
        </w:rPr>
        <w:t>挑战。综上，为进一步推动产数规模化发展，本文从区域发展、技术创新、生态合作三方面因地制宜提出相关举措。</w:t>
      </w:r>
    </w:p>
    <w:p w:rsidR="008D6378" w:rsidRDefault="008763C5">
      <w:pPr>
        <w:pStyle w:val="3"/>
      </w:pPr>
      <w:r>
        <w:rPr>
          <w:rFonts w:hint="eastAsia"/>
        </w:rPr>
        <w:t>3</w:t>
      </w:r>
      <w:r>
        <w:t xml:space="preserve">.1 </w:t>
      </w:r>
      <w:r>
        <w:rPr>
          <w:rFonts w:hint="eastAsia"/>
        </w:rPr>
        <w:t>深化东部发展布局，强化县域数字化升级，深度参与地方经济生态</w:t>
      </w:r>
    </w:p>
    <w:p w:rsidR="008D6378" w:rsidRDefault="008763C5">
      <w:pPr>
        <w:ind w:firstLine="480"/>
        <w:rPr>
          <w:bCs/>
        </w:rPr>
      </w:pPr>
      <w:r>
        <w:rPr>
          <w:rFonts w:hint="eastAsia"/>
          <w:bCs/>
        </w:rPr>
        <w:t>1）</w:t>
      </w:r>
      <w:r w:rsidRPr="00A70393">
        <w:rPr>
          <w:rFonts w:hint="eastAsia"/>
          <w:b/>
        </w:rPr>
        <w:t>聚焦长三角一体化战略，</w:t>
      </w:r>
      <w:r w:rsidR="00576248">
        <w:rPr>
          <w:rFonts w:hint="eastAsia"/>
          <w:bCs/>
        </w:rPr>
        <w:t>围绕</w:t>
      </w:r>
      <w:r>
        <w:rPr>
          <w:rFonts w:hint="eastAsia"/>
          <w:bCs/>
        </w:rPr>
        <w:t>“在推动科技创新和产业创新融合上打头阵”等</w:t>
      </w:r>
      <w:r w:rsidR="00576248">
        <w:rPr>
          <w:rFonts w:hint="eastAsia"/>
          <w:bCs/>
        </w:rPr>
        <w:t>东部发展</w:t>
      </w:r>
      <w:r>
        <w:rPr>
          <w:rFonts w:hint="eastAsia"/>
          <w:bCs/>
        </w:rPr>
        <w:t>要求，深化</w:t>
      </w:r>
      <w:r w:rsidR="001C2EEC">
        <w:rPr>
          <w:rFonts w:hint="eastAsia"/>
          <w:bCs/>
        </w:rPr>
        <w:t>政务、医疗</w:t>
      </w:r>
      <w:r>
        <w:rPr>
          <w:rFonts w:hint="eastAsia"/>
        </w:rPr>
        <w:t>等重点场景</w:t>
      </w:r>
      <w:r w:rsidR="001C2EEC">
        <w:rPr>
          <w:rFonts w:hint="eastAsia"/>
        </w:rPr>
        <w:t>建设</w:t>
      </w:r>
      <w:r>
        <w:rPr>
          <w:bCs/>
        </w:rPr>
        <w:t>，</w:t>
      </w:r>
      <w:r>
        <w:rPr>
          <w:rFonts w:hint="eastAsia"/>
          <w:bCs/>
        </w:rPr>
        <w:t>以点带面推动</w:t>
      </w:r>
      <w:r>
        <w:rPr>
          <w:bCs/>
        </w:rPr>
        <w:t>政企服务</w:t>
      </w:r>
      <w:r>
        <w:rPr>
          <w:rFonts w:hint="eastAsia"/>
          <w:bCs/>
        </w:rPr>
        <w:t>价值提升，如2</w:t>
      </w:r>
      <w:r>
        <w:rPr>
          <w:bCs/>
        </w:rPr>
        <w:t>025</w:t>
      </w:r>
      <w:r w:rsidR="001C2EEC">
        <w:rPr>
          <w:rFonts w:hint="eastAsia"/>
          <w:bCs/>
        </w:rPr>
        <w:t>年阿里与</w:t>
      </w:r>
      <w:r>
        <w:rPr>
          <w:rFonts w:hint="eastAsia"/>
          <w:bCs/>
        </w:rPr>
        <w:t>杭州市政府合作，推动数字“新基建”全产业链发展。</w:t>
      </w:r>
      <w:r>
        <w:rPr>
          <w:rFonts w:hint="eastAsia"/>
        </w:rPr>
        <w:t>2）</w:t>
      </w:r>
      <w:r>
        <w:rPr>
          <w:rFonts w:hint="eastAsia"/>
          <w:b/>
        </w:rPr>
        <w:t>加强中西部县域资源倾斜</w:t>
      </w:r>
      <w:r>
        <w:rPr>
          <w:rFonts w:hint="eastAsia"/>
        </w:rPr>
        <w:t>，紧抓“东数西算”与绿色转型等县域发展红利，在智慧农村</w:t>
      </w:r>
      <w:r w:rsidR="001C2EEC">
        <w:rPr>
          <w:rFonts w:hint="eastAsia"/>
        </w:rPr>
        <w:t>、能源</w:t>
      </w:r>
      <w:r>
        <w:t>等</w:t>
      </w:r>
      <w:r>
        <w:rPr>
          <w:rFonts w:hint="eastAsia"/>
        </w:rPr>
        <w:t>重点</w:t>
      </w:r>
      <w:r>
        <w:t>场景，以</w:t>
      </w:r>
      <w:r w:rsidR="001C2EEC">
        <w:rPr>
          <w:rFonts w:hint="eastAsia"/>
        </w:rPr>
        <w:t>A</w:t>
      </w:r>
      <w:r w:rsidR="001C2EEC">
        <w:t>I</w:t>
      </w:r>
      <w:r>
        <w:t>技术赋能产业升级</w:t>
      </w:r>
      <w:r>
        <w:rPr>
          <w:rFonts w:hint="eastAsia"/>
        </w:rPr>
        <w:t>，如移动发布2</w:t>
      </w:r>
      <w:r>
        <w:t>025</w:t>
      </w:r>
      <w:r>
        <w:rPr>
          <w:rFonts w:hint="eastAsia"/>
        </w:rPr>
        <w:t>年数字乡村升级行动，计划新增超</w:t>
      </w:r>
      <w:r>
        <w:t>40个农业场景化解决方案</w:t>
      </w:r>
      <w:r>
        <w:rPr>
          <w:rFonts w:hint="eastAsia"/>
        </w:rPr>
        <w:t>，建设超</w:t>
      </w:r>
      <w:r>
        <w:t>700个智慧农业示范项目</w:t>
      </w:r>
      <w:r>
        <w:rPr>
          <w:rFonts w:hint="eastAsia"/>
        </w:rPr>
        <w:t>。</w:t>
      </w:r>
    </w:p>
    <w:p w:rsidR="008D6378" w:rsidRDefault="008763C5">
      <w:pPr>
        <w:pStyle w:val="3"/>
      </w:pPr>
      <w:r>
        <w:rPr>
          <w:rFonts w:hint="eastAsia"/>
        </w:rPr>
        <w:t>3</w:t>
      </w:r>
      <w:r>
        <w:t xml:space="preserve">.2 </w:t>
      </w:r>
      <w:r>
        <w:rPr>
          <w:rFonts w:hint="eastAsia"/>
        </w:rPr>
        <w:t>加速技术产品创新与落地，资本协同抢占新兴赛道</w:t>
      </w:r>
    </w:p>
    <w:p w:rsidR="008D6378" w:rsidRDefault="008763C5">
      <w:pPr>
        <w:ind w:firstLine="480"/>
      </w:pPr>
      <w:r>
        <w:rPr>
          <w:rFonts w:hint="eastAsia"/>
        </w:rPr>
        <w:t>1）</w:t>
      </w:r>
      <w:r>
        <w:rPr>
          <w:rFonts w:hint="eastAsia"/>
          <w:b/>
        </w:rPr>
        <w:t>底层技术场景化落地</w:t>
      </w:r>
      <w:r>
        <w:rPr>
          <w:rFonts w:hint="eastAsia"/>
        </w:rPr>
        <w:t>，以大模型、芯片算力、边缘计算等底层技术为</w:t>
      </w:r>
      <w:r w:rsidR="001C2EEC">
        <w:rPr>
          <w:rFonts w:hint="eastAsia"/>
        </w:rPr>
        <w:t>抓手，加快轻量级、可复制的产品方案开发（如工业质检、医疗影像）。</w:t>
      </w:r>
      <w:r>
        <w:rPr>
          <w:rFonts w:hint="eastAsia"/>
        </w:rPr>
        <w:t>如移动推出九天超融合信创一体机，</w:t>
      </w:r>
      <w:r w:rsidR="001C2EEC">
        <w:rPr>
          <w:rFonts w:hint="eastAsia"/>
        </w:rPr>
        <w:t>为行业用户带来</w:t>
      </w:r>
      <w:r>
        <w:rPr>
          <w:rFonts w:hint="eastAsia"/>
        </w:rPr>
        <w:t>即插即用的大模型服务。2）</w:t>
      </w:r>
      <w:r>
        <w:rPr>
          <w:rFonts w:hint="eastAsia"/>
          <w:b/>
        </w:rPr>
        <w:t>资本驱动新兴领域布局</w:t>
      </w:r>
      <w:r>
        <w:rPr>
          <w:rFonts w:hint="eastAsia"/>
        </w:rPr>
        <w:t>，通过产业基金定向投资具身智能、低空经济等新兴企业，以“技术入股</w:t>
      </w:r>
      <w:r>
        <w:t>+收益分成”模式</w:t>
      </w:r>
      <w:r w:rsidR="00A70393">
        <w:rPr>
          <w:rFonts w:hint="eastAsia"/>
        </w:rPr>
        <w:t>抢占业务入口。</w:t>
      </w:r>
      <w:r>
        <w:rPr>
          <w:rFonts w:hint="eastAsia"/>
        </w:rPr>
        <w:t>截止3月底，今年中移创新产业基金已</w:t>
      </w:r>
      <w:r>
        <w:rPr>
          <w:rFonts w:hint="eastAsia"/>
        </w:rPr>
        <w:lastRenderedPageBreak/>
        <w:t>对芯带科技、长进激光、钛虎机器人三家先进制造企业进行投资，加速工业创新企业生态布局。</w:t>
      </w:r>
    </w:p>
    <w:p w:rsidR="008D6378" w:rsidRDefault="008763C5">
      <w:pPr>
        <w:pStyle w:val="3"/>
      </w:pPr>
      <w:r>
        <w:rPr>
          <w:rFonts w:hint="eastAsia"/>
        </w:rPr>
        <w:t>3</w:t>
      </w:r>
      <w:r>
        <w:t>.3</w:t>
      </w:r>
      <w:r>
        <w:rPr>
          <w:rFonts w:hint="eastAsia"/>
        </w:rPr>
        <w:t>构建多层次合作生态共创，打造标杆项目示范</w:t>
      </w:r>
    </w:p>
    <w:p w:rsidR="008D6378" w:rsidRDefault="008763C5">
      <w:pPr>
        <w:ind w:firstLine="480"/>
      </w:pPr>
      <w:r>
        <w:t>1</w:t>
      </w:r>
      <w:r>
        <w:rPr>
          <w:rFonts w:hint="eastAsia"/>
        </w:rPr>
        <w:t>）</w:t>
      </w:r>
      <w:r>
        <w:rPr>
          <w:rFonts w:hint="eastAsia"/>
          <w:b/>
        </w:rPr>
        <w:t>技术融合与场景共创</w:t>
      </w:r>
      <w:r w:rsidR="001C2EEC">
        <w:rPr>
          <w:rFonts w:hint="eastAsia"/>
        </w:rPr>
        <w:t>，通过共建实验室、技术平台等方式，在能源、应急等国家重点战略</w:t>
      </w:r>
      <w:r>
        <w:rPr>
          <w:rFonts w:hint="eastAsia"/>
        </w:rPr>
        <w:t>领域联合开展示范项目</w:t>
      </w:r>
      <w:r w:rsidR="001C2EEC">
        <w:rPr>
          <w:rFonts w:hint="eastAsia"/>
        </w:rPr>
        <w:t>研究，</w:t>
      </w:r>
      <w:r>
        <w:rPr>
          <w:rFonts w:hint="eastAsia"/>
        </w:rPr>
        <w:t>参与行业标准制定。如中国移动与中国电科、国家电网等1</w:t>
      </w:r>
      <w:r>
        <w:t>5</w:t>
      </w:r>
      <w:r w:rsidR="001C2EEC">
        <w:rPr>
          <w:rFonts w:hint="eastAsia"/>
        </w:rPr>
        <w:t>家领军央企共建低空经济生态圈</w:t>
      </w:r>
      <w:r>
        <w:rPr>
          <w:rFonts w:hint="eastAsia"/>
        </w:rPr>
        <w:t>。</w:t>
      </w:r>
      <w:r>
        <w:t>2</w:t>
      </w:r>
      <w:r>
        <w:rPr>
          <w:rFonts w:hint="eastAsia"/>
        </w:rPr>
        <w:t>）</w:t>
      </w:r>
      <w:r>
        <w:rPr>
          <w:rFonts w:hint="eastAsia"/>
          <w:b/>
        </w:rPr>
        <w:t>跨区域资源整合与生态共建</w:t>
      </w:r>
      <w:r>
        <w:rPr>
          <w:rFonts w:hint="eastAsia"/>
        </w:rPr>
        <w:t>，通过合资公司、联合体等机制，将产品能力与地方国资的属地资源深度绑定，如通过“息壤”</w:t>
      </w:r>
      <w:r w:rsidR="009168BB">
        <w:rPr>
          <w:rFonts w:hint="eastAsia"/>
        </w:rPr>
        <w:t>等平台接入合作伙伴，利用跨区域资源整合能力强化区域粘性</w:t>
      </w:r>
      <w:r>
        <w:rPr>
          <w:rFonts w:hint="eastAsia"/>
        </w:rPr>
        <w:t>。</w:t>
      </w:r>
    </w:p>
    <w:p w:rsidR="008D6378" w:rsidRDefault="008763C5">
      <w:pPr>
        <w:widowControl/>
        <w:spacing w:line="240" w:lineRule="auto"/>
        <w:ind w:firstLineChars="0" w:firstLine="0"/>
        <w:jc w:val="left"/>
        <w:rPr>
          <w:rFonts w:asciiTheme="majorHAnsi" w:hAnsiTheme="majorHAnsi" w:cstheme="majorBidi"/>
          <w:b/>
          <w:bCs/>
          <w:sz w:val="28"/>
          <w:szCs w:val="32"/>
        </w:rPr>
      </w:pPr>
      <w:r>
        <w:br w:type="page"/>
      </w:r>
    </w:p>
    <w:p w:rsidR="008D6378" w:rsidRDefault="008763C5">
      <w:pPr>
        <w:pStyle w:val="2"/>
      </w:pPr>
      <w:r>
        <w:rPr>
          <w:rFonts w:hint="eastAsia"/>
        </w:rPr>
        <w:lastRenderedPageBreak/>
        <w:t>附录</w:t>
      </w:r>
      <w:r>
        <w:rPr>
          <w:rFonts w:hint="eastAsia"/>
        </w:rPr>
        <w:t>1</w:t>
      </w:r>
      <w:r>
        <w:rPr>
          <w:rFonts w:hint="eastAsia"/>
        </w:rPr>
        <w:t>：各省产数业务规模及运营商中标份额</w:t>
      </w:r>
    </w:p>
    <w:p w:rsidR="00061E65" w:rsidRPr="00061E65" w:rsidRDefault="008763C5" w:rsidP="00061E65">
      <w:pPr>
        <w:ind w:firstLineChars="0" w:firstLine="440"/>
        <w:jc w:val="center"/>
        <w:rPr>
          <w:sz w:val="22"/>
        </w:rPr>
      </w:pPr>
      <w:r>
        <w:rPr>
          <w:rFonts w:hint="eastAsia"/>
          <w:sz w:val="22"/>
        </w:rPr>
        <w:t>表</w:t>
      </w:r>
      <w:r w:rsidR="005764D5">
        <w:rPr>
          <w:sz w:val="22"/>
        </w:rPr>
        <w:t>2</w:t>
      </w:r>
      <w:r>
        <w:rPr>
          <w:rFonts w:hint="eastAsia"/>
          <w:sz w:val="22"/>
        </w:rPr>
        <w:t>:</w:t>
      </w:r>
      <w:r>
        <w:rPr>
          <w:sz w:val="22"/>
        </w:rPr>
        <w:t>2024</w:t>
      </w:r>
      <w:r>
        <w:rPr>
          <w:rFonts w:hint="eastAsia"/>
          <w:sz w:val="22"/>
        </w:rPr>
        <w:t>年全国公共采购市场各省产数项目及运营商中标情况</w:t>
      </w:r>
    </w:p>
    <w:tbl>
      <w:tblPr>
        <w:tblW w:w="0" w:type="auto"/>
        <w:tblLook w:val="04A0" w:firstRow="1" w:lastRow="0" w:firstColumn="1" w:lastColumn="0" w:noHBand="0" w:noVBand="1"/>
      </w:tblPr>
      <w:tblGrid>
        <w:gridCol w:w="988"/>
        <w:gridCol w:w="1134"/>
        <w:gridCol w:w="1275"/>
        <w:gridCol w:w="1134"/>
        <w:gridCol w:w="1278"/>
        <w:gridCol w:w="1286"/>
        <w:gridCol w:w="1201"/>
      </w:tblGrid>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2"/>
              </w:rPr>
            </w:pPr>
            <w:r>
              <w:rPr>
                <w:rFonts w:ascii="宋体" w:eastAsia="宋体" w:hAnsi="宋体" w:cs="宋体" w:hint="eastAsia"/>
                <w:b/>
                <w:bCs/>
                <w:color w:val="FFFFFF"/>
                <w:kern w:val="0"/>
                <w:sz w:val="22"/>
              </w:rPr>
              <w:t>省份</w:t>
            </w:r>
          </w:p>
        </w:tc>
        <w:tc>
          <w:tcPr>
            <w:tcW w:w="1134" w:type="dxa"/>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2"/>
              </w:rPr>
            </w:pPr>
            <w:r>
              <w:rPr>
                <w:rFonts w:ascii="宋体" w:eastAsia="宋体" w:hAnsi="宋体" w:cs="宋体" w:hint="eastAsia"/>
                <w:b/>
                <w:bCs/>
                <w:color w:val="FFFFFF"/>
                <w:kern w:val="0"/>
                <w:sz w:val="22"/>
              </w:rPr>
              <w:t>项目数量</w:t>
            </w:r>
          </w:p>
        </w:tc>
        <w:tc>
          <w:tcPr>
            <w:tcW w:w="1275" w:type="dxa"/>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2"/>
              </w:rPr>
            </w:pPr>
            <w:r>
              <w:rPr>
                <w:rFonts w:ascii="宋体" w:eastAsia="宋体" w:hAnsi="宋体" w:cs="宋体" w:hint="eastAsia"/>
                <w:b/>
                <w:bCs/>
                <w:color w:val="FFFFFF"/>
                <w:kern w:val="0"/>
                <w:sz w:val="22"/>
              </w:rPr>
              <w:t>项目规模</w:t>
            </w:r>
          </w:p>
        </w:tc>
        <w:tc>
          <w:tcPr>
            <w:tcW w:w="1134" w:type="dxa"/>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2"/>
              </w:rPr>
            </w:pPr>
            <w:r>
              <w:rPr>
                <w:rFonts w:ascii="宋体" w:eastAsia="宋体" w:hAnsi="宋体" w:cs="宋体" w:hint="eastAsia"/>
                <w:b/>
                <w:bCs/>
                <w:color w:val="FFFFFF"/>
                <w:kern w:val="0"/>
                <w:sz w:val="22"/>
              </w:rPr>
              <w:t>规模同比增长</w:t>
            </w:r>
          </w:p>
        </w:tc>
        <w:tc>
          <w:tcPr>
            <w:tcW w:w="1278" w:type="dxa"/>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2"/>
              </w:rPr>
            </w:pPr>
            <w:r>
              <w:rPr>
                <w:rFonts w:ascii="宋体" w:eastAsia="宋体" w:hAnsi="宋体" w:cs="宋体" w:hint="eastAsia"/>
                <w:b/>
                <w:bCs/>
                <w:color w:val="FFFFFF"/>
                <w:kern w:val="0"/>
                <w:sz w:val="22"/>
              </w:rPr>
              <w:t>电信中标份额</w:t>
            </w:r>
          </w:p>
        </w:tc>
        <w:tc>
          <w:tcPr>
            <w:tcW w:w="1286" w:type="dxa"/>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2"/>
              </w:rPr>
            </w:pPr>
            <w:r>
              <w:rPr>
                <w:rFonts w:ascii="宋体" w:eastAsia="宋体" w:hAnsi="宋体" w:cs="宋体" w:hint="eastAsia"/>
                <w:b/>
                <w:bCs/>
                <w:color w:val="FFFFFF"/>
                <w:kern w:val="0"/>
                <w:sz w:val="22"/>
              </w:rPr>
              <w:t>移动中标份额</w:t>
            </w:r>
          </w:p>
        </w:tc>
        <w:tc>
          <w:tcPr>
            <w:tcW w:w="1201" w:type="dxa"/>
            <w:tcBorders>
              <w:top w:val="single" w:sz="4" w:space="0" w:color="auto"/>
              <w:left w:val="single" w:sz="4" w:space="0" w:color="auto"/>
              <w:bottom w:val="single" w:sz="4" w:space="0" w:color="auto"/>
              <w:right w:val="single" w:sz="4" w:space="0" w:color="auto"/>
            </w:tcBorders>
            <w:shd w:val="clear" w:color="5B9BD5" w:fill="5B9BD5"/>
            <w:noWrap/>
            <w:vAlign w:val="center"/>
          </w:tcPr>
          <w:p w:rsidR="008D6378" w:rsidRDefault="008763C5">
            <w:pPr>
              <w:widowControl/>
              <w:spacing w:line="240" w:lineRule="auto"/>
              <w:ind w:firstLineChars="0" w:firstLine="0"/>
              <w:jc w:val="center"/>
              <w:rPr>
                <w:rFonts w:ascii="宋体" w:eastAsia="宋体" w:hAnsi="宋体" w:cs="宋体"/>
                <w:b/>
                <w:bCs/>
                <w:color w:val="FFFFFF"/>
                <w:kern w:val="0"/>
                <w:sz w:val="22"/>
              </w:rPr>
            </w:pPr>
            <w:r>
              <w:rPr>
                <w:rFonts w:ascii="宋体" w:eastAsia="宋体" w:hAnsi="宋体" w:cs="宋体" w:hint="eastAsia"/>
                <w:b/>
                <w:bCs/>
                <w:color w:val="FFFFFF"/>
                <w:kern w:val="0"/>
                <w:sz w:val="22"/>
              </w:rPr>
              <w:t>联通中标份额</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总计</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344106</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8490.8亿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广东</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31644</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937.2亿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江苏</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25517</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628.8亿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28%</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浙江</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21577</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620.1亿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29%</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山东</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36664</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598.5亿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29%</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北京</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14208</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547.1亿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0%</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湖北</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15793</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460.3亿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15%</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四川</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18102</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414.5亿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安徽</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12419</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389.4亿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21%</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河南</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7956</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297.6亿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98%</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上海</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10949</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283.2亿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江西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10940</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279.8亿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河北</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10593</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275.1亿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福建</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13084</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255.1亿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湖南</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12253</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191.6亿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56%</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广西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5597</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186.9亿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陕西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7199</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182.6亿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重庆</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7501</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174.6亿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内蒙古</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6621</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174.3亿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山西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7622</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173.5亿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42%</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新疆</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9323</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166.8亿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67%</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辽宁</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5829</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160.0亿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贵州</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5733</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157.9亿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0%</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云南</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7341</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157.9亿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-28%</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天津</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10012</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157.8亿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41%</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甘肃</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6711</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153.2亿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黑龙江</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8202</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95.2亿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吉林</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4385</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93.7亿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-22%</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8%</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宁夏</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3200</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76.6亿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75%</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8%</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青海</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2775</w:t>
            </w:r>
          </w:p>
        </w:tc>
        <w:tc>
          <w:tcPr>
            <w:tcW w:w="1275" w:type="dxa"/>
            <w:tcBorders>
              <w:top w:val="nil"/>
              <w:left w:val="nil"/>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71.2亿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28%</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海南</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2060</w:t>
            </w:r>
          </w:p>
        </w:tc>
        <w:tc>
          <w:tcPr>
            <w:tcW w:w="1275"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66.3亿</w:t>
            </w:r>
          </w:p>
        </w:tc>
        <w:tc>
          <w:tcPr>
            <w:tcW w:w="1134"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-25%</w:t>
            </w:r>
          </w:p>
        </w:tc>
        <w:tc>
          <w:tcPr>
            <w:tcW w:w="1278"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286"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201" w:type="dxa"/>
            <w:tcBorders>
              <w:top w:val="single" w:sz="4" w:space="0" w:color="auto"/>
              <w:left w:val="single" w:sz="4" w:space="0" w:color="auto"/>
              <w:bottom w:val="single" w:sz="4" w:space="0" w:color="auto"/>
              <w:right w:val="single" w:sz="4" w:space="0" w:color="auto"/>
            </w:tcBorders>
            <w:shd w:val="clear" w:color="DDEBF7" w:fill="DDEBF7"/>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9%</w:t>
            </w:r>
          </w:p>
        </w:tc>
      </w:tr>
      <w:tr w:rsidR="008D6378">
        <w:trPr>
          <w:trHeight w:val="283"/>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西藏</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2296</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 xml:space="preserve"> 63.8亿</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27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15%</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2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6378" w:rsidRDefault="008763C5">
            <w:pPr>
              <w:widowControl/>
              <w:spacing w:line="240" w:lineRule="auto"/>
              <w:ind w:firstLineChars="0" w:firstLine="0"/>
              <w:jc w:val="center"/>
              <w:rPr>
                <w:rFonts w:ascii="宋体" w:eastAsia="宋体" w:hAnsi="宋体" w:cs="宋体"/>
                <w:color w:val="000000"/>
                <w:kern w:val="0"/>
                <w:sz w:val="22"/>
              </w:rPr>
            </w:pPr>
            <w:r>
              <w:rPr>
                <w:rFonts w:ascii="宋体" w:eastAsia="宋体" w:hAnsi="宋体" w:cs="宋体" w:hint="eastAsia"/>
                <w:color w:val="000000"/>
                <w:kern w:val="0"/>
                <w:sz w:val="22"/>
              </w:rPr>
              <w:t>5%</w:t>
            </w:r>
          </w:p>
        </w:tc>
      </w:tr>
    </w:tbl>
    <w:p w:rsidR="008D6378" w:rsidRDefault="008D6378">
      <w:pPr>
        <w:ind w:firstLineChars="0" w:firstLine="0"/>
      </w:pPr>
    </w:p>
    <w:sectPr w:rsidR="008D6378">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0C4" w:rsidRDefault="00D400C4">
      <w:pPr>
        <w:spacing w:line="240" w:lineRule="auto"/>
        <w:ind w:firstLine="480"/>
      </w:pPr>
      <w:r>
        <w:separator/>
      </w:r>
    </w:p>
  </w:endnote>
  <w:endnote w:type="continuationSeparator" w:id="0">
    <w:p w:rsidR="00D400C4" w:rsidRDefault="00D400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378" w:rsidRDefault="008D637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378" w:rsidRDefault="008D637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378" w:rsidRDefault="008D637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0C4" w:rsidRDefault="00D400C4">
      <w:pPr>
        <w:ind w:firstLine="480"/>
      </w:pPr>
      <w:r>
        <w:separator/>
      </w:r>
    </w:p>
  </w:footnote>
  <w:footnote w:type="continuationSeparator" w:id="0">
    <w:p w:rsidR="00D400C4" w:rsidRDefault="00D400C4">
      <w:pPr>
        <w:ind w:firstLine="480"/>
      </w:pPr>
      <w:r>
        <w:continuationSeparator/>
      </w:r>
    </w:p>
  </w:footnote>
  <w:footnote w:id="1">
    <w:p w:rsidR="008D6378" w:rsidRDefault="008763C5">
      <w:pPr>
        <w:pStyle w:val="ab"/>
        <w:ind w:firstLine="360"/>
      </w:pPr>
      <w:r>
        <w:rPr>
          <w:rStyle w:val="af2"/>
        </w:rPr>
        <w:footnoteRef/>
      </w:r>
      <w:r>
        <w:t xml:space="preserve"> </w:t>
      </w:r>
      <w:r>
        <w:rPr>
          <w:rFonts w:hint="eastAsia"/>
        </w:rPr>
        <w:t>产数中标数据：对公开采购市场的历史中标项目进行整理去重，并按照云网、A</w:t>
      </w:r>
      <w:r>
        <w:t>I</w:t>
      </w:r>
      <w:r>
        <w:rPr>
          <w:rFonts w:hint="eastAsia"/>
        </w:rPr>
        <w:t>、大数据、物联网等信息化关键词抽取产数项目</w:t>
      </w:r>
    </w:p>
  </w:footnote>
  <w:footnote w:id="2">
    <w:p w:rsidR="008D6378" w:rsidRDefault="008763C5">
      <w:pPr>
        <w:pStyle w:val="ab"/>
        <w:ind w:firstLine="360"/>
      </w:pPr>
      <w:r>
        <w:rPr>
          <w:rStyle w:val="af2"/>
        </w:rPr>
        <w:footnoteRef/>
      </w:r>
      <w:r>
        <w:t xml:space="preserve"> </w:t>
      </w:r>
      <w:r>
        <w:rPr>
          <w:rFonts w:hint="eastAsia"/>
        </w:rPr>
        <w:t>5</w:t>
      </w:r>
      <w:r>
        <w:t>0</w:t>
      </w:r>
      <w:r>
        <w:rPr>
          <w:rFonts w:hint="eastAsia"/>
        </w:rPr>
        <w:t>家头部数字化企业：包含运营商、B</w:t>
      </w:r>
      <w:r>
        <w:t>AT</w:t>
      </w:r>
      <w:r>
        <w:rPr>
          <w:rFonts w:hint="eastAsia"/>
        </w:rPr>
        <w:t>、中电子、中电科、华为等知名企业</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378" w:rsidRDefault="008D637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378" w:rsidRDefault="008D6378">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378" w:rsidRDefault="008D637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7B49C3"/>
    <w:multiLevelType w:val="multilevel"/>
    <w:tmpl w:val="3A7B49C3"/>
    <w:lvl w:ilvl="0">
      <w:start w:val="1"/>
      <w:numFmt w:val="japaneseCounting"/>
      <w:lvlText w:val="%1、"/>
      <w:lvlJc w:val="left"/>
      <w:pPr>
        <w:ind w:left="583" w:hanging="583"/>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Q2ZTI3M2U5ZjczNWQ3MGMyYmI0YTRhNTNjMDI5MWUifQ=="/>
  </w:docVars>
  <w:rsids>
    <w:rsidRoot w:val="00C90BBF"/>
    <w:rsid w:val="000011A1"/>
    <w:rsid w:val="00007868"/>
    <w:rsid w:val="000132BE"/>
    <w:rsid w:val="00017CDB"/>
    <w:rsid w:val="0002403C"/>
    <w:rsid w:val="00034E3C"/>
    <w:rsid w:val="00041957"/>
    <w:rsid w:val="00047D46"/>
    <w:rsid w:val="00050327"/>
    <w:rsid w:val="00050BB5"/>
    <w:rsid w:val="00057FBC"/>
    <w:rsid w:val="00061E65"/>
    <w:rsid w:val="00062EF7"/>
    <w:rsid w:val="0007038D"/>
    <w:rsid w:val="00080B5B"/>
    <w:rsid w:val="00084190"/>
    <w:rsid w:val="00086176"/>
    <w:rsid w:val="00087690"/>
    <w:rsid w:val="000968BB"/>
    <w:rsid w:val="000A3598"/>
    <w:rsid w:val="000A4E99"/>
    <w:rsid w:val="000A63CD"/>
    <w:rsid w:val="000B2B74"/>
    <w:rsid w:val="000B3880"/>
    <w:rsid w:val="000B4C41"/>
    <w:rsid w:val="000C09D5"/>
    <w:rsid w:val="000C118D"/>
    <w:rsid w:val="000D2E15"/>
    <w:rsid w:val="000E027A"/>
    <w:rsid w:val="000E2F27"/>
    <w:rsid w:val="000E3937"/>
    <w:rsid w:val="000E4D9C"/>
    <w:rsid w:val="000F2BAF"/>
    <w:rsid w:val="000F70E1"/>
    <w:rsid w:val="0010330A"/>
    <w:rsid w:val="00110C54"/>
    <w:rsid w:val="00116D8B"/>
    <w:rsid w:val="001274D1"/>
    <w:rsid w:val="00141DC2"/>
    <w:rsid w:val="00145C54"/>
    <w:rsid w:val="00156C58"/>
    <w:rsid w:val="00157F42"/>
    <w:rsid w:val="00160BD3"/>
    <w:rsid w:val="00160CB1"/>
    <w:rsid w:val="001625F5"/>
    <w:rsid w:val="00164295"/>
    <w:rsid w:val="00173061"/>
    <w:rsid w:val="00173FE4"/>
    <w:rsid w:val="0017467A"/>
    <w:rsid w:val="001829BE"/>
    <w:rsid w:val="00186EF3"/>
    <w:rsid w:val="001951FF"/>
    <w:rsid w:val="001A1D82"/>
    <w:rsid w:val="001A1FB7"/>
    <w:rsid w:val="001A6B9E"/>
    <w:rsid w:val="001A7551"/>
    <w:rsid w:val="001B456C"/>
    <w:rsid w:val="001C2EEC"/>
    <w:rsid w:val="001C463A"/>
    <w:rsid w:val="001C6F7C"/>
    <w:rsid w:val="001D0D80"/>
    <w:rsid w:val="001D16C6"/>
    <w:rsid w:val="001D4590"/>
    <w:rsid w:val="001D4E55"/>
    <w:rsid w:val="001E5239"/>
    <w:rsid w:val="001E6DA8"/>
    <w:rsid w:val="001E7BE4"/>
    <w:rsid w:val="001F05DC"/>
    <w:rsid w:val="001F296E"/>
    <w:rsid w:val="001F5BA1"/>
    <w:rsid w:val="001F7D1F"/>
    <w:rsid w:val="00200D7A"/>
    <w:rsid w:val="00207B00"/>
    <w:rsid w:val="00220618"/>
    <w:rsid w:val="00234DE0"/>
    <w:rsid w:val="0024098E"/>
    <w:rsid w:val="00243C2F"/>
    <w:rsid w:val="00250AB4"/>
    <w:rsid w:val="00251FD0"/>
    <w:rsid w:val="00254F85"/>
    <w:rsid w:val="0027345E"/>
    <w:rsid w:val="002739CE"/>
    <w:rsid w:val="002829A5"/>
    <w:rsid w:val="00287E16"/>
    <w:rsid w:val="002932BD"/>
    <w:rsid w:val="002A0DB3"/>
    <w:rsid w:val="002A3540"/>
    <w:rsid w:val="002A4723"/>
    <w:rsid w:val="002B0F19"/>
    <w:rsid w:val="002B1483"/>
    <w:rsid w:val="002B59C1"/>
    <w:rsid w:val="002C0776"/>
    <w:rsid w:val="002D2176"/>
    <w:rsid w:val="002E5E5E"/>
    <w:rsid w:val="002F0EF8"/>
    <w:rsid w:val="002F475B"/>
    <w:rsid w:val="002F5777"/>
    <w:rsid w:val="002F5B4C"/>
    <w:rsid w:val="002F5D85"/>
    <w:rsid w:val="002F5D95"/>
    <w:rsid w:val="002F6E0A"/>
    <w:rsid w:val="003029D3"/>
    <w:rsid w:val="0030435C"/>
    <w:rsid w:val="00307BB6"/>
    <w:rsid w:val="003139FC"/>
    <w:rsid w:val="00313F8F"/>
    <w:rsid w:val="00313FAF"/>
    <w:rsid w:val="00315286"/>
    <w:rsid w:val="00321223"/>
    <w:rsid w:val="00321611"/>
    <w:rsid w:val="00324458"/>
    <w:rsid w:val="003246D4"/>
    <w:rsid w:val="00333385"/>
    <w:rsid w:val="003342B3"/>
    <w:rsid w:val="00334C73"/>
    <w:rsid w:val="0033781D"/>
    <w:rsid w:val="00340772"/>
    <w:rsid w:val="0034278D"/>
    <w:rsid w:val="0034624E"/>
    <w:rsid w:val="00353704"/>
    <w:rsid w:val="0035488E"/>
    <w:rsid w:val="003613C8"/>
    <w:rsid w:val="00364249"/>
    <w:rsid w:val="00364F55"/>
    <w:rsid w:val="00370E8C"/>
    <w:rsid w:val="00376313"/>
    <w:rsid w:val="003779E8"/>
    <w:rsid w:val="00377D3A"/>
    <w:rsid w:val="00387E27"/>
    <w:rsid w:val="00387F26"/>
    <w:rsid w:val="00393510"/>
    <w:rsid w:val="0039447D"/>
    <w:rsid w:val="003947CD"/>
    <w:rsid w:val="003A091A"/>
    <w:rsid w:val="003A0E5F"/>
    <w:rsid w:val="003A5BB4"/>
    <w:rsid w:val="003A6EDE"/>
    <w:rsid w:val="003B1886"/>
    <w:rsid w:val="003B3BCC"/>
    <w:rsid w:val="003B3D5B"/>
    <w:rsid w:val="003B7A03"/>
    <w:rsid w:val="003C1991"/>
    <w:rsid w:val="003C2769"/>
    <w:rsid w:val="003C6E49"/>
    <w:rsid w:val="003D2D05"/>
    <w:rsid w:val="003D472D"/>
    <w:rsid w:val="003D62C6"/>
    <w:rsid w:val="003D6E31"/>
    <w:rsid w:val="003E01A8"/>
    <w:rsid w:val="003F1ACA"/>
    <w:rsid w:val="003F7159"/>
    <w:rsid w:val="00403E60"/>
    <w:rsid w:val="0040528A"/>
    <w:rsid w:val="004178D6"/>
    <w:rsid w:val="0042625F"/>
    <w:rsid w:val="004266D6"/>
    <w:rsid w:val="0042706F"/>
    <w:rsid w:val="00427A06"/>
    <w:rsid w:val="004347C7"/>
    <w:rsid w:val="00436320"/>
    <w:rsid w:val="004432B5"/>
    <w:rsid w:val="00443A37"/>
    <w:rsid w:val="00445BCC"/>
    <w:rsid w:val="00447684"/>
    <w:rsid w:val="00450B83"/>
    <w:rsid w:val="004535DC"/>
    <w:rsid w:val="00453FAA"/>
    <w:rsid w:val="00470FC8"/>
    <w:rsid w:val="004719F5"/>
    <w:rsid w:val="00471C03"/>
    <w:rsid w:val="00474F95"/>
    <w:rsid w:val="00482AE7"/>
    <w:rsid w:val="00490F29"/>
    <w:rsid w:val="00490FF5"/>
    <w:rsid w:val="004943C5"/>
    <w:rsid w:val="00496F26"/>
    <w:rsid w:val="004A169C"/>
    <w:rsid w:val="004A584E"/>
    <w:rsid w:val="004B20D2"/>
    <w:rsid w:val="004B4143"/>
    <w:rsid w:val="004C58A3"/>
    <w:rsid w:val="004C6BE0"/>
    <w:rsid w:val="004C6F8D"/>
    <w:rsid w:val="004D2574"/>
    <w:rsid w:val="004D552E"/>
    <w:rsid w:val="004D709E"/>
    <w:rsid w:val="004E2363"/>
    <w:rsid w:val="004E2BA2"/>
    <w:rsid w:val="004E37A1"/>
    <w:rsid w:val="004E50C5"/>
    <w:rsid w:val="00503B08"/>
    <w:rsid w:val="00507300"/>
    <w:rsid w:val="00507BC0"/>
    <w:rsid w:val="005111AD"/>
    <w:rsid w:val="00512917"/>
    <w:rsid w:val="00512A06"/>
    <w:rsid w:val="00531645"/>
    <w:rsid w:val="00543D51"/>
    <w:rsid w:val="0054436B"/>
    <w:rsid w:val="00545453"/>
    <w:rsid w:val="00547044"/>
    <w:rsid w:val="00566A78"/>
    <w:rsid w:val="00572E24"/>
    <w:rsid w:val="00575380"/>
    <w:rsid w:val="00576248"/>
    <w:rsid w:val="005764D5"/>
    <w:rsid w:val="00580AC8"/>
    <w:rsid w:val="005854B7"/>
    <w:rsid w:val="005877D9"/>
    <w:rsid w:val="0059492C"/>
    <w:rsid w:val="00595A83"/>
    <w:rsid w:val="005A0973"/>
    <w:rsid w:val="005A0D0D"/>
    <w:rsid w:val="005A4E3B"/>
    <w:rsid w:val="005B27F7"/>
    <w:rsid w:val="005C7C26"/>
    <w:rsid w:val="005E10AD"/>
    <w:rsid w:val="005E3D23"/>
    <w:rsid w:val="005E3E93"/>
    <w:rsid w:val="005E48D6"/>
    <w:rsid w:val="005E77AA"/>
    <w:rsid w:val="005F051D"/>
    <w:rsid w:val="00601A43"/>
    <w:rsid w:val="00604E87"/>
    <w:rsid w:val="006068B8"/>
    <w:rsid w:val="00612B5C"/>
    <w:rsid w:val="00614833"/>
    <w:rsid w:val="006233BB"/>
    <w:rsid w:val="006327EF"/>
    <w:rsid w:val="00635C4C"/>
    <w:rsid w:val="00644E8E"/>
    <w:rsid w:val="00644F66"/>
    <w:rsid w:val="0064632A"/>
    <w:rsid w:val="006502B6"/>
    <w:rsid w:val="00660C4E"/>
    <w:rsid w:val="00663C12"/>
    <w:rsid w:val="00665CB3"/>
    <w:rsid w:val="00667336"/>
    <w:rsid w:val="00672660"/>
    <w:rsid w:val="00673DB0"/>
    <w:rsid w:val="0067682C"/>
    <w:rsid w:val="0068508E"/>
    <w:rsid w:val="00690BC2"/>
    <w:rsid w:val="00693717"/>
    <w:rsid w:val="006A47BE"/>
    <w:rsid w:val="006B19E8"/>
    <w:rsid w:val="006B2D89"/>
    <w:rsid w:val="006B64CD"/>
    <w:rsid w:val="006C09EC"/>
    <w:rsid w:val="006C3EE8"/>
    <w:rsid w:val="006C66B2"/>
    <w:rsid w:val="006D58B3"/>
    <w:rsid w:val="006D67C5"/>
    <w:rsid w:val="006E2702"/>
    <w:rsid w:val="006E2E51"/>
    <w:rsid w:val="006E4442"/>
    <w:rsid w:val="006F3943"/>
    <w:rsid w:val="006F65F6"/>
    <w:rsid w:val="00700ED5"/>
    <w:rsid w:val="0070201D"/>
    <w:rsid w:val="0070203C"/>
    <w:rsid w:val="00705F44"/>
    <w:rsid w:val="007076DF"/>
    <w:rsid w:val="0071080D"/>
    <w:rsid w:val="00716690"/>
    <w:rsid w:val="00717D79"/>
    <w:rsid w:val="00720639"/>
    <w:rsid w:val="0072153D"/>
    <w:rsid w:val="00731E85"/>
    <w:rsid w:val="007331A7"/>
    <w:rsid w:val="00733EB7"/>
    <w:rsid w:val="00734F2E"/>
    <w:rsid w:val="00743C88"/>
    <w:rsid w:val="0075467A"/>
    <w:rsid w:val="0075713E"/>
    <w:rsid w:val="007602D2"/>
    <w:rsid w:val="00764CC8"/>
    <w:rsid w:val="00767486"/>
    <w:rsid w:val="007677A1"/>
    <w:rsid w:val="00772723"/>
    <w:rsid w:val="00777694"/>
    <w:rsid w:val="00780B69"/>
    <w:rsid w:val="007831C4"/>
    <w:rsid w:val="00784387"/>
    <w:rsid w:val="00786BD0"/>
    <w:rsid w:val="00794D7A"/>
    <w:rsid w:val="00797ECB"/>
    <w:rsid w:val="007A1C12"/>
    <w:rsid w:val="007A6576"/>
    <w:rsid w:val="007B3C9F"/>
    <w:rsid w:val="007C20F7"/>
    <w:rsid w:val="007D41F8"/>
    <w:rsid w:val="007D66A6"/>
    <w:rsid w:val="007E0946"/>
    <w:rsid w:val="007E1595"/>
    <w:rsid w:val="007F0983"/>
    <w:rsid w:val="007F255A"/>
    <w:rsid w:val="007F2685"/>
    <w:rsid w:val="007F3FDC"/>
    <w:rsid w:val="007F470E"/>
    <w:rsid w:val="00812558"/>
    <w:rsid w:val="00814598"/>
    <w:rsid w:val="008153B3"/>
    <w:rsid w:val="00816BC2"/>
    <w:rsid w:val="00817B63"/>
    <w:rsid w:val="00823AAD"/>
    <w:rsid w:val="00831393"/>
    <w:rsid w:val="008326BA"/>
    <w:rsid w:val="008361EF"/>
    <w:rsid w:val="00846913"/>
    <w:rsid w:val="00852811"/>
    <w:rsid w:val="0085510A"/>
    <w:rsid w:val="008577EF"/>
    <w:rsid w:val="0086089E"/>
    <w:rsid w:val="00861885"/>
    <w:rsid w:val="00863A27"/>
    <w:rsid w:val="00865586"/>
    <w:rsid w:val="00870488"/>
    <w:rsid w:val="00871734"/>
    <w:rsid w:val="008735D1"/>
    <w:rsid w:val="008763C5"/>
    <w:rsid w:val="008853F2"/>
    <w:rsid w:val="00890F39"/>
    <w:rsid w:val="008931FB"/>
    <w:rsid w:val="00893858"/>
    <w:rsid w:val="008945C9"/>
    <w:rsid w:val="00895ECC"/>
    <w:rsid w:val="00896F9F"/>
    <w:rsid w:val="008A2795"/>
    <w:rsid w:val="008A598E"/>
    <w:rsid w:val="008A69AC"/>
    <w:rsid w:val="008B3375"/>
    <w:rsid w:val="008B3897"/>
    <w:rsid w:val="008B639B"/>
    <w:rsid w:val="008C0029"/>
    <w:rsid w:val="008C2B6D"/>
    <w:rsid w:val="008C783C"/>
    <w:rsid w:val="008D3B88"/>
    <w:rsid w:val="008D4D95"/>
    <w:rsid w:val="008D6378"/>
    <w:rsid w:val="008D7F72"/>
    <w:rsid w:val="008E21C1"/>
    <w:rsid w:val="008E41DC"/>
    <w:rsid w:val="008E4424"/>
    <w:rsid w:val="008F033D"/>
    <w:rsid w:val="008F28DA"/>
    <w:rsid w:val="008F7C7C"/>
    <w:rsid w:val="00901CFF"/>
    <w:rsid w:val="009062AC"/>
    <w:rsid w:val="00906833"/>
    <w:rsid w:val="00910430"/>
    <w:rsid w:val="00913E35"/>
    <w:rsid w:val="00914DDC"/>
    <w:rsid w:val="009168BB"/>
    <w:rsid w:val="00924457"/>
    <w:rsid w:val="0092507D"/>
    <w:rsid w:val="00930596"/>
    <w:rsid w:val="0093090A"/>
    <w:rsid w:val="00934603"/>
    <w:rsid w:val="009506D2"/>
    <w:rsid w:val="00957213"/>
    <w:rsid w:val="009656ED"/>
    <w:rsid w:val="0097288E"/>
    <w:rsid w:val="00972BF5"/>
    <w:rsid w:val="00974D2A"/>
    <w:rsid w:val="009767A4"/>
    <w:rsid w:val="00977B66"/>
    <w:rsid w:val="009911CB"/>
    <w:rsid w:val="00996680"/>
    <w:rsid w:val="009A329E"/>
    <w:rsid w:val="009A5B4B"/>
    <w:rsid w:val="009B3470"/>
    <w:rsid w:val="009B389A"/>
    <w:rsid w:val="009B57D9"/>
    <w:rsid w:val="009D2114"/>
    <w:rsid w:val="009D311B"/>
    <w:rsid w:val="009D33CE"/>
    <w:rsid w:val="009D57B8"/>
    <w:rsid w:val="009D7122"/>
    <w:rsid w:val="009F5632"/>
    <w:rsid w:val="009F57C8"/>
    <w:rsid w:val="009F7ADC"/>
    <w:rsid w:val="00A00545"/>
    <w:rsid w:val="00A021F2"/>
    <w:rsid w:val="00A040CA"/>
    <w:rsid w:val="00A123F2"/>
    <w:rsid w:val="00A3048F"/>
    <w:rsid w:val="00A37DF1"/>
    <w:rsid w:val="00A423DF"/>
    <w:rsid w:val="00A503F7"/>
    <w:rsid w:val="00A52717"/>
    <w:rsid w:val="00A52FCE"/>
    <w:rsid w:val="00A604C1"/>
    <w:rsid w:val="00A61EE7"/>
    <w:rsid w:val="00A635E5"/>
    <w:rsid w:val="00A647D1"/>
    <w:rsid w:val="00A70393"/>
    <w:rsid w:val="00A73581"/>
    <w:rsid w:val="00A752B3"/>
    <w:rsid w:val="00A80F55"/>
    <w:rsid w:val="00A81E52"/>
    <w:rsid w:val="00A845B9"/>
    <w:rsid w:val="00A968C6"/>
    <w:rsid w:val="00A96B04"/>
    <w:rsid w:val="00AA304C"/>
    <w:rsid w:val="00AA4313"/>
    <w:rsid w:val="00AA5C4A"/>
    <w:rsid w:val="00AB7B89"/>
    <w:rsid w:val="00AC04C6"/>
    <w:rsid w:val="00AC634F"/>
    <w:rsid w:val="00AD0C0F"/>
    <w:rsid w:val="00AD3687"/>
    <w:rsid w:val="00AD46A3"/>
    <w:rsid w:val="00AE443D"/>
    <w:rsid w:val="00AE5782"/>
    <w:rsid w:val="00AE60ED"/>
    <w:rsid w:val="00AF1FAE"/>
    <w:rsid w:val="00B02657"/>
    <w:rsid w:val="00B03432"/>
    <w:rsid w:val="00B04CDC"/>
    <w:rsid w:val="00B266CA"/>
    <w:rsid w:val="00B2708F"/>
    <w:rsid w:val="00B364AB"/>
    <w:rsid w:val="00B371AB"/>
    <w:rsid w:val="00B37BCF"/>
    <w:rsid w:val="00B4321A"/>
    <w:rsid w:val="00B46836"/>
    <w:rsid w:val="00B4733C"/>
    <w:rsid w:val="00B525A7"/>
    <w:rsid w:val="00B5687A"/>
    <w:rsid w:val="00B57CB3"/>
    <w:rsid w:val="00B61627"/>
    <w:rsid w:val="00B62577"/>
    <w:rsid w:val="00B672A8"/>
    <w:rsid w:val="00B711B6"/>
    <w:rsid w:val="00B81A61"/>
    <w:rsid w:val="00B84417"/>
    <w:rsid w:val="00B84905"/>
    <w:rsid w:val="00BA1D6A"/>
    <w:rsid w:val="00BB2438"/>
    <w:rsid w:val="00BB26EC"/>
    <w:rsid w:val="00BB7D08"/>
    <w:rsid w:val="00BD18F2"/>
    <w:rsid w:val="00BD2D0E"/>
    <w:rsid w:val="00BD6229"/>
    <w:rsid w:val="00BD747D"/>
    <w:rsid w:val="00BE123B"/>
    <w:rsid w:val="00BE304C"/>
    <w:rsid w:val="00BE63F7"/>
    <w:rsid w:val="00BE7542"/>
    <w:rsid w:val="00BF3775"/>
    <w:rsid w:val="00C02751"/>
    <w:rsid w:val="00C05098"/>
    <w:rsid w:val="00C05FE2"/>
    <w:rsid w:val="00C079A3"/>
    <w:rsid w:val="00C105CB"/>
    <w:rsid w:val="00C11DCB"/>
    <w:rsid w:val="00C125BF"/>
    <w:rsid w:val="00C13ACA"/>
    <w:rsid w:val="00C1701E"/>
    <w:rsid w:val="00C20576"/>
    <w:rsid w:val="00C33B6D"/>
    <w:rsid w:val="00C34B42"/>
    <w:rsid w:val="00C3758A"/>
    <w:rsid w:val="00C440D4"/>
    <w:rsid w:val="00C45AF2"/>
    <w:rsid w:val="00C546B2"/>
    <w:rsid w:val="00C579E1"/>
    <w:rsid w:val="00C6053A"/>
    <w:rsid w:val="00C64ACD"/>
    <w:rsid w:val="00C66178"/>
    <w:rsid w:val="00C716B6"/>
    <w:rsid w:val="00C71740"/>
    <w:rsid w:val="00C8494D"/>
    <w:rsid w:val="00C84AB1"/>
    <w:rsid w:val="00C867C2"/>
    <w:rsid w:val="00C90BBF"/>
    <w:rsid w:val="00C90DA6"/>
    <w:rsid w:val="00C90FA6"/>
    <w:rsid w:val="00C92384"/>
    <w:rsid w:val="00CB2F73"/>
    <w:rsid w:val="00CC0E4E"/>
    <w:rsid w:val="00CC13B5"/>
    <w:rsid w:val="00CC14F6"/>
    <w:rsid w:val="00CC2238"/>
    <w:rsid w:val="00CC6193"/>
    <w:rsid w:val="00CC75B0"/>
    <w:rsid w:val="00CC77D8"/>
    <w:rsid w:val="00CD5382"/>
    <w:rsid w:val="00CF0763"/>
    <w:rsid w:val="00CF51C9"/>
    <w:rsid w:val="00CF6ECD"/>
    <w:rsid w:val="00D02807"/>
    <w:rsid w:val="00D030FE"/>
    <w:rsid w:val="00D053E2"/>
    <w:rsid w:val="00D123E1"/>
    <w:rsid w:val="00D13FFA"/>
    <w:rsid w:val="00D15040"/>
    <w:rsid w:val="00D2077D"/>
    <w:rsid w:val="00D2610F"/>
    <w:rsid w:val="00D27760"/>
    <w:rsid w:val="00D31A6B"/>
    <w:rsid w:val="00D33E5F"/>
    <w:rsid w:val="00D375E7"/>
    <w:rsid w:val="00D400C4"/>
    <w:rsid w:val="00D42C32"/>
    <w:rsid w:val="00D51344"/>
    <w:rsid w:val="00D51685"/>
    <w:rsid w:val="00D51836"/>
    <w:rsid w:val="00D5332D"/>
    <w:rsid w:val="00D53BFD"/>
    <w:rsid w:val="00D540B6"/>
    <w:rsid w:val="00D70F79"/>
    <w:rsid w:val="00D736C7"/>
    <w:rsid w:val="00D81B35"/>
    <w:rsid w:val="00D86F1A"/>
    <w:rsid w:val="00D96E10"/>
    <w:rsid w:val="00DA5AD7"/>
    <w:rsid w:val="00DB1BF2"/>
    <w:rsid w:val="00DB2590"/>
    <w:rsid w:val="00DB30C9"/>
    <w:rsid w:val="00DB4728"/>
    <w:rsid w:val="00DB4BC7"/>
    <w:rsid w:val="00DB553E"/>
    <w:rsid w:val="00DB6121"/>
    <w:rsid w:val="00DB672E"/>
    <w:rsid w:val="00DC0E33"/>
    <w:rsid w:val="00DC3A36"/>
    <w:rsid w:val="00DD031C"/>
    <w:rsid w:val="00DD4D6A"/>
    <w:rsid w:val="00DF0171"/>
    <w:rsid w:val="00DF6670"/>
    <w:rsid w:val="00E035CE"/>
    <w:rsid w:val="00E07339"/>
    <w:rsid w:val="00E146B5"/>
    <w:rsid w:val="00E1663F"/>
    <w:rsid w:val="00E17AEA"/>
    <w:rsid w:val="00E216D4"/>
    <w:rsid w:val="00E23AFC"/>
    <w:rsid w:val="00E33BE1"/>
    <w:rsid w:val="00E353E3"/>
    <w:rsid w:val="00E37697"/>
    <w:rsid w:val="00E3788A"/>
    <w:rsid w:val="00E450C8"/>
    <w:rsid w:val="00E451FD"/>
    <w:rsid w:val="00E453C0"/>
    <w:rsid w:val="00E457D2"/>
    <w:rsid w:val="00E56E19"/>
    <w:rsid w:val="00E63DD0"/>
    <w:rsid w:val="00E72435"/>
    <w:rsid w:val="00E74849"/>
    <w:rsid w:val="00E75B9A"/>
    <w:rsid w:val="00E77900"/>
    <w:rsid w:val="00E81C52"/>
    <w:rsid w:val="00E83116"/>
    <w:rsid w:val="00E83B35"/>
    <w:rsid w:val="00E93D63"/>
    <w:rsid w:val="00E94E3C"/>
    <w:rsid w:val="00EA1992"/>
    <w:rsid w:val="00EB10E4"/>
    <w:rsid w:val="00EB4515"/>
    <w:rsid w:val="00EB7D80"/>
    <w:rsid w:val="00EC0EF8"/>
    <w:rsid w:val="00EC1A5B"/>
    <w:rsid w:val="00EC58BB"/>
    <w:rsid w:val="00EC5FA0"/>
    <w:rsid w:val="00ED026C"/>
    <w:rsid w:val="00ED0D09"/>
    <w:rsid w:val="00ED215F"/>
    <w:rsid w:val="00ED3FA0"/>
    <w:rsid w:val="00EE029D"/>
    <w:rsid w:val="00EE0D4B"/>
    <w:rsid w:val="00EE6D1D"/>
    <w:rsid w:val="00EF007B"/>
    <w:rsid w:val="00EF1089"/>
    <w:rsid w:val="00EF374B"/>
    <w:rsid w:val="00EF4508"/>
    <w:rsid w:val="00EF65F0"/>
    <w:rsid w:val="00EF6A3D"/>
    <w:rsid w:val="00EF75CB"/>
    <w:rsid w:val="00F017DA"/>
    <w:rsid w:val="00F02258"/>
    <w:rsid w:val="00F025B2"/>
    <w:rsid w:val="00F04087"/>
    <w:rsid w:val="00F0503F"/>
    <w:rsid w:val="00F27D93"/>
    <w:rsid w:val="00F3215F"/>
    <w:rsid w:val="00F40BBA"/>
    <w:rsid w:val="00F41173"/>
    <w:rsid w:val="00F43904"/>
    <w:rsid w:val="00F47755"/>
    <w:rsid w:val="00F5646B"/>
    <w:rsid w:val="00F56BC5"/>
    <w:rsid w:val="00F63779"/>
    <w:rsid w:val="00F63CE8"/>
    <w:rsid w:val="00F662DC"/>
    <w:rsid w:val="00F66C22"/>
    <w:rsid w:val="00F71758"/>
    <w:rsid w:val="00F748B2"/>
    <w:rsid w:val="00F82C72"/>
    <w:rsid w:val="00FA1087"/>
    <w:rsid w:val="00FA3A35"/>
    <w:rsid w:val="00FB2CB3"/>
    <w:rsid w:val="00FB5CD4"/>
    <w:rsid w:val="00FB616A"/>
    <w:rsid w:val="00FC2455"/>
    <w:rsid w:val="00FC2904"/>
    <w:rsid w:val="00FC5040"/>
    <w:rsid w:val="00FD7084"/>
    <w:rsid w:val="00FD77D6"/>
    <w:rsid w:val="00FE25B5"/>
    <w:rsid w:val="00FE6916"/>
    <w:rsid w:val="00FF005A"/>
    <w:rsid w:val="00FF1439"/>
    <w:rsid w:val="00FF551A"/>
    <w:rsid w:val="0E4A6F2B"/>
    <w:rsid w:val="196F11D7"/>
    <w:rsid w:val="1BE42050"/>
    <w:rsid w:val="1C99302D"/>
    <w:rsid w:val="200B5A40"/>
    <w:rsid w:val="20EC4FC6"/>
    <w:rsid w:val="23D87BE9"/>
    <w:rsid w:val="3CFD2D52"/>
    <w:rsid w:val="42E61967"/>
    <w:rsid w:val="484E10AD"/>
    <w:rsid w:val="48B83281"/>
    <w:rsid w:val="492A6049"/>
    <w:rsid w:val="563A433F"/>
    <w:rsid w:val="56BD1706"/>
    <w:rsid w:val="57A41AC9"/>
    <w:rsid w:val="59756784"/>
    <w:rsid w:val="5F386214"/>
    <w:rsid w:val="608F1356"/>
    <w:rsid w:val="65E049D2"/>
    <w:rsid w:val="666631D0"/>
    <w:rsid w:val="71F56951"/>
    <w:rsid w:val="76532A48"/>
    <w:rsid w:val="7BD31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A7A0EE"/>
  <w15:docId w15:val="{5D42AEB2-8C8B-4436-8D90-68F9A7EE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ind w:firstLineChars="200" w:firstLine="200"/>
      <w:jc w:val="both"/>
    </w:pPr>
    <w:rPr>
      <w:rFonts w:ascii="仿宋" w:eastAsia="仿宋" w:hAnsi="仿宋" w:cstheme="minorBidi"/>
      <w:kern w:val="2"/>
      <w:sz w:val="24"/>
      <w:szCs w:val="22"/>
    </w:rPr>
  </w:style>
  <w:style w:type="paragraph" w:styleId="1">
    <w:name w:val="heading 1"/>
    <w:basedOn w:val="a"/>
    <w:next w:val="a"/>
    <w:link w:val="10"/>
    <w:uiPriority w:val="9"/>
    <w:qFormat/>
    <w:pPr>
      <w:keepNext/>
      <w:keepLines/>
      <w:spacing w:before="60" w:after="60"/>
      <w:ind w:firstLineChars="0" w:firstLine="0"/>
      <w:jc w:val="center"/>
      <w:outlineLvl w:val="0"/>
    </w:pPr>
    <w:rPr>
      <w:rFonts w:asciiTheme="minorHAnsi" w:eastAsiaTheme="minorEastAsia" w:hAnsiTheme="minorHAnsi"/>
      <w:b/>
      <w:bCs/>
      <w:kern w:val="44"/>
      <w:sz w:val="32"/>
      <w:szCs w:val="44"/>
    </w:rPr>
  </w:style>
  <w:style w:type="paragraph" w:styleId="2">
    <w:name w:val="heading 2"/>
    <w:basedOn w:val="a"/>
    <w:next w:val="a"/>
    <w:link w:val="20"/>
    <w:uiPriority w:val="9"/>
    <w:unhideWhenUsed/>
    <w:qFormat/>
    <w:pPr>
      <w:keepNext/>
      <w:keepLines/>
      <w:spacing w:before="60" w:after="60"/>
      <w:ind w:firstLineChars="0" w:firstLine="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pPr>
      <w:keepNext/>
      <w:keepLines/>
      <w:spacing w:before="60" w:after="60" w:line="240" w:lineRule="auto"/>
      <w:ind w:firstLineChars="0" w:firstLine="0"/>
      <w:outlineLvl w:val="2"/>
    </w:pPr>
    <w:rPr>
      <w:b/>
      <w:bCs/>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uto"/>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b">
    <w:name w:val="footnote text"/>
    <w:basedOn w:val="a"/>
    <w:link w:val="ac"/>
    <w:uiPriority w:val="99"/>
    <w:semiHidden/>
    <w:unhideWhenUsed/>
    <w:qFormat/>
    <w:pPr>
      <w:snapToGrid w:val="0"/>
      <w:jc w:val="left"/>
    </w:pPr>
    <w:rPr>
      <w:sz w:val="18"/>
      <w:szCs w:val="18"/>
    </w:rPr>
  </w:style>
  <w:style w:type="paragraph" w:styleId="ad">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styleId="ae">
    <w:name w:val="annotation subject"/>
    <w:basedOn w:val="a3"/>
    <w:next w:val="a3"/>
    <w:link w:val="af"/>
    <w:uiPriority w:val="99"/>
    <w:semiHidden/>
    <w:unhideWhenUsed/>
    <w:qFormat/>
    <w:rPr>
      <w:b/>
      <w:bCs/>
    </w:rPr>
  </w:style>
  <w:style w:type="character" w:styleId="af0">
    <w:name w:val="Strong"/>
    <w:basedOn w:val="a0"/>
    <w:uiPriority w:val="22"/>
    <w:qFormat/>
    <w:rPr>
      <w:b/>
    </w:rPr>
  </w:style>
  <w:style w:type="character" w:styleId="af1">
    <w:name w:val="annotation reference"/>
    <w:basedOn w:val="a0"/>
    <w:uiPriority w:val="99"/>
    <w:semiHidden/>
    <w:unhideWhenUsed/>
    <w:qFormat/>
    <w:rPr>
      <w:sz w:val="21"/>
      <w:szCs w:val="21"/>
    </w:rPr>
  </w:style>
  <w:style w:type="character" w:styleId="af2">
    <w:name w:val="footnote reference"/>
    <w:basedOn w:val="a0"/>
    <w:uiPriority w:val="99"/>
    <w:semiHidden/>
    <w:unhideWhenUsed/>
    <w:qFormat/>
    <w:rPr>
      <w:vertAlign w:val="superscript"/>
    </w:rPr>
  </w:style>
  <w:style w:type="paragraph" w:customStyle="1" w:styleId="af3">
    <w:name w:val="任务"/>
    <w:basedOn w:val="a"/>
    <w:link w:val="af4"/>
    <w:qFormat/>
    <w:pPr>
      <w:pBdr>
        <w:top w:val="single" w:sz="4" w:space="1" w:color="auto"/>
        <w:left w:val="single" w:sz="4" w:space="4" w:color="auto"/>
        <w:bottom w:val="single" w:sz="4" w:space="1" w:color="auto"/>
        <w:right w:val="single" w:sz="4" w:space="4" w:color="auto"/>
      </w:pBdr>
      <w:jc w:val="center"/>
    </w:pPr>
    <w:rPr>
      <w:rFonts w:eastAsia="宋体"/>
      <w:b/>
      <w:color w:val="FFC000"/>
    </w:rPr>
  </w:style>
  <w:style w:type="character" w:customStyle="1" w:styleId="af4">
    <w:name w:val="任务 字符"/>
    <w:basedOn w:val="a0"/>
    <w:link w:val="af3"/>
    <w:qFormat/>
    <w:rPr>
      <w:rFonts w:eastAsia="宋体"/>
      <w:b/>
      <w:color w:val="FFC000"/>
    </w:rPr>
  </w:style>
  <w:style w:type="paragraph" w:customStyle="1" w:styleId="af5">
    <w:name w:val="猜测"/>
    <w:basedOn w:val="a"/>
    <w:next w:val="a"/>
    <w:link w:val="af6"/>
    <w:qFormat/>
    <w:pPr>
      <w:jc w:val="left"/>
    </w:pPr>
    <w:rPr>
      <w:rFonts w:eastAsia="宋体"/>
      <w:b/>
      <w:color w:val="4472C4"/>
    </w:rPr>
  </w:style>
  <w:style w:type="character" w:customStyle="1" w:styleId="af6">
    <w:name w:val="猜测 字符"/>
    <w:link w:val="af5"/>
    <w:qFormat/>
    <w:rPr>
      <w:rFonts w:eastAsia="宋体"/>
      <w:b/>
      <w:color w:val="4472C4"/>
    </w:rPr>
  </w:style>
  <w:style w:type="character" w:customStyle="1" w:styleId="10">
    <w:name w:val="标题 1 字符"/>
    <w:basedOn w:val="a0"/>
    <w:link w:val="1"/>
    <w:uiPriority w:val="9"/>
    <w:qFormat/>
    <w:rPr>
      <w:b/>
      <w:bCs/>
      <w:kern w:val="44"/>
      <w:sz w:val="32"/>
      <w:szCs w:val="44"/>
    </w:rPr>
  </w:style>
  <w:style w:type="character" w:customStyle="1" w:styleId="20">
    <w:name w:val="标题 2 字符"/>
    <w:basedOn w:val="a0"/>
    <w:link w:val="2"/>
    <w:uiPriority w:val="9"/>
    <w:qFormat/>
    <w:rPr>
      <w:rFonts w:asciiTheme="majorHAnsi" w:eastAsia="仿宋" w:hAnsiTheme="majorHAnsi" w:cstheme="majorBidi"/>
      <w:b/>
      <w:bCs/>
      <w:sz w:val="28"/>
      <w:szCs w:val="32"/>
    </w:rPr>
  </w:style>
  <w:style w:type="character" w:customStyle="1" w:styleId="30">
    <w:name w:val="标题 3 字符"/>
    <w:basedOn w:val="a0"/>
    <w:link w:val="3"/>
    <w:uiPriority w:val="9"/>
    <w:qFormat/>
    <w:rPr>
      <w:rFonts w:ascii="仿宋" w:eastAsia="仿宋" w:hAnsi="仿宋"/>
      <w:b/>
      <w:bCs/>
      <w:sz w:val="24"/>
      <w:szCs w:val="32"/>
    </w:rPr>
  </w:style>
  <w:style w:type="character" w:customStyle="1" w:styleId="aa">
    <w:name w:val="页眉 字符"/>
    <w:basedOn w:val="a0"/>
    <w:link w:val="a9"/>
    <w:uiPriority w:val="99"/>
    <w:qFormat/>
    <w:rPr>
      <w:rFonts w:ascii="仿宋" w:eastAsia="仿宋" w:hAnsi="仿宋"/>
      <w:sz w:val="18"/>
      <w:szCs w:val="18"/>
    </w:rPr>
  </w:style>
  <w:style w:type="character" w:customStyle="1" w:styleId="a8">
    <w:name w:val="页脚 字符"/>
    <w:basedOn w:val="a0"/>
    <w:link w:val="a7"/>
    <w:uiPriority w:val="99"/>
    <w:qFormat/>
    <w:rPr>
      <w:rFonts w:ascii="仿宋" w:eastAsia="仿宋" w:hAnsi="仿宋"/>
      <w:sz w:val="18"/>
      <w:szCs w:val="18"/>
    </w:rPr>
  </w:style>
  <w:style w:type="paragraph" w:styleId="af7">
    <w:name w:val="List Paragraph"/>
    <w:basedOn w:val="a"/>
    <w:uiPriority w:val="34"/>
    <w:qFormat/>
    <w:pPr>
      <w:ind w:firstLine="420"/>
    </w:pPr>
  </w:style>
  <w:style w:type="character" w:customStyle="1" w:styleId="ac">
    <w:name w:val="脚注文本 字符"/>
    <w:basedOn w:val="a0"/>
    <w:link w:val="ab"/>
    <w:uiPriority w:val="99"/>
    <w:semiHidden/>
    <w:qFormat/>
    <w:rPr>
      <w:rFonts w:ascii="仿宋" w:eastAsia="仿宋" w:hAnsi="仿宋"/>
      <w:sz w:val="18"/>
      <w:szCs w:val="18"/>
    </w:rPr>
  </w:style>
  <w:style w:type="character" w:customStyle="1" w:styleId="font21">
    <w:name w:val="font21"/>
    <w:basedOn w:val="a0"/>
    <w:qFormat/>
    <w:rPr>
      <w:rFonts w:ascii="宋体" w:eastAsia="宋体" w:hAnsi="宋体" w:cs="宋体" w:hint="eastAsia"/>
      <w:b/>
      <w:bCs/>
      <w:color w:val="000000"/>
      <w:sz w:val="22"/>
      <w:szCs w:val="22"/>
      <w:u w:val="none"/>
    </w:rPr>
  </w:style>
  <w:style w:type="character" w:customStyle="1" w:styleId="font11">
    <w:name w:val="font11"/>
    <w:basedOn w:val="a0"/>
    <w:qFormat/>
    <w:rPr>
      <w:rFonts w:ascii="宋体" w:eastAsia="宋体" w:hAnsi="宋体" w:cs="宋体" w:hint="eastAsia"/>
      <w:color w:val="000000"/>
      <w:sz w:val="22"/>
      <w:szCs w:val="22"/>
      <w:u w:val="none"/>
    </w:rPr>
  </w:style>
  <w:style w:type="character" w:customStyle="1" w:styleId="a4">
    <w:name w:val="批注文字 字符"/>
    <w:basedOn w:val="a0"/>
    <w:link w:val="a3"/>
    <w:uiPriority w:val="99"/>
    <w:semiHidden/>
    <w:qFormat/>
    <w:rPr>
      <w:rFonts w:ascii="仿宋" w:eastAsia="仿宋" w:hAnsi="仿宋" w:cstheme="minorBidi"/>
      <w:kern w:val="2"/>
      <w:sz w:val="24"/>
      <w:szCs w:val="22"/>
    </w:rPr>
  </w:style>
  <w:style w:type="character" w:customStyle="1" w:styleId="af">
    <w:name w:val="批注主题 字符"/>
    <w:basedOn w:val="a4"/>
    <w:link w:val="ae"/>
    <w:uiPriority w:val="99"/>
    <w:semiHidden/>
    <w:qFormat/>
    <w:rPr>
      <w:rFonts w:ascii="仿宋" w:eastAsia="仿宋" w:hAnsi="仿宋" w:cstheme="minorBidi"/>
      <w:b/>
      <w:bCs/>
      <w:kern w:val="2"/>
      <w:sz w:val="24"/>
      <w:szCs w:val="22"/>
    </w:rPr>
  </w:style>
  <w:style w:type="character" w:customStyle="1" w:styleId="a6">
    <w:name w:val="批注框文本 字符"/>
    <w:basedOn w:val="a0"/>
    <w:link w:val="a5"/>
    <w:uiPriority w:val="99"/>
    <w:semiHidden/>
    <w:qFormat/>
    <w:rPr>
      <w:rFonts w:ascii="仿宋" w:eastAsia="仿宋" w:hAnsi="仿宋" w:cstheme="minorBidi"/>
      <w:kern w:val="2"/>
      <w:sz w:val="18"/>
      <w:szCs w:val="18"/>
    </w:rPr>
  </w:style>
  <w:style w:type="table" w:customStyle="1" w:styleId="1-11">
    <w:name w:val="网格表 1 浅色 - 着色 11"/>
    <w:basedOn w:val="a1"/>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40">
    <w:name w:val="标题 4 字符"/>
    <w:basedOn w:val="a0"/>
    <w:link w:val="4"/>
    <w:uiPriority w:val="9"/>
    <w:semiHidden/>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iyd\Documents\&#33258;&#23450;&#20041;%20Office%20&#27169;&#26495;\&#19987;&#2525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72E06-1E85-493A-B66E-A5D626D2A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专报模板.dotx</Template>
  <TotalTime>217</TotalTime>
  <Pages>7</Pages>
  <Words>704</Words>
  <Characters>4014</Characters>
  <Application>Microsoft Office Word</Application>
  <DocSecurity>0</DocSecurity>
  <Lines>33</Lines>
  <Paragraphs>9</Paragraphs>
  <ScaleCrop>false</ScaleCrop>
  <Company>HP Inc.</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peiyd</dc:creator>
  <cp:lastModifiedBy>peiyd</cp:lastModifiedBy>
  <cp:revision>73</cp:revision>
  <dcterms:created xsi:type="dcterms:W3CDTF">2025-03-06T08:52:00Z</dcterms:created>
  <dcterms:modified xsi:type="dcterms:W3CDTF">2025-04-09T06:23:00Z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37DAEFA345924EF480A5244C69F42724_13</vt:lpwstr>
  </property>
  <property fmtid="{D5CDD505-2E9C-101B-9397-08002B2CF9AE}" pid="4" name="KSOTemplateDocerSaveRecord">
    <vt:lpwstr>eyJoZGlkIjoiOTE4Mzk2YjliNTc0M2Q5NTQwNjc5MmQxYThhYjkyNTciLCJ1c2VySWQiOiIyNzk4OTQ5NjUifQ==</vt:lpwstr>
  </property>
</Properties>
</file>