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F16DE">
      <w:pPr>
        <w:pStyle w:val="3"/>
        <w:spacing w:before="120" w:after="120" w:line="288" w:lineRule="auto"/>
        <w:jc w:val="center"/>
        <w:rPr>
          <w:sz w:val="36"/>
          <w:szCs w:val="28"/>
        </w:rPr>
      </w:pPr>
      <w:r>
        <w:rPr>
          <w:rFonts w:hint="eastAsia"/>
          <w:sz w:val="36"/>
          <w:szCs w:val="28"/>
          <w:lang w:val="en-US" w:eastAsia="zh-CN"/>
        </w:rPr>
        <w:t>从</w:t>
      </w:r>
      <w:r>
        <w:rPr>
          <w:sz w:val="36"/>
          <w:szCs w:val="28"/>
        </w:rPr>
        <w:t>可信大数据</w:t>
      </w:r>
      <w:r>
        <w:rPr>
          <w:rFonts w:hint="eastAsia"/>
          <w:sz w:val="36"/>
          <w:szCs w:val="28"/>
          <w:lang w:val="en-US" w:eastAsia="zh-CN"/>
        </w:rPr>
        <w:t>评测看大数据</w:t>
      </w:r>
      <w:r>
        <w:rPr>
          <w:sz w:val="36"/>
          <w:szCs w:val="28"/>
        </w:rPr>
        <w:t>产品</w:t>
      </w:r>
      <w:r>
        <w:rPr>
          <w:rFonts w:hint="eastAsia"/>
          <w:sz w:val="36"/>
          <w:szCs w:val="28"/>
          <w:lang w:val="en-US" w:eastAsia="zh-CN"/>
        </w:rPr>
        <w:t>趋势及建议</w:t>
      </w:r>
    </w:p>
    <w:p w14:paraId="3286849B">
      <w:pPr>
        <w:spacing w:before="120" w:after="120" w:line="288" w:lineRule="auto"/>
        <w:ind w:firstLine="420"/>
        <w:rPr>
          <w:rFonts w:hint="eastAsia"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中国作为世界数据资源的大国，其数据生产总量在2023年达到了32.85ZB。大数据产品</w:t>
      </w:r>
      <w:r>
        <w:rPr>
          <w:rFonts w:hint="eastAsia" w:ascii="Times New Roman" w:hAnsi="Times New Roman" w:eastAsia="宋体"/>
          <w:bCs/>
          <w:sz w:val="24"/>
          <w:szCs w:val="24"/>
        </w:rPr>
        <w:t>技术迭代快，开源生态丰富，但</w:t>
      </w:r>
      <w:r>
        <w:rPr>
          <w:rFonts w:hint="eastAsia" w:ascii="Times New Roman" w:hAnsi="Times New Roman" w:eastAsia="宋体"/>
          <w:bCs/>
          <w:sz w:val="24"/>
          <w:szCs w:val="24"/>
          <w:lang w:val="en-US" w:eastAsia="zh-CN"/>
        </w:rPr>
        <w:t>存在</w:t>
      </w:r>
      <w:r>
        <w:rPr>
          <w:rFonts w:hint="eastAsia" w:ascii="Times New Roman" w:hAnsi="Times New Roman" w:eastAsia="宋体"/>
          <w:bCs/>
          <w:sz w:val="24"/>
          <w:szCs w:val="24"/>
        </w:rPr>
        <w:t>顶层设计</w:t>
      </w:r>
      <w:r>
        <w:rPr>
          <w:rFonts w:hint="eastAsia" w:ascii="Times New Roman" w:hAnsi="Times New Roman" w:eastAsia="宋体"/>
          <w:bCs/>
          <w:sz w:val="24"/>
          <w:szCs w:val="24"/>
          <w:lang w:val="en-US" w:eastAsia="zh-CN"/>
        </w:rPr>
        <w:t>不足</w:t>
      </w:r>
      <w:r>
        <w:rPr>
          <w:rFonts w:hint="eastAsia" w:ascii="Times New Roman" w:hAnsi="Times New Roman" w:eastAsia="宋体"/>
          <w:bCs/>
          <w:sz w:val="24"/>
          <w:szCs w:val="24"/>
          <w:lang w:eastAsia="zh-CN"/>
        </w:rPr>
        <w:t>、</w:t>
      </w:r>
      <w:r>
        <w:rPr>
          <w:rFonts w:hint="eastAsia" w:ascii="Times New Roman" w:hAnsi="Times New Roman" w:eastAsia="宋体"/>
          <w:bCs/>
          <w:sz w:val="24"/>
          <w:szCs w:val="24"/>
        </w:rPr>
        <w:t>组件间架构松散</w:t>
      </w:r>
      <w:r>
        <w:rPr>
          <w:rFonts w:hint="eastAsia" w:ascii="Times New Roman" w:hAnsi="Times New Roman" w:eastAsia="宋体"/>
          <w:bCs/>
          <w:sz w:val="24"/>
          <w:szCs w:val="24"/>
          <w:lang w:eastAsia="zh-CN"/>
        </w:rPr>
        <w:t>、</w:t>
      </w:r>
      <w:r>
        <w:rPr>
          <w:rFonts w:hint="eastAsia" w:ascii="Times New Roman" w:hAnsi="Times New Roman" w:eastAsia="宋体"/>
          <w:bCs/>
          <w:sz w:val="24"/>
          <w:szCs w:val="24"/>
          <w:lang w:val="en-US" w:eastAsia="zh-CN"/>
        </w:rPr>
        <w:t>难以</w:t>
      </w:r>
      <w:r>
        <w:rPr>
          <w:rFonts w:hint="eastAsia" w:ascii="Times New Roman" w:hAnsi="Times New Roman" w:eastAsia="宋体"/>
          <w:bCs/>
          <w:sz w:val="24"/>
          <w:szCs w:val="24"/>
        </w:rPr>
        <w:t>贴合</w:t>
      </w:r>
      <w:r>
        <w:rPr>
          <w:rFonts w:hint="eastAsia" w:ascii="Times New Roman" w:hAnsi="Times New Roman" w:eastAsia="宋体"/>
          <w:bCs/>
          <w:sz w:val="24"/>
          <w:szCs w:val="24"/>
          <w:lang w:val="en-US" w:eastAsia="zh-CN"/>
        </w:rPr>
        <w:t>不同</w:t>
      </w:r>
      <w:r>
        <w:rPr>
          <w:rFonts w:hint="eastAsia" w:ascii="Times New Roman" w:hAnsi="Times New Roman" w:eastAsia="宋体"/>
          <w:bCs/>
          <w:sz w:val="24"/>
          <w:szCs w:val="24"/>
        </w:rPr>
        <w:t>企业内部复杂的业务场景</w:t>
      </w:r>
      <w:r>
        <w:rPr>
          <w:rFonts w:hint="eastAsia" w:ascii="Times New Roman" w:hAnsi="Times New Roman" w:eastAsia="宋体"/>
          <w:bCs/>
          <w:sz w:val="24"/>
          <w:szCs w:val="24"/>
          <w:lang w:val="en-US" w:eastAsia="zh-CN"/>
        </w:rPr>
        <w:t>的问题。信通院牵头的可信大数据评测对大数据产品研发和升级</w:t>
      </w:r>
      <w:r>
        <w:rPr>
          <w:rFonts w:hint="default" w:ascii="Times New Roman" w:hAnsi="Times New Roman" w:eastAsia="宋体"/>
          <w:bCs/>
          <w:sz w:val="24"/>
          <w:szCs w:val="24"/>
          <w:lang w:val="en-US" w:eastAsia="zh-CN"/>
        </w:rPr>
        <w:t>有</w:t>
      </w:r>
      <w:r>
        <w:rPr>
          <w:rFonts w:hint="eastAsia" w:ascii="Times New Roman" w:hAnsi="Times New Roman" w:eastAsia="宋体"/>
          <w:bCs/>
          <w:sz w:val="24"/>
          <w:szCs w:val="24"/>
          <w:lang w:val="en-US" w:eastAsia="zh-CN"/>
        </w:rPr>
        <w:t>重要借鉴意义。中国电信可进一步提升其大数据产品的竞争力，强化全链条解决方案的构建，推动智能化发展，并</w:t>
      </w:r>
      <w:r>
        <w:rPr>
          <w:rFonts w:hint="eastAsia" w:ascii="Times New Roman" w:hAnsi="Times New Roman" w:eastAsia="宋体" w:cstheme="minorBidi"/>
          <w:b w:val="0"/>
          <w:bCs/>
          <w:i w:val="0"/>
          <w:iCs w:val="0"/>
          <w:caps w:val="0"/>
          <w:spacing w:val="0"/>
          <w:kern w:val="2"/>
          <w:sz w:val="24"/>
          <w:szCs w:val="24"/>
          <w:shd w:val="clear"/>
          <w:lang w:eastAsia="zh-CN"/>
        </w:rPr>
        <w:t>加强数据安全</w:t>
      </w:r>
      <w:r>
        <w:rPr>
          <w:rFonts w:hint="eastAsia" w:ascii="Times New Roman" w:hAnsi="Times New Roman" w:eastAsia="宋体" w:cstheme="minorBidi"/>
          <w:b w:val="0"/>
          <w:bCs/>
          <w:i w:val="0"/>
          <w:iCs w:val="0"/>
          <w:caps w:val="0"/>
          <w:spacing w:val="0"/>
          <w:kern w:val="2"/>
          <w:sz w:val="24"/>
          <w:szCs w:val="24"/>
          <w:shd w:val="clear"/>
          <w:lang w:val="en-US" w:eastAsia="zh-CN"/>
        </w:rPr>
        <w:t>机制</w:t>
      </w:r>
      <w:r>
        <w:rPr>
          <w:rFonts w:hint="eastAsia" w:ascii="Times New Roman" w:hAnsi="Times New Roman" w:eastAsia="宋体"/>
          <w:bCs/>
          <w:sz w:val="24"/>
          <w:szCs w:val="24"/>
          <w:lang w:val="en-US" w:eastAsia="zh-CN"/>
        </w:rPr>
        <w:t>。</w:t>
      </w:r>
    </w:p>
    <w:p w14:paraId="30DAA4FC">
      <w:pPr>
        <w:pStyle w:val="2"/>
        <w:spacing w:before="120" w:after="120" w:line="288" w:lineRule="auto"/>
        <w:ind w:firstLine="420"/>
        <w:rPr>
          <w:sz w:val="24"/>
          <w:szCs w:val="24"/>
        </w:rPr>
      </w:pPr>
      <w:r>
        <w:rPr>
          <w:rFonts w:hint="eastAsia"/>
          <w:sz w:val="24"/>
          <w:szCs w:val="24"/>
        </w:rPr>
        <w:t>一、</w:t>
      </w:r>
      <w:r>
        <w:rPr>
          <w:rFonts w:hint="eastAsia"/>
          <w:sz w:val="24"/>
          <w:szCs w:val="24"/>
          <w:lang w:val="en-US" w:eastAsia="zh-CN"/>
        </w:rPr>
        <w:t>可信大数据评测贯标</w:t>
      </w:r>
      <w:r>
        <w:rPr>
          <w:rFonts w:hint="eastAsia"/>
          <w:sz w:val="24"/>
          <w:szCs w:val="24"/>
        </w:rPr>
        <w:t>情况</w:t>
      </w:r>
    </w:p>
    <w:p w14:paraId="37BA52C8">
      <w:pPr>
        <w:spacing w:before="120" w:after="120" w:line="288" w:lineRule="auto"/>
        <w:ind w:firstLine="420"/>
        <w:rPr>
          <w:rFonts w:hint="eastAsia" w:ascii="Times New Roman" w:hAnsi="Times New Roman" w:eastAsia="宋体"/>
          <w:bCs/>
          <w:sz w:val="24"/>
          <w:szCs w:val="24"/>
          <w:lang w:val="en-US" w:eastAsia="zh-CN"/>
        </w:rPr>
      </w:pPr>
      <w:bookmarkStart w:id="0" w:name="OLE_LINK2"/>
      <w:r>
        <w:rPr>
          <w:rFonts w:hint="eastAsia" w:ascii="Times New Roman" w:hAnsi="Times New Roman" w:eastAsia="宋体"/>
          <w:bCs/>
          <w:sz w:val="24"/>
          <w:szCs w:val="24"/>
          <w:lang w:val="en-US" w:eastAsia="zh-CN"/>
        </w:rPr>
        <w:t>自2015年6月起，信通院每年开展两批大数据产品能力评测，聚焦大数据、数据库、隐私计算和数据安全领域。至今已累计完成超过900次测试</w:t>
      </w:r>
      <w:r>
        <w:rPr>
          <w:rStyle w:val="17"/>
          <w:rFonts w:hint="eastAsia" w:ascii="Times New Roman" w:hAnsi="Times New Roman" w:eastAsia="宋体"/>
          <w:bCs/>
          <w:sz w:val="24"/>
          <w:szCs w:val="24"/>
          <w:lang w:val="en-US" w:eastAsia="zh-CN"/>
        </w:rPr>
        <w:footnoteReference w:id="0"/>
      </w:r>
      <w:r>
        <w:rPr>
          <w:rFonts w:hint="eastAsia" w:ascii="Times New Roman" w:hAnsi="Times New Roman" w:eastAsia="宋体"/>
          <w:bCs/>
          <w:sz w:val="24"/>
          <w:szCs w:val="24"/>
          <w:lang w:val="en-US" w:eastAsia="zh-CN"/>
        </w:rPr>
        <w:t>，覆盖322家企业的691款产品。这一历程不仅见证了国内大数据产品从起步到成熟的转变，也见证了产品生态的日益丰富和完善。</w:t>
      </w:r>
    </w:p>
    <w:p w14:paraId="6674F6B8">
      <w:pPr>
        <w:spacing w:before="120" w:after="120" w:line="288" w:lineRule="auto"/>
        <w:ind w:firstLine="480" w:firstLineChars="200"/>
        <w:rPr>
          <w:rFonts w:hint="eastAsia"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评测结果对企业在大数据产品的研发方向和对大数据厂商的产品采购决策具有重要的指导意义。随着大数据技术的不断演进，评测体系也在不断扩展和完善。目前大数据产品评测已涵盖</w:t>
      </w:r>
      <w:r>
        <w:rPr>
          <w:rFonts w:hint="eastAsia" w:ascii="Times New Roman" w:hAnsi="Times New Roman" w:eastAsia="宋体"/>
          <w:bCs/>
          <w:sz w:val="24"/>
          <w:szCs w:val="24"/>
          <w:highlight w:val="none"/>
          <w:lang w:val="en-US" w:eastAsia="zh-CN"/>
        </w:rPr>
        <w:t>30多个大数据技术产品、5类服务商能力评估和2类建设应用成熟度评估。其中，存储智能服务、数据智能平台、一数多芯等为新增的评测方向。</w:t>
      </w:r>
      <w:r>
        <w:rPr>
          <w:rFonts w:hint="eastAsia" w:ascii="Times New Roman" w:hAnsi="Times New Roman" w:eastAsia="宋体"/>
          <w:bCs/>
          <w:sz w:val="24"/>
          <w:szCs w:val="24"/>
          <w:lang w:val="en-US" w:eastAsia="zh-CN"/>
        </w:rPr>
        <w:t>评测维度从基础能力专项评测逐渐延伸至性能、稳定性和安全专项，形成了全面的评测体系。产品评测贯标最多的产品方向依次为：数据管理平台、批处理、数据集成工具、流处理，数量分别为：53、49、30和27。</w:t>
      </w:r>
    </w:p>
    <w:p w14:paraId="2E9DAAF8">
      <w:pPr>
        <w:spacing w:before="120" w:after="120" w:line="288" w:lineRule="auto"/>
        <w:jc w:val="center"/>
        <w:rPr>
          <w:sz w:val="24"/>
          <w:szCs w:val="24"/>
        </w:rPr>
      </w:pPr>
      <w:r>
        <w:rPr>
          <w:sz w:val="24"/>
          <w:szCs w:val="24"/>
        </w:rPr>
        <w:drawing>
          <wp:inline distT="0" distB="0" distL="114300" distR="114300">
            <wp:extent cx="3357880" cy="1847215"/>
            <wp:effectExtent l="0" t="0" r="4445" b="63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5"/>
                    <a:stretch>
                      <a:fillRect/>
                    </a:stretch>
                  </pic:blipFill>
                  <pic:spPr>
                    <a:xfrm>
                      <a:off x="0" y="0"/>
                      <a:ext cx="3357880" cy="1847215"/>
                    </a:xfrm>
                    <a:prstGeom prst="rect">
                      <a:avLst/>
                    </a:prstGeom>
                    <a:noFill/>
                    <a:ln>
                      <a:noFill/>
                    </a:ln>
                  </pic:spPr>
                </pic:pic>
              </a:graphicData>
            </a:graphic>
          </wp:inline>
        </w:drawing>
      </w:r>
    </w:p>
    <w:p w14:paraId="3B014CE8">
      <w:pPr>
        <w:spacing w:before="120" w:after="120" w:line="288" w:lineRule="auto"/>
        <w:jc w:val="center"/>
        <w:rPr>
          <w:rFonts w:hint="eastAsia" w:ascii="宋体" w:hAnsi="宋体" w:eastAsia="宋体"/>
          <w:sz w:val="24"/>
          <w:szCs w:val="24"/>
          <w:lang w:val="en-US" w:eastAsia="zh-CN"/>
        </w:rPr>
      </w:pPr>
      <w:r>
        <w:rPr>
          <w:rFonts w:hint="eastAsia"/>
          <w:sz w:val="24"/>
          <w:szCs w:val="24"/>
          <w:lang w:val="en-US" w:eastAsia="zh-CN"/>
        </w:rPr>
        <w:t>图1 2015-2024年</w:t>
      </w:r>
      <w:r>
        <w:rPr>
          <w:rFonts w:hint="eastAsia" w:ascii="宋体" w:hAnsi="宋体" w:eastAsia="宋体"/>
          <w:sz w:val="24"/>
          <w:szCs w:val="24"/>
          <w:lang w:val="en-US" w:eastAsia="zh-CN"/>
        </w:rPr>
        <w:t>可信大数据产品贯标次数</w:t>
      </w:r>
      <w:r>
        <w:rPr>
          <w:rStyle w:val="17"/>
          <w:rFonts w:hint="eastAsia" w:ascii="Times New Roman" w:hAnsi="Times New Roman" w:eastAsia="宋体"/>
          <w:bCs/>
          <w:sz w:val="24"/>
          <w:szCs w:val="24"/>
          <w:lang w:val="en-US" w:eastAsia="zh-CN"/>
        </w:rPr>
        <w:footnoteReference w:id="1"/>
      </w:r>
    </w:p>
    <w:p w14:paraId="3067B184">
      <w:pPr>
        <w:spacing w:before="120" w:after="120" w:line="288" w:lineRule="auto"/>
        <w:jc w:val="center"/>
      </w:pPr>
      <w:r>
        <w:drawing>
          <wp:inline distT="0" distB="0" distL="114300" distR="114300">
            <wp:extent cx="2868295" cy="2239010"/>
            <wp:effectExtent l="0" t="0" r="8255" b="889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6"/>
                    <a:stretch>
                      <a:fillRect/>
                    </a:stretch>
                  </pic:blipFill>
                  <pic:spPr>
                    <a:xfrm>
                      <a:off x="0" y="0"/>
                      <a:ext cx="2868295" cy="2239010"/>
                    </a:xfrm>
                    <a:prstGeom prst="rect">
                      <a:avLst/>
                    </a:prstGeom>
                    <a:noFill/>
                    <a:ln>
                      <a:noFill/>
                    </a:ln>
                  </pic:spPr>
                </pic:pic>
              </a:graphicData>
            </a:graphic>
          </wp:inline>
        </w:drawing>
      </w:r>
    </w:p>
    <w:p w14:paraId="7B40BD8D">
      <w:pPr>
        <w:spacing w:before="120" w:after="120" w:line="288" w:lineRule="auto"/>
        <w:jc w:val="center"/>
        <w:rPr>
          <w:rFonts w:hint="default" w:asciiTheme="minorHAnsi" w:hAnsiTheme="minorHAnsi" w:eastAsiaTheme="minorEastAsia"/>
          <w:szCs w:val="22"/>
          <w:lang w:val="en-US" w:eastAsia="zh-CN"/>
        </w:rPr>
      </w:pPr>
      <w:r>
        <w:rPr>
          <w:rFonts w:hint="eastAsia" w:ascii="宋体" w:hAnsi="宋体" w:eastAsia="宋体"/>
          <w:sz w:val="24"/>
          <w:szCs w:val="24"/>
          <w:lang w:val="en-US" w:eastAsia="zh-CN"/>
        </w:rPr>
        <w:t>图2 不同领域可信大数据产品贯标次数占比</w:t>
      </w:r>
    </w:p>
    <w:bookmarkEnd w:id="0"/>
    <w:p w14:paraId="0CC514C9">
      <w:pPr>
        <w:pStyle w:val="2"/>
        <w:numPr>
          <w:ilvl w:val="0"/>
          <w:numId w:val="1"/>
        </w:numPr>
        <w:spacing w:before="120" w:after="120" w:line="288" w:lineRule="auto"/>
        <w:ind w:firstLine="420"/>
        <w:rPr>
          <w:sz w:val="24"/>
          <w:szCs w:val="24"/>
        </w:rPr>
      </w:pPr>
      <w:r>
        <w:rPr>
          <w:rFonts w:hint="eastAsia"/>
          <w:sz w:val="24"/>
          <w:szCs w:val="24"/>
          <w:lang w:val="en-US" w:eastAsia="zh-CN"/>
        </w:rPr>
        <w:t>大数据产品发展趋势分析</w:t>
      </w:r>
    </w:p>
    <w:p w14:paraId="0A5AD5D8">
      <w:pPr>
        <w:keepNext w:val="0"/>
        <w:keepLines w:val="0"/>
        <w:pageBreakBefore w:val="0"/>
        <w:kinsoku/>
        <w:wordWrap/>
        <w:overflowPunct/>
        <w:topLinePunct w:val="0"/>
        <w:autoSpaceDE/>
        <w:autoSpaceDN/>
        <w:bidi w:val="0"/>
        <w:adjustRightInd/>
        <w:snapToGrid/>
        <w:spacing w:before="120" w:after="120" w:line="288" w:lineRule="auto"/>
        <w:ind w:firstLine="420"/>
        <w:rPr>
          <w:rFonts w:hint="eastAsia" w:ascii="Times New Roman" w:hAnsi="Times New Roman" w:eastAsia="宋体"/>
          <w:b w:val="0"/>
          <w:bCs/>
          <w:sz w:val="24"/>
          <w:szCs w:val="24"/>
          <w:lang w:val="en-US" w:eastAsia="zh-CN"/>
        </w:rPr>
      </w:pPr>
      <w:bookmarkStart w:id="1" w:name="OLE_LINK1"/>
      <w:r>
        <w:rPr>
          <w:rFonts w:hint="eastAsia" w:ascii="Times New Roman" w:hAnsi="Times New Roman" w:eastAsia="宋体"/>
          <w:b w:val="0"/>
          <w:bCs/>
          <w:sz w:val="24"/>
          <w:szCs w:val="24"/>
          <w:lang w:val="en-US" w:eastAsia="zh-CN"/>
        </w:rPr>
        <w:t>文章选择贯标次数较多、细分领域头部企业展开对标，总结大数据产品特点和发展趋势。</w:t>
      </w:r>
    </w:p>
    <w:p w14:paraId="71EADFF5">
      <w:pPr>
        <w:keepNext w:val="0"/>
        <w:keepLines w:val="0"/>
        <w:pageBreakBefore w:val="0"/>
        <w:kinsoku/>
        <w:wordWrap/>
        <w:overflowPunct/>
        <w:topLinePunct w:val="0"/>
        <w:autoSpaceDE/>
        <w:autoSpaceDN/>
        <w:bidi w:val="0"/>
        <w:adjustRightInd/>
        <w:snapToGrid/>
        <w:spacing w:before="120" w:after="120" w:line="288" w:lineRule="auto"/>
        <w:ind w:firstLine="0"/>
        <w:jc w:val="center"/>
        <w:rPr>
          <w:rFonts w:hint="eastAsia" w:ascii="宋体" w:hAnsi="宋体" w:eastAsia="宋体"/>
          <w:sz w:val="24"/>
          <w:szCs w:val="24"/>
          <w:lang w:val="en-US" w:eastAsia="zh-CN"/>
        </w:rPr>
      </w:pPr>
      <w:r>
        <w:rPr>
          <w:rFonts w:hint="eastAsia" w:ascii="宋体" w:hAnsi="宋体" w:eastAsia="宋体"/>
          <w:sz w:val="24"/>
          <w:szCs w:val="24"/>
          <w:lang w:val="en-US" w:eastAsia="zh-CN"/>
        </w:rPr>
        <w:t>表1  优秀企业的大数据产品贯标情况</w:t>
      </w:r>
    </w:p>
    <w:p w14:paraId="52A7E9B4">
      <w:pPr>
        <w:spacing w:before="120" w:after="120" w:line="288" w:lineRule="auto"/>
        <w:ind w:firstLine="0"/>
        <w:jc w:val="left"/>
        <w:rPr>
          <w:rFonts w:hint="eastAsia" w:ascii="宋体" w:hAnsi="宋体" w:eastAsia="宋体"/>
          <w:sz w:val="24"/>
          <w:szCs w:val="24"/>
          <w:lang w:val="en-US" w:eastAsia="zh-CN"/>
        </w:rPr>
      </w:pPr>
      <w:r>
        <w:rPr>
          <w:sz w:val="24"/>
          <w:szCs w:val="24"/>
        </w:rPr>
        <w:drawing>
          <wp:inline distT="0" distB="0" distL="114300" distR="114300">
            <wp:extent cx="5265420" cy="5342890"/>
            <wp:effectExtent l="0" t="0" r="1905"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7"/>
                    <a:srcRect b="-791"/>
                    <a:stretch>
                      <a:fillRect/>
                    </a:stretch>
                  </pic:blipFill>
                  <pic:spPr>
                    <a:xfrm>
                      <a:off x="0" y="0"/>
                      <a:ext cx="5265420" cy="5342890"/>
                    </a:xfrm>
                    <a:prstGeom prst="rect">
                      <a:avLst/>
                    </a:prstGeom>
                    <a:noFill/>
                    <a:ln>
                      <a:noFill/>
                    </a:ln>
                  </pic:spPr>
                </pic:pic>
              </a:graphicData>
            </a:graphic>
          </wp:inline>
        </w:drawing>
      </w:r>
    </w:p>
    <w:p w14:paraId="4F4F7503">
      <w:pPr>
        <w:pStyle w:val="3"/>
        <w:numPr>
          <w:ilvl w:val="0"/>
          <w:numId w:val="2"/>
        </w:numPr>
        <w:spacing w:before="120" w:after="120" w:line="288" w:lineRule="auto"/>
        <w:ind w:firstLine="420"/>
        <w:jc w:val="left"/>
        <w:rPr>
          <w:rFonts w:hint="eastAsia" w:ascii="Arial" w:hAnsi="Arial" w:eastAsia="黑体"/>
          <w:sz w:val="24"/>
          <w:szCs w:val="24"/>
          <w:lang w:val="en-US" w:eastAsia="zh-CN"/>
        </w:rPr>
      </w:pPr>
      <w:r>
        <w:rPr>
          <w:rFonts w:hint="eastAsia"/>
          <w:sz w:val="24"/>
        </w:rPr>
        <w:t>注重技术整合</w:t>
      </w:r>
      <w:r>
        <w:rPr>
          <w:rFonts w:hint="eastAsia"/>
          <w:sz w:val="24"/>
          <w:lang w:val="en-US" w:eastAsia="zh-CN"/>
        </w:rPr>
        <w:t>和</w:t>
      </w:r>
      <w:r>
        <w:rPr>
          <w:rFonts w:hint="eastAsia"/>
          <w:sz w:val="24"/>
        </w:rPr>
        <w:t>兼容性，Serverless已成为标配</w:t>
      </w:r>
    </w:p>
    <w:p w14:paraId="50C50CAA">
      <w:pPr>
        <w:spacing w:before="120" w:after="120" w:line="288" w:lineRule="auto"/>
        <w:ind w:firstLine="482" w:firstLineChars="200"/>
        <w:rPr>
          <w:rFonts w:hint="eastAsia" w:ascii="Times New Roman" w:hAnsi="Times New Roman" w:eastAsia="宋体"/>
          <w:b w:val="0"/>
          <w:bCs/>
          <w:sz w:val="24"/>
          <w:szCs w:val="24"/>
          <w:lang w:val="en-US" w:eastAsia="zh-CN"/>
        </w:rPr>
      </w:pPr>
      <w:r>
        <w:rPr>
          <w:rFonts w:hint="eastAsia" w:ascii="Times New Roman" w:hAnsi="Times New Roman" w:eastAsia="宋体"/>
          <w:b/>
          <w:bCs w:val="0"/>
          <w:sz w:val="24"/>
          <w:szCs w:val="24"/>
          <w:lang w:val="en-US" w:eastAsia="zh-CN"/>
        </w:rPr>
        <w:t>一是开源生态</w:t>
      </w:r>
      <w:bookmarkStart w:id="3" w:name="_GoBack"/>
      <w:bookmarkEnd w:id="3"/>
      <w:r>
        <w:rPr>
          <w:rFonts w:hint="eastAsia" w:ascii="Times New Roman" w:hAnsi="Times New Roman" w:eastAsia="宋体"/>
          <w:b/>
          <w:bCs w:val="0"/>
          <w:sz w:val="24"/>
          <w:szCs w:val="24"/>
          <w:lang w:val="en-US" w:eastAsia="zh-CN"/>
        </w:rPr>
        <w:t>。</w:t>
      </w:r>
      <w:r>
        <w:rPr>
          <w:rFonts w:hint="eastAsia" w:ascii="Times New Roman" w:hAnsi="Times New Roman" w:eastAsia="宋体"/>
          <w:b w:val="0"/>
          <w:bCs/>
          <w:sz w:val="24"/>
          <w:szCs w:val="24"/>
          <w:lang w:val="en-US" w:eastAsia="zh-CN"/>
        </w:rPr>
        <w:t>大数据产品兼容多种开源大数据技术，使企业数据能跨平台流转。开源大数据技术如Hadoop、Spark、Flink等已非常成熟，并且还在不断演进。未来，大数据企业将继续优化开源框架，组件和工具，提高性能，全面赋能数据分析、应用和治理。如腾讯TBDS兼容开源Hadoop标准生态，支持HDFS平滑迁移，同时兼容SparkSQL等内存迭代计算引擎，提供高效的数据处理能力。</w:t>
      </w:r>
    </w:p>
    <w:p w14:paraId="58C4007F">
      <w:pPr>
        <w:spacing w:before="120" w:after="120" w:line="288" w:lineRule="auto"/>
        <w:ind w:firstLine="482" w:firstLineChars="200"/>
        <w:rPr>
          <w:rFonts w:hint="eastAsia" w:ascii="Times New Roman" w:hAnsi="Times New Roman" w:eastAsia="宋体"/>
          <w:b w:val="0"/>
          <w:bCs/>
          <w:sz w:val="24"/>
          <w:szCs w:val="24"/>
          <w:lang w:val="en-US" w:eastAsia="zh-CN"/>
        </w:rPr>
      </w:pPr>
      <w:r>
        <w:rPr>
          <w:rFonts w:hint="eastAsia" w:ascii="Times New Roman" w:hAnsi="Times New Roman" w:eastAsia="宋体"/>
          <w:b/>
          <w:bCs w:val="0"/>
          <w:sz w:val="24"/>
          <w:szCs w:val="24"/>
          <w:lang w:val="en-US" w:eastAsia="zh-CN"/>
        </w:rPr>
        <w:t>二是一站式服务。</w:t>
      </w:r>
      <w:r>
        <w:rPr>
          <w:rFonts w:hint="eastAsia" w:ascii="Times New Roman" w:hAnsi="Times New Roman" w:eastAsia="宋体"/>
          <w:b w:val="0"/>
          <w:bCs/>
          <w:sz w:val="24"/>
          <w:szCs w:val="24"/>
          <w:lang w:val="en-US" w:eastAsia="zh-CN"/>
        </w:rPr>
        <w:t>大数据产品的一站式服务和数据闭环处理正持续发展，未来将更加注重智能化、实时化和数据资产化。如阿里云的MaxComputer以其数据处理能力和低成本优势，广泛应用在追求成本效率的场景；Hologres以其快速响应能力，在即时反馈的应用场景，如社交媒体视频推荐，发挥着关键作用。此外，Dataphin、DataHub、DataV和DataWorks等产品高度集成，构建起全链条的大数据处理闭环。联通大数据平台软件CUDP通过湖仓一体数据平台建设成熟度模型贯标，提供大数据存储、调度、实时/离线等多计算引擎的一站式技术栈服务。</w:t>
      </w:r>
    </w:p>
    <w:p w14:paraId="463E238F">
      <w:pPr>
        <w:spacing w:before="120" w:after="120" w:line="288" w:lineRule="auto"/>
        <w:ind w:firstLine="482" w:firstLineChars="200"/>
        <w:rPr>
          <w:rFonts w:hint="eastAsia" w:ascii="Times New Roman" w:hAnsi="Times New Roman" w:eastAsia="宋体"/>
          <w:b w:val="0"/>
          <w:bCs/>
          <w:sz w:val="24"/>
          <w:szCs w:val="24"/>
          <w:lang w:val="en-US" w:eastAsia="zh-CN"/>
        </w:rPr>
      </w:pPr>
      <w:r>
        <w:rPr>
          <w:rFonts w:hint="eastAsia" w:ascii="Times New Roman" w:hAnsi="Times New Roman" w:eastAsia="宋体"/>
          <w:b/>
          <w:bCs w:val="0"/>
          <w:sz w:val="24"/>
          <w:szCs w:val="24"/>
          <w:lang w:val="en-US" w:eastAsia="zh-CN"/>
        </w:rPr>
        <w:t>三是全面Serverless化。</w:t>
      </w:r>
      <w:r>
        <w:rPr>
          <w:rFonts w:hint="eastAsia" w:ascii="Times New Roman" w:hAnsi="Times New Roman" w:eastAsia="宋体"/>
          <w:b w:val="0"/>
          <w:bCs/>
          <w:sz w:val="24"/>
          <w:szCs w:val="24"/>
          <w:lang w:val="en-US" w:eastAsia="zh-CN"/>
        </w:rPr>
        <w:t>未来，大数据产品将趋向全面Serverless化，以提高资源利用率和系统性能，并减轻企业的运维负担，使企业能够更专注于业务价值的创造。阿里云的开源大数据平台已全面实现Serverless产品化，包括EMR Serverless Spark、EMR Serverless StarRocks以及Serverless实时计算Flink版等。</w:t>
      </w:r>
    </w:p>
    <w:p w14:paraId="421C6E23">
      <w:pPr>
        <w:pStyle w:val="3"/>
        <w:numPr>
          <w:ilvl w:val="0"/>
          <w:numId w:val="2"/>
        </w:numPr>
        <w:spacing w:before="120" w:after="120" w:line="288" w:lineRule="auto"/>
        <w:ind w:firstLine="420"/>
        <w:rPr>
          <w:sz w:val="24"/>
        </w:rPr>
      </w:pPr>
      <w:r>
        <w:rPr>
          <w:rFonts w:hint="eastAsia"/>
          <w:sz w:val="24"/>
          <w:lang w:val="en-US" w:eastAsia="zh-CN"/>
        </w:rPr>
        <w:t>AI和</w:t>
      </w:r>
      <w:r>
        <w:rPr>
          <w:rFonts w:hint="eastAsia"/>
          <w:sz w:val="24"/>
        </w:rPr>
        <w:t>大数据</w:t>
      </w:r>
      <w:r>
        <w:rPr>
          <w:rFonts w:hint="eastAsia"/>
          <w:sz w:val="24"/>
          <w:lang w:val="en-US" w:eastAsia="zh-CN"/>
        </w:rPr>
        <w:t>协同作用，加速产品向数智方向演进</w:t>
      </w:r>
    </w:p>
    <w:p w14:paraId="7717728C">
      <w:pPr>
        <w:spacing w:before="120" w:after="120" w:line="288" w:lineRule="auto"/>
        <w:ind w:firstLine="420"/>
        <w:rPr>
          <w:rFonts w:hint="eastAsia"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随着大模型技术的普及应用，大数据市场需求急增，据调研显示阿里云的大数据产品过去财年的同比增长率达到了30%~40%。大数据产品正朝着交互式、向量化和直观化的数智一体方向发展。</w:t>
      </w:r>
    </w:p>
    <w:p w14:paraId="759C4C17">
      <w:pPr>
        <w:spacing w:before="120" w:after="120" w:line="288" w:lineRule="auto"/>
        <w:ind w:firstLine="420"/>
        <w:rPr>
          <w:rFonts w:hint="eastAsia" w:ascii="Times New Roman" w:hAnsi="Times New Roman" w:eastAsia="宋体"/>
          <w:b w:val="0"/>
          <w:bCs/>
          <w:sz w:val="24"/>
          <w:szCs w:val="24"/>
          <w:lang w:val="en-US" w:eastAsia="zh-CN"/>
        </w:rPr>
      </w:pPr>
      <w:r>
        <w:rPr>
          <w:rFonts w:hint="eastAsia" w:ascii="Times New Roman" w:hAnsi="Times New Roman" w:eastAsia="宋体"/>
          <w:b/>
          <w:bCs w:val="0"/>
          <w:sz w:val="24"/>
          <w:szCs w:val="24"/>
          <w:lang w:val="en-US" w:eastAsia="zh-CN"/>
        </w:rPr>
        <w:t>一是交互式。</w:t>
      </w:r>
      <w:r>
        <w:rPr>
          <w:rFonts w:hint="eastAsia" w:ascii="Times New Roman" w:hAnsi="Times New Roman" w:eastAsia="宋体"/>
          <w:b w:val="0"/>
          <w:bCs/>
          <w:sz w:val="24"/>
          <w:szCs w:val="24"/>
          <w:lang w:val="en-US" w:eastAsia="zh-CN"/>
        </w:rPr>
        <w:t>大数据产品将继续增强交互式环境，以简化AI模型的开发和部署。如阿里云的分布式计算框架MaxFrame支持Pandas接口自动执行分布式计算，并与MaxCompute Notebook和DataWorks集成，提供即开即用的交互式开发环境，极大地简化AI模型开发和部署的复杂性。</w:t>
      </w:r>
    </w:p>
    <w:p w14:paraId="48B40005">
      <w:pPr>
        <w:spacing w:before="120" w:after="120" w:line="288" w:lineRule="auto"/>
        <w:ind w:firstLine="420"/>
        <w:rPr>
          <w:rFonts w:hint="eastAsia" w:ascii="Times New Roman" w:hAnsi="Times New Roman" w:eastAsia="宋体"/>
          <w:b w:val="0"/>
          <w:bCs/>
          <w:sz w:val="24"/>
          <w:szCs w:val="24"/>
          <w:lang w:val="en-US" w:eastAsia="zh-CN"/>
        </w:rPr>
      </w:pPr>
      <w:r>
        <w:rPr>
          <w:rFonts w:hint="eastAsia" w:ascii="Times New Roman" w:hAnsi="Times New Roman" w:eastAsia="宋体"/>
          <w:b/>
          <w:bCs w:val="0"/>
          <w:sz w:val="24"/>
          <w:szCs w:val="24"/>
          <w:lang w:val="en-US" w:eastAsia="zh-CN"/>
        </w:rPr>
        <w:t>二是向量化。</w:t>
      </w:r>
      <w:r>
        <w:rPr>
          <w:rFonts w:hint="eastAsia" w:ascii="Times New Roman" w:hAnsi="Times New Roman" w:eastAsia="宋体"/>
          <w:b w:val="0"/>
          <w:bCs/>
          <w:sz w:val="24"/>
          <w:szCs w:val="24"/>
          <w:lang w:val="en-US" w:eastAsia="zh-CN"/>
        </w:rPr>
        <w:t>大数据产品通过叠加向量检索技术，使企业能低成本地利用大模型处理独有数据。通过向量化企业数据并存储在向量检索引擎中，大数据产品能够为大模型提供企业特定的信息，促进大模型在企业级应用中的落地。如华为云的云搜索服务CSS基于盘古大模型技术，自研向量检索引擎，在ann-benchmarks中排名第一。</w:t>
      </w:r>
    </w:p>
    <w:p w14:paraId="6020F3C7">
      <w:pPr>
        <w:spacing w:before="120" w:after="120" w:line="288" w:lineRule="auto"/>
        <w:ind w:firstLine="420"/>
        <w:rPr>
          <w:rFonts w:hint="eastAsia" w:ascii="Times New Roman" w:hAnsi="Times New Roman" w:eastAsia="宋体"/>
          <w:b w:val="0"/>
          <w:bCs/>
          <w:sz w:val="24"/>
          <w:szCs w:val="24"/>
          <w:lang w:val="en-US" w:eastAsia="zh-CN"/>
        </w:rPr>
      </w:pPr>
      <w:r>
        <w:rPr>
          <w:rFonts w:hint="eastAsia" w:ascii="Times New Roman" w:hAnsi="Times New Roman" w:eastAsia="宋体"/>
          <w:b/>
          <w:bCs w:val="0"/>
          <w:sz w:val="24"/>
          <w:szCs w:val="24"/>
          <w:lang w:val="en-US" w:eastAsia="zh-CN"/>
        </w:rPr>
        <w:t>三是直观化。</w:t>
      </w:r>
      <w:r>
        <w:rPr>
          <w:rFonts w:hint="eastAsia" w:ascii="Times New Roman" w:hAnsi="Times New Roman" w:eastAsia="宋体"/>
          <w:b w:val="0"/>
          <w:bCs/>
          <w:sz w:val="24"/>
          <w:szCs w:val="24"/>
          <w:lang w:val="en-US" w:eastAsia="zh-CN"/>
        </w:rPr>
        <w:t>随着自然语言处理技术的发展，未来的数据分析工具将更多依赖于自然语言查询NLQ和自然语言生成NLG。通过自然语言处理降低数据分析门槛，使企业业务逻辑简洁和透明。腾讯云日志服务CLS借助混元大模型，实现智能编写日志查询分析语句，并新增全自动配置索引、一键生成仪表盘等智能化功能，降低操作复杂度，提升产品易用性。</w:t>
      </w:r>
    </w:p>
    <w:p w14:paraId="380BE147">
      <w:pPr>
        <w:pStyle w:val="3"/>
        <w:numPr>
          <w:ilvl w:val="0"/>
          <w:numId w:val="2"/>
        </w:numPr>
        <w:spacing w:before="120" w:after="120" w:line="288" w:lineRule="auto"/>
        <w:ind w:firstLine="420"/>
        <w:rPr>
          <w:sz w:val="24"/>
        </w:rPr>
      </w:pPr>
      <w:r>
        <w:rPr>
          <w:rFonts w:hint="eastAsia"/>
          <w:sz w:val="24"/>
        </w:rPr>
        <w:t>强化</w:t>
      </w:r>
      <w:r>
        <w:rPr>
          <w:rFonts w:hint="eastAsia"/>
          <w:sz w:val="24"/>
          <w:lang w:val="en-US" w:eastAsia="zh-CN"/>
        </w:rPr>
        <w:t>数据</w:t>
      </w:r>
      <w:r>
        <w:rPr>
          <w:rFonts w:hint="eastAsia"/>
          <w:sz w:val="24"/>
        </w:rPr>
        <w:t>安全机制，</w:t>
      </w:r>
      <w:r>
        <w:rPr>
          <w:rFonts w:hint="eastAsia"/>
          <w:sz w:val="24"/>
          <w:lang w:val="en-US" w:eastAsia="zh-CN"/>
        </w:rPr>
        <w:t>构建大数据安全堡垒</w:t>
      </w:r>
    </w:p>
    <w:p w14:paraId="12112B34">
      <w:pPr>
        <w:spacing w:before="120" w:after="120" w:line="288" w:lineRule="auto"/>
        <w:ind w:firstLine="420"/>
        <w:rPr>
          <w:rFonts w:hint="eastAsia" w:ascii="Times New Roman" w:hAnsi="Times New Roman" w:eastAsia="宋体"/>
          <w:b w:val="0"/>
          <w:bCs/>
          <w:sz w:val="24"/>
          <w:szCs w:val="24"/>
          <w:lang w:val="en-US" w:eastAsia="zh-CN"/>
        </w:rPr>
      </w:pPr>
      <w:r>
        <w:rPr>
          <w:rFonts w:hint="eastAsia" w:ascii="Times New Roman" w:hAnsi="Times New Roman" w:eastAsia="宋体"/>
          <w:b/>
          <w:bCs w:val="0"/>
          <w:sz w:val="24"/>
          <w:szCs w:val="24"/>
          <w:lang w:val="en-US" w:eastAsia="zh-CN"/>
        </w:rPr>
        <w:t>一是安全性。</w:t>
      </w:r>
      <w:r>
        <w:rPr>
          <w:rFonts w:hint="eastAsia" w:ascii="Times New Roman" w:hAnsi="Times New Roman" w:eastAsia="宋体"/>
          <w:b w:val="0"/>
          <w:bCs/>
          <w:sz w:val="24"/>
          <w:szCs w:val="24"/>
          <w:lang w:val="en-US" w:eastAsia="zh-CN"/>
        </w:rPr>
        <w:t>国产适配和安全可信是大数据产品未来发展的重要方向。腾讯TBDS全面适配国产化主流芯片和操作系统，并支持单集群异构混部。它还提供了严格的数据安全分类管理策略，建立完整的4A（认证、授权、账号、审计）安全体系满足安全合规要求，支持kerberos认证、国密安全算法等。</w:t>
      </w:r>
    </w:p>
    <w:p w14:paraId="6308F643">
      <w:pPr>
        <w:spacing w:before="120" w:after="120" w:line="288" w:lineRule="auto"/>
        <w:ind w:firstLine="420"/>
        <w:rPr>
          <w:rFonts w:hint="eastAsia" w:ascii="Times New Roman" w:hAnsi="Times New Roman" w:eastAsia="宋体"/>
          <w:b w:val="0"/>
          <w:bCs/>
          <w:sz w:val="24"/>
          <w:szCs w:val="24"/>
          <w:highlight w:val="none"/>
          <w:lang w:val="en-US" w:eastAsia="zh-CN"/>
        </w:rPr>
      </w:pPr>
      <w:r>
        <w:rPr>
          <w:rFonts w:hint="eastAsia" w:ascii="Times New Roman" w:hAnsi="Times New Roman" w:eastAsia="宋体"/>
          <w:b/>
          <w:bCs w:val="0"/>
          <w:sz w:val="24"/>
          <w:szCs w:val="24"/>
          <w:lang w:val="en-US" w:eastAsia="zh-CN"/>
        </w:rPr>
        <w:t>二是实时性。</w:t>
      </w:r>
      <w:r>
        <w:rPr>
          <w:rFonts w:hint="eastAsia" w:ascii="Times New Roman" w:hAnsi="Times New Roman" w:eastAsia="宋体"/>
          <w:b w:val="0"/>
          <w:bCs/>
          <w:sz w:val="24"/>
          <w:szCs w:val="24"/>
          <w:lang w:val="en-US" w:eastAsia="zh-CN"/>
        </w:rPr>
        <w:t>大数据技术将进一步提升实时处理能力，以便企业能够实时监控并快速响应。</w:t>
      </w:r>
      <w:r>
        <w:rPr>
          <w:rFonts w:hint="eastAsia" w:ascii="Times New Roman" w:hAnsi="Times New Roman" w:eastAsia="宋体"/>
          <w:bCs/>
          <w:sz w:val="24"/>
          <w:szCs w:val="24"/>
          <w:highlight w:val="none"/>
          <w:lang w:val="en-US" w:eastAsia="zh-CN"/>
        </w:rPr>
        <w:t>阿里云实时计算Flink版通过了分布式流处理平台的基础能力、性能和稳定性评测，其产品即便在小规模硬件故障和复杂网络环境下，也能持续向用户提供稳定的企业级服务。腾讯天幕NIPS也通过了分布式流处理平台的性能专项评测，提供了双向流量逐包检测和IP封禁能力，解决数据中心的协同防御和安全治理问题。</w:t>
      </w:r>
    </w:p>
    <w:bookmarkEnd w:id="1"/>
    <w:p w14:paraId="0014C147">
      <w:pPr>
        <w:pStyle w:val="2"/>
        <w:spacing w:before="120" w:after="120" w:line="288" w:lineRule="auto"/>
        <w:ind w:firstLine="420"/>
        <w:rPr>
          <w:sz w:val="24"/>
          <w:szCs w:val="24"/>
        </w:rPr>
      </w:pPr>
      <w:r>
        <w:rPr>
          <w:rFonts w:hint="eastAsia"/>
          <w:sz w:val="24"/>
          <w:szCs w:val="24"/>
        </w:rPr>
        <w:t>三、中国电信</w:t>
      </w:r>
      <w:r>
        <w:rPr>
          <w:rFonts w:hint="eastAsia"/>
          <w:sz w:val="24"/>
          <w:szCs w:val="24"/>
          <w:lang w:val="en-US" w:eastAsia="zh-CN"/>
        </w:rPr>
        <w:t>大数据产品提升</w:t>
      </w:r>
      <w:r>
        <w:rPr>
          <w:rFonts w:hint="eastAsia"/>
          <w:sz w:val="24"/>
          <w:szCs w:val="24"/>
        </w:rPr>
        <w:t>建议</w:t>
      </w:r>
    </w:p>
    <w:p w14:paraId="3CADF2FE">
      <w:pPr>
        <w:pStyle w:val="10"/>
        <w:keepNext w:val="0"/>
        <w:keepLines w:val="0"/>
        <w:widowControl/>
        <w:suppressLineNumbers w:val="0"/>
        <w:kinsoku/>
        <w:wordWrap/>
        <w:overflowPunct/>
        <w:bidi w:val="0"/>
        <w:spacing w:before="120" w:beforeAutospacing="0" w:after="120" w:afterAutospacing="0" w:line="288" w:lineRule="auto"/>
        <w:ind w:left="0" w:firstLine="480" w:firstLineChars="200"/>
        <w:jc w:val="left"/>
        <w:rPr>
          <w:rFonts w:hint="eastAsia"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中国电信在引领大数据产品标准化进程中扮演着重要角色，其大数据解决方案能够高效应对海量数据挑战，并已在无服务器架构、云原生湖仓一体化及可信数据交换等前沿技术领域布局。然而，面对大数据领域显著的“马太效应”，即强者愈发强大而弱者生存空间受限的情况，中国电信相较于行业标杆企业，仍需不断精进与优化大数据产品，以拓宽并巩固其市场地位。</w:t>
      </w:r>
    </w:p>
    <w:p w14:paraId="41857AD5">
      <w:pPr>
        <w:widowControl/>
        <w:numPr>
          <w:ilvl w:val="0"/>
          <w:numId w:val="3"/>
        </w:numPr>
        <w:spacing w:before="120" w:after="120" w:line="288" w:lineRule="auto"/>
        <w:ind w:left="0" w:leftChars="0" w:firstLine="420" w:firstLineChars="0"/>
        <w:jc w:val="left"/>
        <w:rPr>
          <w:rFonts w:hint="eastAsia" w:ascii="Times New Roman" w:hAnsi="Times New Roman" w:eastAsia="宋体"/>
          <w:b/>
          <w:bCs w:val="0"/>
          <w:sz w:val="24"/>
          <w:szCs w:val="24"/>
          <w:lang w:val="en-US" w:eastAsia="zh-CN"/>
        </w:rPr>
      </w:pPr>
      <w:bookmarkStart w:id="2" w:name="OLE_LINK3"/>
      <w:r>
        <w:rPr>
          <w:rFonts w:hint="eastAsia" w:ascii="Times New Roman" w:hAnsi="Times New Roman" w:eastAsia="宋体"/>
          <w:b/>
          <w:bCs w:val="0"/>
          <w:sz w:val="24"/>
          <w:szCs w:val="24"/>
          <w:lang w:val="en-US" w:eastAsia="zh-CN"/>
        </w:rPr>
        <w:t>产品功能优化：强化全链条解决方案的构建</w:t>
      </w:r>
    </w:p>
    <w:p w14:paraId="19DB1507">
      <w:pPr>
        <w:pStyle w:val="10"/>
        <w:widowControl/>
        <w:spacing w:before="120" w:beforeAutospacing="0" w:after="120" w:afterAutospacing="0" w:line="288" w:lineRule="auto"/>
        <w:ind w:left="0" w:leftChars="0" w:firstLine="480" w:firstLineChars="200"/>
        <w:jc w:val="left"/>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中国电信可提升大数据产品的数据采集、存储、处理、分析和可视化的一站式服务能力，包括优化分布式批处理平台和流处理平台，加强数据集成工具和数据管理平台的能力，实现数据全生命周期的高效管理。</w:t>
      </w:r>
      <w:bookmarkEnd w:id="2"/>
    </w:p>
    <w:p w14:paraId="6B9EA622">
      <w:pPr>
        <w:widowControl/>
        <w:numPr>
          <w:ilvl w:val="0"/>
          <w:numId w:val="3"/>
        </w:numPr>
        <w:spacing w:before="120" w:after="120" w:line="288" w:lineRule="auto"/>
        <w:ind w:left="0" w:leftChars="0" w:firstLine="420" w:firstLineChars="0"/>
        <w:jc w:val="left"/>
        <w:rPr>
          <w:rFonts w:hint="eastAsia" w:ascii="Times New Roman" w:hAnsi="Times New Roman" w:eastAsia="宋体"/>
          <w:b/>
          <w:bCs w:val="0"/>
          <w:sz w:val="24"/>
          <w:szCs w:val="24"/>
          <w:lang w:val="en-US" w:eastAsia="zh-CN"/>
        </w:rPr>
      </w:pPr>
      <w:r>
        <w:rPr>
          <w:rFonts w:hint="eastAsia" w:ascii="Times New Roman" w:hAnsi="Times New Roman" w:eastAsia="宋体"/>
          <w:b/>
          <w:bCs w:val="0"/>
          <w:sz w:val="24"/>
          <w:szCs w:val="24"/>
          <w:lang w:val="en-US" w:eastAsia="zh-CN"/>
        </w:rPr>
        <w:t>技术趋势跟进：推动大数据产品智能化发展</w:t>
      </w:r>
    </w:p>
    <w:p w14:paraId="1EE44E98">
      <w:pPr>
        <w:pStyle w:val="10"/>
        <w:widowControl/>
        <w:spacing w:before="120" w:beforeAutospacing="0" w:after="120" w:afterAutospacing="0" w:line="288" w:lineRule="auto"/>
        <w:ind w:left="0" w:leftChars="0" w:firstLine="480" w:firstLineChars="200"/>
        <w:jc w:val="left"/>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中国电信可推动大数据产品向智能化迈进。在智能化应用开发方面，借鉴阿里云MaxCompute的MaxFrame框架，开发基于Python的分布式计算框架，提升开发的便捷性与灵活性。在数据查询智能化方面，引入先进的机器学习算法，优化查询计划生成与执行，提高查询响应速度，并通过学习用户行为，提供定制化的数据探索与推荐服务。在存储智能化增强方面，积极探索集成AI的存储处理引擎，为对象存储带来全面的多媒体数据处理能力，包括图像、视频、语音和文档智能处理，以支持各种业务场景。</w:t>
      </w:r>
    </w:p>
    <w:p w14:paraId="278A1E75">
      <w:pPr>
        <w:widowControl/>
        <w:numPr>
          <w:ilvl w:val="0"/>
          <w:numId w:val="3"/>
        </w:numPr>
        <w:spacing w:before="120" w:after="120" w:line="288" w:lineRule="auto"/>
        <w:ind w:left="0" w:leftChars="0" w:firstLine="420" w:firstLineChars="0"/>
        <w:jc w:val="left"/>
        <w:rPr>
          <w:rFonts w:hint="default" w:ascii="Times New Roman" w:hAnsi="Times New Roman" w:eastAsia="宋体"/>
          <w:b w:val="0"/>
          <w:bCs/>
          <w:sz w:val="24"/>
          <w:szCs w:val="24"/>
          <w:lang w:val="en-US" w:eastAsia="zh-CN"/>
        </w:rPr>
      </w:pPr>
      <w:r>
        <w:rPr>
          <w:rFonts w:hint="eastAsia" w:ascii="Times New Roman" w:hAnsi="Times New Roman" w:eastAsia="宋体" w:cstheme="minorBidi"/>
          <w:b/>
          <w:bCs w:val="0"/>
          <w:i w:val="0"/>
          <w:iCs w:val="0"/>
          <w:caps w:val="0"/>
          <w:spacing w:val="0"/>
          <w:kern w:val="2"/>
          <w:sz w:val="24"/>
          <w:szCs w:val="24"/>
          <w:shd w:val="clear"/>
          <w:lang w:val="en-US" w:eastAsia="zh-CN"/>
        </w:rPr>
        <w:t>安全保障增强：</w:t>
      </w:r>
      <w:r>
        <w:rPr>
          <w:rFonts w:hint="eastAsia" w:ascii="Times New Roman" w:hAnsi="Times New Roman" w:eastAsia="宋体" w:cstheme="minorBidi"/>
          <w:b/>
          <w:bCs w:val="0"/>
          <w:i w:val="0"/>
          <w:iCs w:val="0"/>
          <w:caps w:val="0"/>
          <w:spacing w:val="0"/>
          <w:kern w:val="2"/>
          <w:sz w:val="24"/>
          <w:szCs w:val="24"/>
          <w:shd w:val="clear"/>
          <w:lang w:eastAsia="zh-CN"/>
        </w:rPr>
        <w:t>加强数据安全</w:t>
      </w:r>
      <w:r>
        <w:rPr>
          <w:rFonts w:hint="eastAsia" w:ascii="Times New Roman" w:hAnsi="Times New Roman" w:eastAsia="宋体" w:cstheme="minorBidi"/>
          <w:b/>
          <w:bCs w:val="0"/>
          <w:i w:val="0"/>
          <w:iCs w:val="0"/>
          <w:caps w:val="0"/>
          <w:spacing w:val="0"/>
          <w:kern w:val="2"/>
          <w:sz w:val="24"/>
          <w:szCs w:val="24"/>
          <w:shd w:val="clear"/>
          <w:lang w:val="en-US" w:eastAsia="zh-CN"/>
        </w:rPr>
        <w:t>机制</w:t>
      </w:r>
    </w:p>
    <w:p w14:paraId="718AE90E">
      <w:pPr>
        <w:spacing w:before="120" w:after="120" w:line="288" w:lineRule="auto"/>
        <w:ind w:firstLine="420" w:firstLineChars="0"/>
        <w:jc w:val="left"/>
        <w:rPr>
          <w:rFonts w:hint="default"/>
          <w:i/>
          <w:iCs/>
          <w:sz w:val="24"/>
          <w:szCs w:val="24"/>
          <w:lang w:val="en-US" w:eastAsia="zh-CN"/>
        </w:rPr>
      </w:pPr>
      <w:r>
        <w:rPr>
          <w:rFonts w:hint="eastAsia" w:ascii="Times New Roman" w:hAnsi="Times New Roman" w:eastAsia="宋体"/>
          <w:b w:val="0"/>
          <w:bCs/>
          <w:sz w:val="24"/>
          <w:szCs w:val="24"/>
          <w:lang w:val="en-US" w:eastAsia="zh-CN"/>
        </w:rPr>
        <w:t>中国电信遵循严格的安全标准和合规要求，可持续强化数据加密技术，从数据采集、传输、存储到使用的全流程加强加密措施。同时可进一步探索更先进的加密算法和技术，如量子加密技术的应用可行性，提高数据安全性。此外，还可加强与安全厂商合作，引入先进的安全防御技术，提升平台的整体安全防护水平。</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7C0C8D8A">
      <w:pPr>
        <w:pStyle w:val="9"/>
        <w:snapToGrid w:val="0"/>
        <w:rPr>
          <w:rFonts w:hint="default" w:eastAsiaTheme="minorEastAsia"/>
          <w:lang w:val="en-US" w:eastAsia="zh-CN"/>
        </w:rPr>
      </w:pPr>
      <w:r>
        <w:rPr>
          <w:rStyle w:val="17"/>
        </w:rPr>
        <w:footnoteRef/>
      </w:r>
      <w:r>
        <w:t xml:space="preserve"> </w:t>
      </w:r>
      <w:r>
        <w:rPr>
          <w:rFonts w:hint="eastAsia"/>
          <w:lang w:val="en-US" w:eastAsia="zh-CN"/>
        </w:rPr>
        <w:t>2020年及以后数据来自中国信通院可信大数据官网，2020年之前数据来自公开披露信息</w:t>
      </w:r>
    </w:p>
  </w:footnote>
  <w:footnote w:id="1">
    <w:p w14:paraId="71BF7DDA">
      <w:pPr>
        <w:widowControl/>
        <w:snapToGrid w:val="0"/>
        <w:rPr>
          <w:rFonts w:hint="default" w:eastAsiaTheme="minorEastAsia"/>
          <w:lang w:val="en-US" w:eastAsia="zh-CN"/>
        </w:rPr>
      </w:pPr>
      <w:r>
        <w:rPr>
          <w:rStyle w:val="17"/>
        </w:rPr>
        <w:footnoteRef/>
      </w:r>
      <w:r>
        <w:t xml:space="preserve"> </w:t>
      </w:r>
      <w:r>
        <w:rPr>
          <w:rFonts w:hint="eastAsia" w:asciiTheme="minorEastAsia" w:hAnsiTheme="minorEastAsia" w:eastAsiaTheme="minorEastAsia" w:cstheme="minorEastAsia"/>
          <w:color w:val="000000"/>
          <w:kern w:val="0"/>
          <w:sz w:val="18"/>
          <w:szCs w:val="18"/>
          <w:lang w:val="en-US" w:eastAsia="zh-CN" w:bidi="ar"/>
        </w:rPr>
        <w:t>因为大数据和数据库产品在技术特性、应用场景和业务需求方面存在显著差异，本文后续重点分析大数据产品的评测情况。</w:t>
      </w:r>
      <w:r>
        <w:rPr>
          <w:rFonts w:hint="eastAsia" w:asciiTheme="minorEastAsia" w:hAnsiTheme="minorEastAsia" w:cstheme="minorEastAsia"/>
          <w:color w:val="000000"/>
          <w:kern w:val="0"/>
          <w:sz w:val="18"/>
          <w:szCs w:val="18"/>
          <w:lang w:val="en-US" w:eastAsia="zh-CN" w:bidi="ar"/>
        </w:rPr>
        <w:t>可信</w:t>
      </w:r>
      <w:r>
        <w:rPr>
          <w:rFonts w:hint="eastAsia" w:asciiTheme="minorEastAsia" w:hAnsiTheme="minorEastAsia" w:eastAsiaTheme="minorEastAsia" w:cstheme="minorEastAsia"/>
          <w:color w:val="000000"/>
          <w:kern w:val="0"/>
          <w:sz w:val="18"/>
          <w:szCs w:val="18"/>
          <w:lang w:val="en-US" w:eastAsia="zh-CN" w:bidi="ar"/>
        </w:rPr>
        <w:t>数据库见《智库参考</w:t>
      </w:r>
      <w:r>
        <w:rPr>
          <w:rFonts w:hint="eastAsia" w:asciiTheme="minorEastAsia" w:hAnsiTheme="minorEastAsia" w:cstheme="minorEastAsia"/>
          <w:color w:val="000000"/>
          <w:kern w:val="0"/>
          <w:sz w:val="18"/>
          <w:szCs w:val="18"/>
          <w:lang w:val="en-US" w:eastAsia="zh-CN" w:bidi="ar"/>
        </w:rPr>
        <w:t>2024年20</w:t>
      </w:r>
      <w:r>
        <w:rPr>
          <w:rFonts w:hint="eastAsia" w:asciiTheme="minorEastAsia" w:hAnsiTheme="minorEastAsia" w:eastAsiaTheme="minorEastAsia" w:cstheme="minorEastAsia"/>
          <w:color w:val="000000"/>
          <w:kern w:val="0"/>
          <w:sz w:val="18"/>
          <w:szCs w:val="18"/>
          <w:lang w:val="en-US" w:eastAsia="zh-CN" w:bidi="ar"/>
        </w:rPr>
        <w:t>期：</w:t>
      </w:r>
      <w:r>
        <w:rPr>
          <w:rFonts w:hint="eastAsia" w:asciiTheme="minorEastAsia" w:hAnsiTheme="minorEastAsia" w:cstheme="minorEastAsia"/>
          <w:color w:val="000000"/>
          <w:kern w:val="0"/>
          <w:sz w:val="18"/>
          <w:szCs w:val="18"/>
          <w:lang w:bidi="ar"/>
        </w:rPr>
        <w:t>可信数据库产品能力评测的分析与启示</w:t>
      </w:r>
      <w:r>
        <w:rPr>
          <w:rFonts w:hint="eastAsia" w:asciiTheme="minorEastAsia" w:hAnsiTheme="minorEastAsia" w:eastAsiaTheme="minorEastAsia" w:cstheme="minorEastAsia"/>
          <w:color w:val="000000"/>
          <w:kern w:val="0"/>
          <w:sz w:val="18"/>
          <w:szCs w:val="18"/>
          <w:lang w:val="en-US" w:eastAsia="zh-CN" w:bidi="ar"/>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168593"/>
    <w:multiLevelType w:val="singleLevel"/>
    <w:tmpl w:val="F1168593"/>
    <w:lvl w:ilvl="0" w:tentative="0">
      <w:start w:val="2"/>
      <w:numFmt w:val="chineseCounting"/>
      <w:suff w:val="nothing"/>
      <w:lvlText w:val="%1、"/>
      <w:lvlJc w:val="left"/>
      <w:rPr>
        <w:rFonts w:hint="eastAsia"/>
      </w:rPr>
    </w:lvl>
  </w:abstractNum>
  <w:abstractNum w:abstractNumId="1">
    <w:nsid w:val="F1E9EAB9"/>
    <w:multiLevelType w:val="singleLevel"/>
    <w:tmpl w:val="F1E9EAB9"/>
    <w:lvl w:ilvl="0" w:tentative="0">
      <w:start w:val="1"/>
      <w:numFmt w:val="chineseCounting"/>
      <w:suff w:val="nothing"/>
      <w:lvlText w:val="（%1）"/>
      <w:lvlJc w:val="left"/>
      <w:rPr>
        <w:rFonts w:hint="eastAsia"/>
        <w:b/>
        <w:bCs/>
      </w:rPr>
    </w:lvl>
  </w:abstractNum>
  <w:abstractNum w:abstractNumId="2">
    <w:nsid w:val="555E25DA"/>
    <w:multiLevelType w:val="singleLevel"/>
    <w:tmpl w:val="555E25DA"/>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4"/>
    <w:footnote w:id="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E4Mzk2YjliNTc0M2Q5NTQwNjc5MmQxYThhYjkyNTcifQ=="/>
    <w:docVar w:name="KSO_WPS_MARK_KEY" w:val="c1d38fad-e17c-4ee3-90ef-cd6649d233ee"/>
  </w:docVars>
  <w:rsids>
    <w:rsidRoot w:val="00CA2F05"/>
    <w:rsid w:val="00025742"/>
    <w:rsid w:val="00025D09"/>
    <w:rsid w:val="00043595"/>
    <w:rsid w:val="00044A2B"/>
    <w:rsid w:val="000515F6"/>
    <w:rsid w:val="00054489"/>
    <w:rsid w:val="00070DE9"/>
    <w:rsid w:val="00087E17"/>
    <w:rsid w:val="000B2716"/>
    <w:rsid w:val="000B7915"/>
    <w:rsid w:val="000D6423"/>
    <w:rsid w:val="000F3936"/>
    <w:rsid w:val="0011590D"/>
    <w:rsid w:val="0013201C"/>
    <w:rsid w:val="001339C0"/>
    <w:rsid w:val="0013423B"/>
    <w:rsid w:val="00137E12"/>
    <w:rsid w:val="001611DF"/>
    <w:rsid w:val="001702AE"/>
    <w:rsid w:val="00177654"/>
    <w:rsid w:val="00181D67"/>
    <w:rsid w:val="00185477"/>
    <w:rsid w:val="001B27B9"/>
    <w:rsid w:val="001C2BDD"/>
    <w:rsid w:val="001F4BDC"/>
    <w:rsid w:val="00204DEF"/>
    <w:rsid w:val="0020587D"/>
    <w:rsid w:val="002826B9"/>
    <w:rsid w:val="00291586"/>
    <w:rsid w:val="002932D9"/>
    <w:rsid w:val="003343A1"/>
    <w:rsid w:val="00357FDA"/>
    <w:rsid w:val="00362C82"/>
    <w:rsid w:val="003710CA"/>
    <w:rsid w:val="003746EA"/>
    <w:rsid w:val="00390AE2"/>
    <w:rsid w:val="003C40CC"/>
    <w:rsid w:val="003E0FC9"/>
    <w:rsid w:val="003F1651"/>
    <w:rsid w:val="00401A39"/>
    <w:rsid w:val="00420E3D"/>
    <w:rsid w:val="00434DD0"/>
    <w:rsid w:val="00440835"/>
    <w:rsid w:val="00466652"/>
    <w:rsid w:val="004E2190"/>
    <w:rsid w:val="004E5715"/>
    <w:rsid w:val="00547BD8"/>
    <w:rsid w:val="0057384D"/>
    <w:rsid w:val="005C09BD"/>
    <w:rsid w:val="005C4CD4"/>
    <w:rsid w:val="005D12D2"/>
    <w:rsid w:val="005F5D77"/>
    <w:rsid w:val="00607B95"/>
    <w:rsid w:val="00680267"/>
    <w:rsid w:val="00690E4A"/>
    <w:rsid w:val="006D39EA"/>
    <w:rsid w:val="006E06BD"/>
    <w:rsid w:val="0072775B"/>
    <w:rsid w:val="0074556F"/>
    <w:rsid w:val="0075718F"/>
    <w:rsid w:val="007621B8"/>
    <w:rsid w:val="00782F10"/>
    <w:rsid w:val="007A59E6"/>
    <w:rsid w:val="007C5BAA"/>
    <w:rsid w:val="00845A4F"/>
    <w:rsid w:val="008603C7"/>
    <w:rsid w:val="008706FC"/>
    <w:rsid w:val="00880934"/>
    <w:rsid w:val="0088493A"/>
    <w:rsid w:val="008878BF"/>
    <w:rsid w:val="008A3166"/>
    <w:rsid w:val="008A6976"/>
    <w:rsid w:val="00933B66"/>
    <w:rsid w:val="00962F29"/>
    <w:rsid w:val="009B0A45"/>
    <w:rsid w:val="009B0F18"/>
    <w:rsid w:val="009B7C80"/>
    <w:rsid w:val="009C3DFE"/>
    <w:rsid w:val="009F2456"/>
    <w:rsid w:val="00A31769"/>
    <w:rsid w:val="00A325CB"/>
    <w:rsid w:val="00A33D9A"/>
    <w:rsid w:val="00A557F6"/>
    <w:rsid w:val="00AE56B8"/>
    <w:rsid w:val="00B01F7A"/>
    <w:rsid w:val="00B06C9E"/>
    <w:rsid w:val="00B47874"/>
    <w:rsid w:val="00B70742"/>
    <w:rsid w:val="00B87A79"/>
    <w:rsid w:val="00C016BB"/>
    <w:rsid w:val="00C24CD8"/>
    <w:rsid w:val="00C31F91"/>
    <w:rsid w:val="00C43440"/>
    <w:rsid w:val="00C53741"/>
    <w:rsid w:val="00C67EDE"/>
    <w:rsid w:val="00C77B83"/>
    <w:rsid w:val="00C9122A"/>
    <w:rsid w:val="00CA2F05"/>
    <w:rsid w:val="00CE3ACC"/>
    <w:rsid w:val="00CF1BC2"/>
    <w:rsid w:val="00D1764C"/>
    <w:rsid w:val="00D33708"/>
    <w:rsid w:val="00D354CE"/>
    <w:rsid w:val="00D35D15"/>
    <w:rsid w:val="00D367BA"/>
    <w:rsid w:val="00D66878"/>
    <w:rsid w:val="00D75BF5"/>
    <w:rsid w:val="00D901A2"/>
    <w:rsid w:val="00D90554"/>
    <w:rsid w:val="00DB37E3"/>
    <w:rsid w:val="00DB719C"/>
    <w:rsid w:val="00E04200"/>
    <w:rsid w:val="00E05CA7"/>
    <w:rsid w:val="00E07C66"/>
    <w:rsid w:val="00E17325"/>
    <w:rsid w:val="00E17436"/>
    <w:rsid w:val="00E51F24"/>
    <w:rsid w:val="00E5405B"/>
    <w:rsid w:val="00E54594"/>
    <w:rsid w:val="00E93607"/>
    <w:rsid w:val="00EA5F4E"/>
    <w:rsid w:val="00EB265C"/>
    <w:rsid w:val="00EB7D9F"/>
    <w:rsid w:val="00EF4B01"/>
    <w:rsid w:val="00F03E11"/>
    <w:rsid w:val="00F20FC3"/>
    <w:rsid w:val="00F35034"/>
    <w:rsid w:val="00F36DAE"/>
    <w:rsid w:val="00F4294F"/>
    <w:rsid w:val="00FA50C9"/>
    <w:rsid w:val="00FA5219"/>
    <w:rsid w:val="00FC1F7C"/>
    <w:rsid w:val="00FC6D70"/>
    <w:rsid w:val="00FC76F5"/>
    <w:rsid w:val="00FC7EA0"/>
    <w:rsid w:val="00FE30D5"/>
    <w:rsid w:val="018268F4"/>
    <w:rsid w:val="01B464A4"/>
    <w:rsid w:val="01B74D0E"/>
    <w:rsid w:val="01BC072B"/>
    <w:rsid w:val="023E0E10"/>
    <w:rsid w:val="02FF3298"/>
    <w:rsid w:val="03306445"/>
    <w:rsid w:val="034B36B5"/>
    <w:rsid w:val="0350044F"/>
    <w:rsid w:val="0386105B"/>
    <w:rsid w:val="03A03184"/>
    <w:rsid w:val="03CF48D0"/>
    <w:rsid w:val="04295C45"/>
    <w:rsid w:val="04870EEF"/>
    <w:rsid w:val="04AD0A3B"/>
    <w:rsid w:val="04E2157A"/>
    <w:rsid w:val="051E5BAB"/>
    <w:rsid w:val="051E7776"/>
    <w:rsid w:val="05243941"/>
    <w:rsid w:val="053E1EFB"/>
    <w:rsid w:val="05737C1A"/>
    <w:rsid w:val="0575430E"/>
    <w:rsid w:val="057E0C62"/>
    <w:rsid w:val="05933405"/>
    <w:rsid w:val="05A61F1C"/>
    <w:rsid w:val="064022F1"/>
    <w:rsid w:val="065564A8"/>
    <w:rsid w:val="06954A7B"/>
    <w:rsid w:val="06BB116A"/>
    <w:rsid w:val="06EC6D6C"/>
    <w:rsid w:val="07AF4798"/>
    <w:rsid w:val="07CD1555"/>
    <w:rsid w:val="07F1452D"/>
    <w:rsid w:val="089D767C"/>
    <w:rsid w:val="090412D1"/>
    <w:rsid w:val="09144FDC"/>
    <w:rsid w:val="092C1177"/>
    <w:rsid w:val="09571C19"/>
    <w:rsid w:val="09C904DA"/>
    <w:rsid w:val="09CC031A"/>
    <w:rsid w:val="09D92F4C"/>
    <w:rsid w:val="0A1F1276"/>
    <w:rsid w:val="0A27748B"/>
    <w:rsid w:val="0A333A71"/>
    <w:rsid w:val="0A9D041D"/>
    <w:rsid w:val="0AA053F8"/>
    <w:rsid w:val="0AAC4DC3"/>
    <w:rsid w:val="0B48181C"/>
    <w:rsid w:val="0B4E38D5"/>
    <w:rsid w:val="0BEE535C"/>
    <w:rsid w:val="0C356352"/>
    <w:rsid w:val="0C6E02C3"/>
    <w:rsid w:val="0C700313"/>
    <w:rsid w:val="0CB00AF8"/>
    <w:rsid w:val="0CE57E5A"/>
    <w:rsid w:val="0D0F4ED6"/>
    <w:rsid w:val="0D3A0435"/>
    <w:rsid w:val="0D4D3563"/>
    <w:rsid w:val="0D72160F"/>
    <w:rsid w:val="0E2963C9"/>
    <w:rsid w:val="0E2C2BD1"/>
    <w:rsid w:val="0E2E1DF2"/>
    <w:rsid w:val="0E7B2455"/>
    <w:rsid w:val="0ECC132B"/>
    <w:rsid w:val="0F28662E"/>
    <w:rsid w:val="0F5E63EF"/>
    <w:rsid w:val="0F746888"/>
    <w:rsid w:val="0F8D08F5"/>
    <w:rsid w:val="0FAE64E1"/>
    <w:rsid w:val="0FD02254"/>
    <w:rsid w:val="0FD2532C"/>
    <w:rsid w:val="0FE7187E"/>
    <w:rsid w:val="10095D14"/>
    <w:rsid w:val="111C5E30"/>
    <w:rsid w:val="113C3A20"/>
    <w:rsid w:val="115930ED"/>
    <w:rsid w:val="115D7160"/>
    <w:rsid w:val="11741796"/>
    <w:rsid w:val="11AF3C0B"/>
    <w:rsid w:val="11C1651A"/>
    <w:rsid w:val="11CC1FC2"/>
    <w:rsid w:val="12161E5E"/>
    <w:rsid w:val="12254FB0"/>
    <w:rsid w:val="125541C1"/>
    <w:rsid w:val="126C0647"/>
    <w:rsid w:val="12B16200"/>
    <w:rsid w:val="12E14267"/>
    <w:rsid w:val="12FA4A8B"/>
    <w:rsid w:val="12FE3326"/>
    <w:rsid w:val="13217C98"/>
    <w:rsid w:val="13295F18"/>
    <w:rsid w:val="135A10DB"/>
    <w:rsid w:val="13E53881"/>
    <w:rsid w:val="13EF22C9"/>
    <w:rsid w:val="14285D6E"/>
    <w:rsid w:val="143D6344"/>
    <w:rsid w:val="14691987"/>
    <w:rsid w:val="14A327AC"/>
    <w:rsid w:val="14E87931"/>
    <w:rsid w:val="15F6621F"/>
    <w:rsid w:val="161A534E"/>
    <w:rsid w:val="16391602"/>
    <w:rsid w:val="1650736B"/>
    <w:rsid w:val="16AD19E8"/>
    <w:rsid w:val="16AE1D33"/>
    <w:rsid w:val="16B971D8"/>
    <w:rsid w:val="17101665"/>
    <w:rsid w:val="174131E7"/>
    <w:rsid w:val="177C6B31"/>
    <w:rsid w:val="17AB54D5"/>
    <w:rsid w:val="18314F61"/>
    <w:rsid w:val="18497A7B"/>
    <w:rsid w:val="18F510CA"/>
    <w:rsid w:val="199A3195"/>
    <w:rsid w:val="19A1317E"/>
    <w:rsid w:val="1A0147EF"/>
    <w:rsid w:val="1ACB68E1"/>
    <w:rsid w:val="1B206258"/>
    <w:rsid w:val="1B573CA5"/>
    <w:rsid w:val="1BB55F91"/>
    <w:rsid w:val="1BF55ECD"/>
    <w:rsid w:val="1C1E6EE4"/>
    <w:rsid w:val="1C641838"/>
    <w:rsid w:val="1CF57C45"/>
    <w:rsid w:val="1D1D20C9"/>
    <w:rsid w:val="1E220F0E"/>
    <w:rsid w:val="1EF075D2"/>
    <w:rsid w:val="1F08360F"/>
    <w:rsid w:val="1F4D3BC3"/>
    <w:rsid w:val="1FC2787D"/>
    <w:rsid w:val="1FD92E2A"/>
    <w:rsid w:val="1FF55785"/>
    <w:rsid w:val="1FF67299"/>
    <w:rsid w:val="1FFE428C"/>
    <w:rsid w:val="20540072"/>
    <w:rsid w:val="207B7C23"/>
    <w:rsid w:val="20FD1D4D"/>
    <w:rsid w:val="21252E88"/>
    <w:rsid w:val="21585671"/>
    <w:rsid w:val="217075BA"/>
    <w:rsid w:val="21EA78BE"/>
    <w:rsid w:val="221A58C5"/>
    <w:rsid w:val="22BE01DF"/>
    <w:rsid w:val="22D83DB4"/>
    <w:rsid w:val="237B0D7A"/>
    <w:rsid w:val="238E082C"/>
    <w:rsid w:val="239A4E4F"/>
    <w:rsid w:val="23C03737"/>
    <w:rsid w:val="23CB1297"/>
    <w:rsid w:val="251E4C45"/>
    <w:rsid w:val="26125EFA"/>
    <w:rsid w:val="263F1A53"/>
    <w:rsid w:val="26606DC5"/>
    <w:rsid w:val="266461C8"/>
    <w:rsid w:val="26781C0E"/>
    <w:rsid w:val="269668A6"/>
    <w:rsid w:val="270D3C47"/>
    <w:rsid w:val="273810D9"/>
    <w:rsid w:val="276F6CE4"/>
    <w:rsid w:val="27E25DE6"/>
    <w:rsid w:val="28081174"/>
    <w:rsid w:val="280B1BDA"/>
    <w:rsid w:val="28F170A5"/>
    <w:rsid w:val="29100D72"/>
    <w:rsid w:val="291E3BEC"/>
    <w:rsid w:val="291F6E18"/>
    <w:rsid w:val="298123BE"/>
    <w:rsid w:val="2A1F27A5"/>
    <w:rsid w:val="2A3E1197"/>
    <w:rsid w:val="2A806D5B"/>
    <w:rsid w:val="2A810232"/>
    <w:rsid w:val="2B4A69C0"/>
    <w:rsid w:val="2BB0055A"/>
    <w:rsid w:val="2C000605"/>
    <w:rsid w:val="2C5F157F"/>
    <w:rsid w:val="2CB52F4D"/>
    <w:rsid w:val="2D024968"/>
    <w:rsid w:val="2D147AED"/>
    <w:rsid w:val="2D760CDF"/>
    <w:rsid w:val="2D772169"/>
    <w:rsid w:val="2E4275DE"/>
    <w:rsid w:val="2E492F0A"/>
    <w:rsid w:val="2E866303"/>
    <w:rsid w:val="2EA323D4"/>
    <w:rsid w:val="2F3B1D5C"/>
    <w:rsid w:val="2F913E47"/>
    <w:rsid w:val="2FAB03EC"/>
    <w:rsid w:val="2FBA398D"/>
    <w:rsid w:val="2FE04952"/>
    <w:rsid w:val="30A41597"/>
    <w:rsid w:val="30D57EA0"/>
    <w:rsid w:val="31341C3E"/>
    <w:rsid w:val="31490108"/>
    <w:rsid w:val="31AD27C6"/>
    <w:rsid w:val="31D50E89"/>
    <w:rsid w:val="3271341F"/>
    <w:rsid w:val="32CD76A0"/>
    <w:rsid w:val="32DE2D20"/>
    <w:rsid w:val="345C11DE"/>
    <w:rsid w:val="34722DCA"/>
    <w:rsid w:val="349A75F8"/>
    <w:rsid w:val="35185716"/>
    <w:rsid w:val="353C2C2A"/>
    <w:rsid w:val="35C428A9"/>
    <w:rsid w:val="35D10F79"/>
    <w:rsid w:val="35E03D1C"/>
    <w:rsid w:val="362C0CE1"/>
    <w:rsid w:val="36B56F56"/>
    <w:rsid w:val="375D490D"/>
    <w:rsid w:val="37B54209"/>
    <w:rsid w:val="37E17175"/>
    <w:rsid w:val="38060621"/>
    <w:rsid w:val="381A12CF"/>
    <w:rsid w:val="38535534"/>
    <w:rsid w:val="38D834D0"/>
    <w:rsid w:val="38DD3F57"/>
    <w:rsid w:val="393712EB"/>
    <w:rsid w:val="3939039A"/>
    <w:rsid w:val="394068B6"/>
    <w:rsid w:val="399A4F5A"/>
    <w:rsid w:val="39E578C5"/>
    <w:rsid w:val="3A091644"/>
    <w:rsid w:val="3A39715C"/>
    <w:rsid w:val="3A905471"/>
    <w:rsid w:val="3AA12ABC"/>
    <w:rsid w:val="3AC85F07"/>
    <w:rsid w:val="3AE1138E"/>
    <w:rsid w:val="3AF24F9D"/>
    <w:rsid w:val="3BF41709"/>
    <w:rsid w:val="3C3E337D"/>
    <w:rsid w:val="3C5A4444"/>
    <w:rsid w:val="3CE265A5"/>
    <w:rsid w:val="3D290427"/>
    <w:rsid w:val="3D2F28A7"/>
    <w:rsid w:val="3D4B3D1F"/>
    <w:rsid w:val="3DB57251"/>
    <w:rsid w:val="3E2A1002"/>
    <w:rsid w:val="3E96334A"/>
    <w:rsid w:val="40820F6F"/>
    <w:rsid w:val="4114603C"/>
    <w:rsid w:val="413864FC"/>
    <w:rsid w:val="413D04CF"/>
    <w:rsid w:val="41F92FC1"/>
    <w:rsid w:val="41FC1298"/>
    <w:rsid w:val="4203015A"/>
    <w:rsid w:val="425D3E24"/>
    <w:rsid w:val="42B63FDE"/>
    <w:rsid w:val="42F73E67"/>
    <w:rsid w:val="433C187A"/>
    <w:rsid w:val="43562BAD"/>
    <w:rsid w:val="436D7087"/>
    <w:rsid w:val="437E1399"/>
    <w:rsid w:val="440B052F"/>
    <w:rsid w:val="441F673C"/>
    <w:rsid w:val="44B460DE"/>
    <w:rsid w:val="44DA759D"/>
    <w:rsid w:val="44EC0221"/>
    <w:rsid w:val="45890380"/>
    <w:rsid w:val="460E1274"/>
    <w:rsid w:val="46A40106"/>
    <w:rsid w:val="46D80370"/>
    <w:rsid w:val="471A7C93"/>
    <w:rsid w:val="47504163"/>
    <w:rsid w:val="4764634F"/>
    <w:rsid w:val="47737835"/>
    <w:rsid w:val="47EB050B"/>
    <w:rsid w:val="480F4440"/>
    <w:rsid w:val="48506EEF"/>
    <w:rsid w:val="485F6858"/>
    <w:rsid w:val="489B2425"/>
    <w:rsid w:val="48CA456D"/>
    <w:rsid w:val="49156D83"/>
    <w:rsid w:val="496F0BFB"/>
    <w:rsid w:val="49950A80"/>
    <w:rsid w:val="49BA1429"/>
    <w:rsid w:val="4B06387A"/>
    <w:rsid w:val="4B0A7451"/>
    <w:rsid w:val="4B1A19C7"/>
    <w:rsid w:val="4B4B07A8"/>
    <w:rsid w:val="4B695312"/>
    <w:rsid w:val="4B864B33"/>
    <w:rsid w:val="4BC90A6B"/>
    <w:rsid w:val="4BF07FF0"/>
    <w:rsid w:val="4C344ADE"/>
    <w:rsid w:val="4C3A0212"/>
    <w:rsid w:val="4C6C3691"/>
    <w:rsid w:val="4D1E093A"/>
    <w:rsid w:val="4D32215D"/>
    <w:rsid w:val="4D85403F"/>
    <w:rsid w:val="4E5D4352"/>
    <w:rsid w:val="4EB67779"/>
    <w:rsid w:val="4EE24D40"/>
    <w:rsid w:val="4F1B67F5"/>
    <w:rsid w:val="4F516CED"/>
    <w:rsid w:val="4FB8497E"/>
    <w:rsid w:val="4FCA6DC6"/>
    <w:rsid w:val="50714516"/>
    <w:rsid w:val="507746C0"/>
    <w:rsid w:val="50BF2544"/>
    <w:rsid w:val="51222D13"/>
    <w:rsid w:val="51881F9F"/>
    <w:rsid w:val="51F56C93"/>
    <w:rsid w:val="51FF054E"/>
    <w:rsid w:val="52173BDE"/>
    <w:rsid w:val="5247534A"/>
    <w:rsid w:val="52B174B8"/>
    <w:rsid w:val="5318668D"/>
    <w:rsid w:val="537760C3"/>
    <w:rsid w:val="540834C1"/>
    <w:rsid w:val="544A21CC"/>
    <w:rsid w:val="54A51975"/>
    <w:rsid w:val="54FD1CBA"/>
    <w:rsid w:val="55AF7E22"/>
    <w:rsid w:val="55E93AE3"/>
    <w:rsid w:val="56115ED1"/>
    <w:rsid w:val="562A443E"/>
    <w:rsid w:val="56BC6214"/>
    <w:rsid w:val="56D12B07"/>
    <w:rsid w:val="56EB2B5D"/>
    <w:rsid w:val="57787C67"/>
    <w:rsid w:val="57837542"/>
    <w:rsid w:val="57C51A90"/>
    <w:rsid w:val="57E00C2F"/>
    <w:rsid w:val="580F63BB"/>
    <w:rsid w:val="5841786D"/>
    <w:rsid w:val="58A81585"/>
    <w:rsid w:val="58C87E01"/>
    <w:rsid w:val="594A221A"/>
    <w:rsid w:val="59F841F9"/>
    <w:rsid w:val="5A746265"/>
    <w:rsid w:val="5ADF7263"/>
    <w:rsid w:val="5B5560E4"/>
    <w:rsid w:val="5B99417E"/>
    <w:rsid w:val="5C995857"/>
    <w:rsid w:val="5CE92917"/>
    <w:rsid w:val="5CF9343A"/>
    <w:rsid w:val="5DB53BB9"/>
    <w:rsid w:val="5DBE5856"/>
    <w:rsid w:val="5DCF1811"/>
    <w:rsid w:val="5E0D25A1"/>
    <w:rsid w:val="5E2815A9"/>
    <w:rsid w:val="5E6A6327"/>
    <w:rsid w:val="5E8819C0"/>
    <w:rsid w:val="5ED35331"/>
    <w:rsid w:val="5FAA189B"/>
    <w:rsid w:val="608E3944"/>
    <w:rsid w:val="60A96349"/>
    <w:rsid w:val="60CB55F8"/>
    <w:rsid w:val="6131630A"/>
    <w:rsid w:val="61A44D62"/>
    <w:rsid w:val="620B01AA"/>
    <w:rsid w:val="623A4D44"/>
    <w:rsid w:val="629E3893"/>
    <w:rsid w:val="6331344C"/>
    <w:rsid w:val="63912C40"/>
    <w:rsid w:val="64134721"/>
    <w:rsid w:val="64314847"/>
    <w:rsid w:val="650C50F9"/>
    <w:rsid w:val="65982AC5"/>
    <w:rsid w:val="65D927DB"/>
    <w:rsid w:val="65DC25A6"/>
    <w:rsid w:val="6603474E"/>
    <w:rsid w:val="66486604"/>
    <w:rsid w:val="664B7EA3"/>
    <w:rsid w:val="66844564"/>
    <w:rsid w:val="66982D7F"/>
    <w:rsid w:val="669D7FC7"/>
    <w:rsid w:val="669E30E8"/>
    <w:rsid w:val="66CE0D63"/>
    <w:rsid w:val="66E86E41"/>
    <w:rsid w:val="67236EE5"/>
    <w:rsid w:val="67AB28BF"/>
    <w:rsid w:val="67D63066"/>
    <w:rsid w:val="67DB41F5"/>
    <w:rsid w:val="67E800C1"/>
    <w:rsid w:val="683F1384"/>
    <w:rsid w:val="686C6CC3"/>
    <w:rsid w:val="68D143CD"/>
    <w:rsid w:val="692A1FF1"/>
    <w:rsid w:val="693477D9"/>
    <w:rsid w:val="69714AFC"/>
    <w:rsid w:val="69887333"/>
    <w:rsid w:val="69AD31CA"/>
    <w:rsid w:val="69AE677E"/>
    <w:rsid w:val="69C5055B"/>
    <w:rsid w:val="6A1E760F"/>
    <w:rsid w:val="6A22020A"/>
    <w:rsid w:val="6A27153F"/>
    <w:rsid w:val="6A324EDD"/>
    <w:rsid w:val="6AD42B7D"/>
    <w:rsid w:val="6AE306AA"/>
    <w:rsid w:val="6B0174D9"/>
    <w:rsid w:val="6B1F4868"/>
    <w:rsid w:val="6B3A08FF"/>
    <w:rsid w:val="6B4F0589"/>
    <w:rsid w:val="6B653436"/>
    <w:rsid w:val="6B7F31B3"/>
    <w:rsid w:val="6BAD59B4"/>
    <w:rsid w:val="6C8B4D0D"/>
    <w:rsid w:val="6CF02AFE"/>
    <w:rsid w:val="6CF305CE"/>
    <w:rsid w:val="6D357A95"/>
    <w:rsid w:val="6D5B0955"/>
    <w:rsid w:val="6D874F96"/>
    <w:rsid w:val="6D99362E"/>
    <w:rsid w:val="6DB70237"/>
    <w:rsid w:val="6DE76703"/>
    <w:rsid w:val="6E254358"/>
    <w:rsid w:val="6E4B6C92"/>
    <w:rsid w:val="6E5C7A41"/>
    <w:rsid w:val="6E6B7058"/>
    <w:rsid w:val="6EC86534"/>
    <w:rsid w:val="6F1918D1"/>
    <w:rsid w:val="6F2B7DCC"/>
    <w:rsid w:val="6F32346A"/>
    <w:rsid w:val="6FE50ADF"/>
    <w:rsid w:val="701E411B"/>
    <w:rsid w:val="70685AE9"/>
    <w:rsid w:val="70A551DB"/>
    <w:rsid w:val="71455525"/>
    <w:rsid w:val="7150126C"/>
    <w:rsid w:val="719224AA"/>
    <w:rsid w:val="71B66B18"/>
    <w:rsid w:val="71DD137A"/>
    <w:rsid w:val="72041BC8"/>
    <w:rsid w:val="721F49C8"/>
    <w:rsid w:val="72337AEC"/>
    <w:rsid w:val="72421119"/>
    <w:rsid w:val="726710A6"/>
    <w:rsid w:val="72AF4BFC"/>
    <w:rsid w:val="72F65B1E"/>
    <w:rsid w:val="73007F54"/>
    <w:rsid w:val="7315161C"/>
    <w:rsid w:val="735C549D"/>
    <w:rsid w:val="73A44568"/>
    <w:rsid w:val="74337345"/>
    <w:rsid w:val="74523B27"/>
    <w:rsid w:val="74E4310D"/>
    <w:rsid w:val="7510349A"/>
    <w:rsid w:val="75B6127C"/>
    <w:rsid w:val="75E014EA"/>
    <w:rsid w:val="76AB3CA3"/>
    <w:rsid w:val="76C23463"/>
    <w:rsid w:val="7715296F"/>
    <w:rsid w:val="77ED2F50"/>
    <w:rsid w:val="78202F3D"/>
    <w:rsid w:val="789329B1"/>
    <w:rsid w:val="78AE4F5C"/>
    <w:rsid w:val="78E940ED"/>
    <w:rsid w:val="791C08A3"/>
    <w:rsid w:val="79BB6A42"/>
    <w:rsid w:val="79F44E4C"/>
    <w:rsid w:val="7BAE6B9A"/>
    <w:rsid w:val="7CFC55FB"/>
    <w:rsid w:val="7D0970B0"/>
    <w:rsid w:val="7DB31FA9"/>
    <w:rsid w:val="7DCA3EFB"/>
    <w:rsid w:val="7E1049F6"/>
    <w:rsid w:val="7E487F9A"/>
    <w:rsid w:val="7EA67A37"/>
    <w:rsid w:val="7ECD5ED0"/>
    <w:rsid w:val="7EE60311"/>
    <w:rsid w:val="7F4640AF"/>
    <w:rsid w:val="7F8467DE"/>
    <w:rsid w:val="7FCF3C39"/>
    <w:rsid w:val="7FDF3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link w:val="18"/>
    <w:unhideWhenUsed/>
    <w:qFormat/>
    <w:uiPriority w:val="0"/>
    <w:pPr>
      <w:keepNext/>
      <w:keepLines/>
      <w:spacing w:before="260" w:after="260" w:line="413" w:lineRule="auto"/>
      <w:outlineLvl w:val="1"/>
    </w:pPr>
    <w:rPr>
      <w:rFonts w:ascii="Arial" w:hAnsi="Arial" w:eastAsia="黑体" w:cs="Times New Roman"/>
      <w:b/>
      <w:sz w:val="32"/>
      <w:szCs w:val="24"/>
    </w:rPr>
  </w:style>
  <w:style w:type="paragraph" w:styleId="4">
    <w:name w:val="heading 3"/>
    <w:basedOn w:val="1"/>
    <w:next w:val="1"/>
    <w:link w:val="21"/>
    <w:semiHidden/>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Balloon Text"/>
    <w:basedOn w:val="1"/>
    <w:link w:val="27"/>
    <w:semiHidden/>
    <w:unhideWhenUsed/>
    <w:qFormat/>
    <w:uiPriority w:val="99"/>
    <w:rPr>
      <w:sz w:val="18"/>
      <w:szCs w:val="18"/>
    </w:rPr>
  </w:style>
  <w:style w:type="paragraph" w:styleId="7">
    <w:name w:val="footer"/>
    <w:basedOn w:val="1"/>
    <w:link w:val="23"/>
    <w:unhideWhenUsed/>
    <w:qFormat/>
    <w:uiPriority w:val="99"/>
    <w:pPr>
      <w:tabs>
        <w:tab w:val="center" w:pos="4153"/>
        <w:tab w:val="right" w:pos="8306"/>
      </w:tabs>
      <w:snapToGrid w:val="0"/>
      <w:jc w:val="left"/>
    </w:pPr>
    <w:rPr>
      <w:sz w:val="18"/>
      <w:szCs w:val="18"/>
    </w:rPr>
  </w:style>
  <w:style w:type="paragraph" w:styleId="8">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footnote text"/>
    <w:basedOn w:val="1"/>
    <w:semiHidden/>
    <w:unhideWhenUsed/>
    <w:qFormat/>
    <w:uiPriority w:val="99"/>
    <w:pPr>
      <w:snapToGrid w:val="0"/>
      <w:jc w:val="left"/>
    </w:pPr>
    <w:rPr>
      <w:sz w:val="18"/>
    </w:rPr>
  </w:style>
  <w:style w:type="paragraph" w:styleId="10">
    <w:name w:val="Normal (Web)"/>
    <w:basedOn w:val="1"/>
    <w:semiHidden/>
    <w:unhideWhenUsed/>
    <w:qFormat/>
    <w:uiPriority w:val="99"/>
    <w:pPr>
      <w:spacing w:beforeAutospacing="1" w:afterAutospacing="1"/>
      <w:jc w:val="left"/>
    </w:pPr>
    <w:rPr>
      <w:rFonts w:cs="Times New Roman"/>
      <w:kern w:val="0"/>
      <w:sz w:val="24"/>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Emphasis"/>
    <w:basedOn w:val="13"/>
    <w:qFormat/>
    <w:uiPriority w:val="20"/>
    <w:rPr>
      <w:i/>
    </w:rPr>
  </w:style>
  <w:style w:type="character" w:styleId="16">
    <w:name w:val="Hyperlink"/>
    <w:basedOn w:val="13"/>
    <w:semiHidden/>
    <w:unhideWhenUsed/>
    <w:qFormat/>
    <w:uiPriority w:val="99"/>
    <w:rPr>
      <w:color w:val="0000FF"/>
      <w:u w:val="single"/>
    </w:rPr>
  </w:style>
  <w:style w:type="character" w:styleId="17">
    <w:name w:val="footnote reference"/>
    <w:basedOn w:val="13"/>
    <w:qFormat/>
    <w:uiPriority w:val="99"/>
    <w:rPr>
      <w:vertAlign w:val="superscript"/>
    </w:rPr>
  </w:style>
  <w:style w:type="character" w:customStyle="1" w:styleId="18">
    <w:name w:val="标题 2 字符"/>
    <w:basedOn w:val="13"/>
    <w:link w:val="3"/>
    <w:qFormat/>
    <w:uiPriority w:val="0"/>
    <w:rPr>
      <w:rFonts w:ascii="Arial" w:hAnsi="Arial" w:eastAsia="黑体" w:cs="Times New Roman"/>
      <w:b/>
      <w:sz w:val="32"/>
      <w:szCs w:val="24"/>
    </w:rPr>
  </w:style>
  <w:style w:type="paragraph" w:styleId="19">
    <w:name w:val="No Spacing"/>
    <w:link w:val="20"/>
    <w:qFormat/>
    <w:uiPriority w:val="1"/>
    <w:rPr>
      <w:rFonts w:asciiTheme="minorHAnsi" w:hAnsiTheme="minorHAnsi" w:eastAsiaTheme="minorEastAsia" w:cstheme="minorBidi"/>
      <w:sz w:val="22"/>
      <w:szCs w:val="22"/>
      <w:lang w:val="en-US" w:eastAsia="zh-CN" w:bidi="ar-SA"/>
    </w:rPr>
  </w:style>
  <w:style w:type="character" w:customStyle="1" w:styleId="20">
    <w:name w:val="无间隔 字符"/>
    <w:basedOn w:val="13"/>
    <w:link w:val="19"/>
    <w:qFormat/>
    <w:uiPriority w:val="1"/>
    <w:rPr>
      <w:kern w:val="0"/>
      <w:sz w:val="22"/>
    </w:rPr>
  </w:style>
  <w:style w:type="character" w:customStyle="1" w:styleId="21">
    <w:name w:val="标题 3 字符"/>
    <w:basedOn w:val="13"/>
    <w:link w:val="4"/>
    <w:semiHidden/>
    <w:qFormat/>
    <w:uiPriority w:val="9"/>
    <w:rPr>
      <w:b/>
      <w:bCs/>
      <w:sz w:val="32"/>
      <w:szCs w:val="32"/>
    </w:rPr>
  </w:style>
  <w:style w:type="character" w:customStyle="1" w:styleId="22">
    <w:name w:val="页眉 字符"/>
    <w:basedOn w:val="13"/>
    <w:link w:val="8"/>
    <w:qFormat/>
    <w:uiPriority w:val="99"/>
    <w:rPr>
      <w:sz w:val="18"/>
      <w:szCs w:val="18"/>
    </w:rPr>
  </w:style>
  <w:style w:type="character" w:customStyle="1" w:styleId="23">
    <w:name w:val="页脚 字符"/>
    <w:basedOn w:val="13"/>
    <w:link w:val="7"/>
    <w:qFormat/>
    <w:uiPriority w:val="99"/>
    <w:rPr>
      <w:sz w:val="18"/>
      <w:szCs w:val="18"/>
    </w:rPr>
  </w:style>
  <w:style w:type="character" w:customStyle="1" w:styleId="24">
    <w:name w:val="font11"/>
    <w:basedOn w:val="13"/>
    <w:qFormat/>
    <w:uiPriority w:val="0"/>
    <w:rPr>
      <w:rFonts w:hint="eastAsia" w:ascii="等线" w:hAnsi="等线" w:eastAsia="等线" w:cs="等线"/>
      <w:b/>
      <w:bCs/>
      <w:color w:val="000000"/>
      <w:sz w:val="16"/>
      <w:szCs w:val="16"/>
      <w:u w:val="none"/>
    </w:rPr>
  </w:style>
  <w:style w:type="character" w:customStyle="1" w:styleId="25">
    <w:name w:val="font31"/>
    <w:basedOn w:val="13"/>
    <w:qFormat/>
    <w:uiPriority w:val="0"/>
    <w:rPr>
      <w:rFonts w:hint="eastAsia" w:ascii="等线" w:hAnsi="等线" w:eastAsia="等线" w:cs="等线"/>
      <w:color w:val="000000"/>
      <w:sz w:val="16"/>
      <w:szCs w:val="16"/>
      <w:u w:val="none"/>
    </w:rPr>
  </w:style>
  <w:style w:type="paragraph" w:styleId="26">
    <w:name w:val="List Paragraph"/>
    <w:basedOn w:val="1"/>
    <w:qFormat/>
    <w:uiPriority w:val="99"/>
    <w:pPr>
      <w:ind w:firstLine="420" w:firstLineChars="200"/>
    </w:pPr>
  </w:style>
  <w:style w:type="character" w:customStyle="1" w:styleId="27">
    <w:name w:val="批注框文本 字符"/>
    <w:basedOn w:val="13"/>
    <w:link w:val="6"/>
    <w:semiHidden/>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emf"/><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C76C0-5F38-4A2A-8D24-4C6592D80FD6}">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5</Pages>
  <Words>648</Words>
  <Characters>679</Characters>
  <Lines>25</Lines>
  <Paragraphs>7</Paragraphs>
  <TotalTime>18</TotalTime>
  <ScaleCrop>false</ScaleCrop>
  <LinksUpToDate>false</LinksUpToDate>
  <CharactersWithSpaces>681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2023-08-25T08:24:00Z</dcterms:created>
  <dc:creator>denglihua</dc:creator>
  <cp:lastModifiedBy>lh</cp:lastModifiedBy>
  <dcterms:modified xsi:type="dcterms:W3CDTF">2024-11-08T00:56:20Z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2A9B5636035B45999F3C0E9BF5C0C20C_13</vt:lpwstr>
  </property>
</Properties>
</file>