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2940"/>
        </w:tabs>
        <w:jc w:val="center"/>
        <w:rPr>
          <w:rFonts w:ascii="仿宋" w:hAnsi="仿宋" w:eastAsia="仿宋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从绿色算力发展趋势看运营商发展策略</w:t>
      </w:r>
    </w:p>
    <w:p/>
    <w:p>
      <w:pPr>
        <w:ind w:firstLine="560" w:firstLineChars="200"/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算力是激活新质生产力、推动数字经济高质量发展的核心力量，同时也是能源消耗增长较快的领域之一。在AI爆发增长情景下，2030年我国算力中心用电或超过7000亿千瓦时，占全社会用电量将达到5.3%</w:t>
      </w:r>
      <w:r>
        <w:rPr>
          <w:rStyle w:val="11"/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footnoteReference w:id="0"/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。2024年7月</w:t>
      </w:r>
      <w:r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和8月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，国家发改委</w:t>
      </w:r>
      <w:r>
        <w:rPr>
          <w:rFonts w:hint="eastAsia" w:ascii="仿宋" w:hAnsi="仿宋" w:eastAsia="仿宋"/>
          <w:color w:val="000000" w:themeColor="text1"/>
          <w:sz w:val="28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网信办等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部门</w:t>
      </w:r>
      <w:r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先后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发布《数据中心绿色低碳发展专项行动计划》</w:t>
      </w:r>
      <w:r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《数字化绿色化协同转型发展实施指南》，</w:t>
      </w:r>
      <w:r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旨在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推动数字产业绿色低碳发展，加快绿色数据中心建设。发展绿色算力成为支撑经济社会高质量发展的必然选择。</w:t>
      </w:r>
    </w:p>
    <w:p>
      <w:pPr>
        <w:pStyle w:val="2"/>
        <w:keepNext/>
        <w:keepLines/>
        <w:numPr>
          <w:ilvl w:val="0"/>
          <w:numId w:val="1"/>
        </w:numPr>
        <w:spacing w:before="156" w:beforeLines="50" w:beforeAutospacing="0" w:after="156" w:afterLines="50" w:afterAutospacing="0" w:line="360" w:lineRule="auto"/>
        <w:ind w:firstLine="567"/>
        <w:jc w:val="both"/>
        <w:rPr>
          <w:rFonts w:hint="default" w:ascii="仿宋" w:hAnsi="仿宋" w:eastAsia="仿宋" w:cstheme="minorBidi"/>
          <w:color w:val="000000" w:themeColor="text1"/>
          <w:kern w:val="2"/>
          <w:sz w:val="28"/>
          <w:szCs w:val="24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theme="minorBidi"/>
          <w:color w:val="000000" w:themeColor="text1"/>
          <w:kern w:val="2"/>
          <w:sz w:val="28"/>
          <w:szCs w:val="24"/>
          <w14:textFill>
            <w14:solidFill>
              <w14:schemeClr w14:val="tx1"/>
            </w14:solidFill>
          </w14:textFill>
        </w:rPr>
        <w:t>发展绿色算力是大势所趋</w:t>
      </w:r>
    </w:p>
    <w:p>
      <w:pPr>
        <w:numPr>
          <w:ilvl w:val="0"/>
          <w:numId w:val="2"/>
        </w:numPr>
        <w:ind w:firstLine="562" w:firstLineChars="200"/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绿色算力内涵</w:t>
      </w:r>
    </w:p>
    <w:p>
      <w:pPr>
        <w:ind w:firstLine="560"/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绿色算力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是指</w:t>
      </w:r>
      <w:r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面向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算力全生命周期，</w:t>
      </w:r>
      <w:r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对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算力生产、供给、运营和应用的全过程，实现算力现代化高质量绿色化发展。包括算力设备绿色高效、算力设施节能运行、算能协同布局和算用协同普惠四个方面。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restart"/>
            <w:vAlign w:val="center"/>
          </w:tcPr>
          <w:p>
            <w:pPr>
              <w:jc w:val="center"/>
              <w:rPr>
                <w:rFonts w:ascii="仿宋" w:hAnsi="仿宋" w:eastAsia="仿宋"/>
                <w:b/>
                <w:bCs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bCs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  <w:t>算能协同</w:t>
            </w:r>
          </w:p>
          <w:p>
            <w:pPr>
              <w:numPr>
                <w:ilvl w:val="0"/>
                <w:numId w:val="3"/>
              </w:numPr>
              <w:jc w:val="left"/>
              <w:rPr>
                <w:rFonts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  <w:t>绿色能源</w:t>
            </w:r>
          </w:p>
          <w:p>
            <w:pPr>
              <w:numPr>
                <w:ilvl w:val="0"/>
                <w:numId w:val="3"/>
              </w:numPr>
              <w:jc w:val="left"/>
              <w:rPr>
                <w:rFonts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  <w:t>绿电绿证交易</w:t>
            </w:r>
          </w:p>
          <w:p>
            <w:pPr>
              <w:numPr>
                <w:ilvl w:val="0"/>
                <w:numId w:val="3"/>
              </w:numPr>
              <w:jc w:val="left"/>
              <w:rPr>
                <w:rFonts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  <w:t>储能等</w:t>
            </w:r>
          </w:p>
          <w:p>
            <w:pPr>
              <w:numPr>
                <w:ilvl w:val="0"/>
                <w:numId w:val="3"/>
              </w:numPr>
              <w:jc w:val="left"/>
              <w:rPr>
                <w:rFonts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  <w:t>协同与调度</w:t>
            </w:r>
          </w:p>
        </w:tc>
        <w:tc>
          <w:tcPr>
            <w:tcW w:w="2841" w:type="dxa"/>
            <w:vAlign w:val="center"/>
          </w:tcPr>
          <w:p>
            <w:pPr>
              <w:jc w:val="center"/>
              <w:rPr>
                <w:rFonts w:ascii="仿宋" w:hAnsi="仿宋" w:eastAsia="仿宋"/>
                <w:b/>
                <w:bCs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bCs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  <w:t>算力设备</w:t>
            </w:r>
          </w:p>
          <w:p>
            <w:pPr>
              <w:numPr>
                <w:ilvl w:val="0"/>
                <w:numId w:val="3"/>
              </w:numPr>
              <w:jc w:val="left"/>
              <w:rPr>
                <w:rFonts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  <w:t>芯片</w:t>
            </w:r>
          </w:p>
          <w:p>
            <w:pPr>
              <w:numPr>
                <w:ilvl w:val="0"/>
                <w:numId w:val="3"/>
              </w:numPr>
              <w:jc w:val="left"/>
              <w:rPr>
                <w:rFonts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  <w:t>服务器</w:t>
            </w:r>
          </w:p>
          <w:p>
            <w:pPr>
              <w:numPr>
                <w:ilvl w:val="0"/>
                <w:numId w:val="3"/>
              </w:numPr>
              <w:jc w:val="left"/>
              <w:rPr>
                <w:rFonts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  <w:t>存储等</w:t>
            </w:r>
          </w:p>
        </w:tc>
        <w:tc>
          <w:tcPr>
            <w:tcW w:w="2841" w:type="dxa"/>
            <w:vMerge w:val="restart"/>
            <w:vAlign w:val="center"/>
          </w:tcPr>
          <w:p>
            <w:pPr>
              <w:jc w:val="center"/>
              <w:rPr>
                <w:rFonts w:ascii="仿宋" w:hAnsi="仿宋" w:eastAsia="仿宋"/>
                <w:b/>
                <w:bCs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bCs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  <w:t>算用普惠</w:t>
            </w:r>
          </w:p>
          <w:p>
            <w:pPr>
              <w:numPr>
                <w:ilvl w:val="0"/>
                <w:numId w:val="3"/>
              </w:numPr>
              <w:jc w:val="left"/>
              <w:rPr>
                <w:rFonts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  <w:t>赋能千行百业</w:t>
            </w:r>
          </w:p>
          <w:p>
            <w:pPr>
              <w:jc w:val="center"/>
              <w:rPr>
                <w:rFonts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41" w:type="dxa"/>
            <w:vAlign w:val="center"/>
          </w:tcPr>
          <w:p>
            <w:pPr>
              <w:jc w:val="center"/>
              <w:rPr>
                <w:rFonts w:ascii="仿宋" w:hAnsi="仿宋" w:eastAsia="仿宋"/>
                <w:b/>
                <w:bCs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bCs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  <w:t>算力设施</w:t>
            </w:r>
          </w:p>
          <w:p>
            <w:pPr>
              <w:numPr>
                <w:ilvl w:val="0"/>
                <w:numId w:val="3"/>
              </w:numPr>
              <w:jc w:val="left"/>
              <w:rPr>
                <w:rFonts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  <w:t>制冷</w:t>
            </w:r>
          </w:p>
          <w:p>
            <w:pPr>
              <w:numPr>
                <w:ilvl w:val="0"/>
                <w:numId w:val="3"/>
              </w:numPr>
              <w:jc w:val="left"/>
              <w:rPr>
                <w:rFonts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  <w:t>供配电</w:t>
            </w:r>
          </w:p>
          <w:p>
            <w:pPr>
              <w:numPr>
                <w:ilvl w:val="0"/>
                <w:numId w:val="3"/>
              </w:numPr>
              <w:jc w:val="left"/>
              <w:rPr>
                <w:rFonts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  <w:t>智能运维</w:t>
            </w:r>
          </w:p>
          <w:p>
            <w:pPr>
              <w:numPr>
                <w:ilvl w:val="0"/>
                <w:numId w:val="3"/>
              </w:numPr>
              <w:jc w:val="left"/>
              <w:rPr>
                <w:rFonts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  <w:t>资源回收等</w:t>
            </w:r>
          </w:p>
        </w:tc>
        <w:tc>
          <w:tcPr>
            <w:tcW w:w="2841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 w:themeColor="text1"/>
                <w:sz w:val="22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ind w:firstLine="560"/>
        <w:jc w:val="center"/>
        <w:rPr>
          <w:rFonts w:ascii="仿宋" w:hAnsi="仿宋" w:eastAsia="仿宋"/>
          <w:b/>
          <w:bCs/>
          <w:color w:val="000000" w:themeColor="text1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Cs w:val="20"/>
          <w14:textFill>
            <w14:solidFill>
              <w14:schemeClr w14:val="tx1"/>
            </w14:solidFill>
          </w14:textFill>
        </w:rPr>
        <w:t>表 绿色算力内涵</w:t>
      </w:r>
    </w:p>
    <w:p>
      <w:pPr>
        <w:numPr>
          <w:ilvl w:val="0"/>
          <w:numId w:val="2"/>
        </w:numPr>
        <w:ind w:firstLine="562" w:firstLineChars="200"/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新形式推动绿色算力快速发展</w:t>
      </w:r>
    </w:p>
    <w:p>
      <w:pPr>
        <w:ind w:firstLine="560"/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AI算力爆发</w:t>
      </w:r>
      <w:r>
        <w:rPr>
          <w:rFonts w:hint="eastAsia" w:ascii="仿宋" w:hAnsi="仿宋" w:eastAsia="仿宋"/>
          <w:b/>
          <w:bCs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使</w:t>
      </w: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节能降碳</w:t>
      </w:r>
      <w:r>
        <w:rPr>
          <w:rFonts w:hint="eastAsia" w:ascii="仿宋" w:hAnsi="仿宋" w:eastAsia="仿宋"/>
          <w:b/>
          <w:bCs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面临</w:t>
      </w: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更大挑战。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ChatGPT每天需处理约2亿次请求，电力消耗超50万kWh，约为1.7万美国家庭的日用电量。英伟达H100峰值功耗为700W，远超普通家庭平均功耗。预计至2025年，全球GPU产能将</w:t>
      </w:r>
      <w:r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达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600多万片，年复合增速不低于30%</w:t>
      </w:r>
      <w:r>
        <w:rPr>
          <w:rStyle w:val="11"/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footnoteReference w:id="1"/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，能源短缺或将随之而来。相关数据显示，2023年我国算力中心能耗总量1500亿kWh，同比增长15.4%，约占全社会用电量的1.6%，预计到2030年，或超过7000亿千瓦时，对算力用电规模、能源结构转型提出更高要求。</w:t>
      </w:r>
    </w:p>
    <w:p>
      <w:pPr>
        <w:ind w:firstLine="560"/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国家和地方</w:t>
      </w:r>
      <w:r>
        <w:rPr>
          <w:rFonts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政策引领算力</w:t>
      </w: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绿色低碳</w:t>
      </w:r>
      <w:r>
        <w:rPr>
          <w:rFonts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发展</w:t>
      </w: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。国家层面，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《算力基础设施高质量发展行动计划》、《关于深入实施“东数西算”工程加快构建全国一体化算力网的实施意见》等政策，推动绿色算力进入算力算效提升、绿色能源利用和数智赋能阶段</w:t>
      </w:r>
      <w:r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" w:hAnsi="仿宋" w:eastAsia="仿宋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地方层面，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北京提出提升智算中心绿色低碳水平，广东到2025年要建成全国第一、全球领先的算力枢纽中心，贵州支持数据中心企业采购绿色能源，</w:t>
      </w:r>
      <w:r>
        <w:rPr>
          <w:rFonts w:hint="eastAsia" w:ascii="仿宋" w:hAnsi="仿宋" w:eastAsia="仿宋"/>
          <w:b w:val="0"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因地制宜积极推动算力绿色化发展。</w:t>
      </w:r>
    </w:p>
    <w:p>
      <w:pPr>
        <w:ind w:firstLine="560"/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算力企业</w:t>
      </w: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和科技巨头</w:t>
      </w:r>
      <w:r>
        <w:rPr>
          <w:rFonts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积极</w:t>
      </w: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践行</w:t>
      </w:r>
      <w:r>
        <w:rPr>
          <w:rFonts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绿色算力。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中国电信开展“1248”双碳行动</w:t>
      </w:r>
      <w:r>
        <w:rPr>
          <w:rStyle w:val="11"/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footnoteReference w:id="2"/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，十四五期</w:t>
      </w:r>
      <w:r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间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实现大型、超大型绿色数据中心占比超80%。‌中国移动发布“C2三能一碳达峰</w:t>
      </w:r>
      <w:r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碳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中和行动计划”</w:t>
      </w:r>
      <w:r>
        <w:rPr>
          <w:rStyle w:val="11"/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footnoteReference w:id="3"/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，创新构建“三能六绿”发展模式。中国联通通过《“碳达峰、碳中和”十四五行动计划》明确“3+5+1+1”碳达峰碳中和行动方案</w:t>
      </w:r>
      <w:r>
        <w:rPr>
          <w:rStyle w:val="11"/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footnoteReference w:id="4"/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。谷歌自2010年起总计购买约10GW清洁能源发电能力（图1）</w:t>
      </w:r>
      <w:r>
        <w:rPr>
          <w:rStyle w:val="11"/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footnoteReference w:id="5"/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，亚马逊连续第四年成为全球最大的清洁能源买家（图2）</w:t>
      </w:r>
      <w:r>
        <w:rPr>
          <w:rStyle w:val="11"/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footnoteReference w:id="6"/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，目前已实现数据中心1</w:t>
      </w:r>
      <w:r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00%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可再生能源使用。</w:t>
      </w:r>
    </w:p>
    <w:p>
      <w:pPr>
        <w:jc w:val="center"/>
      </w:pPr>
      <w:r>
        <w:drawing>
          <wp:inline distT="0" distB="0" distL="114300" distR="114300">
            <wp:extent cx="3573145" cy="1809115"/>
            <wp:effectExtent l="0" t="0" r="825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3145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仿宋" w:hAnsi="仿宋" w:eastAsia="仿宋" w:cs="仿宋"/>
          <w:b/>
          <w:bCs/>
          <w:sz w:val="18"/>
          <w:szCs w:val="21"/>
        </w:rPr>
      </w:pPr>
      <w:r>
        <w:rPr>
          <w:rFonts w:hint="eastAsia" w:ascii="仿宋" w:hAnsi="仿宋" w:eastAsia="仿宋" w:cs="仿宋"/>
          <w:b/>
          <w:bCs/>
          <w:sz w:val="18"/>
          <w:szCs w:val="21"/>
        </w:rPr>
        <w:t>图1 谷歌可再生能源采购量与总用电量的比较</w:t>
      </w:r>
    </w:p>
    <w:p>
      <w:pPr>
        <w:jc w:val="center"/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3690620" cy="2214245"/>
            <wp:effectExtent l="0" t="0" r="508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062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仿宋" w:hAnsi="仿宋" w:eastAsia="仿宋" w:cs="仿宋"/>
          <w:b/>
          <w:bCs/>
          <w:sz w:val="18"/>
          <w:szCs w:val="21"/>
        </w:rPr>
      </w:pPr>
      <w:r>
        <w:rPr>
          <w:rFonts w:hint="eastAsia" w:ascii="仿宋" w:hAnsi="仿宋" w:eastAsia="仿宋" w:cs="仿宋"/>
          <w:b/>
          <w:bCs/>
          <w:sz w:val="18"/>
          <w:szCs w:val="21"/>
        </w:rPr>
        <w:t>图2 全球企业可再生能源购电协议（PPA）亚马逊位居榜首</w:t>
      </w:r>
    </w:p>
    <w:p>
      <w:pPr>
        <w:pStyle w:val="2"/>
        <w:keepNext/>
        <w:keepLines/>
        <w:numPr>
          <w:ilvl w:val="0"/>
          <w:numId w:val="1"/>
        </w:numPr>
        <w:spacing w:before="156" w:beforeLines="50" w:beforeAutospacing="0" w:afterAutospacing="0" w:line="360" w:lineRule="auto"/>
        <w:ind w:firstLine="567"/>
        <w:jc w:val="both"/>
        <w:rPr>
          <w:rFonts w:hint="default" w:ascii="仿宋" w:hAnsi="仿宋" w:eastAsia="仿宋" w:cstheme="minorBidi"/>
          <w:color w:val="000000" w:themeColor="text1"/>
          <w:kern w:val="2"/>
          <w:sz w:val="28"/>
          <w:szCs w:val="24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theme="minorBidi"/>
          <w:color w:val="000000" w:themeColor="text1"/>
          <w:kern w:val="2"/>
          <w:sz w:val="28"/>
          <w:szCs w:val="24"/>
          <w14:textFill>
            <w14:solidFill>
              <w14:schemeClr w14:val="tx1"/>
            </w14:solidFill>
          </w14:textFill>
        </w:rPr>
        <w:t>绿色算力发展趋势</w:t>
      </w:r>
    </w:p>
    <w:p>
      <w:pPr>
        <w:ind w:firstLine="560"/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2024年我国绿色算力在生产、供给、运营和应用等环节取得了相关进展，算力设备和设施、算能协同和算力应用方面</w:t>
      </w:r>
      <w:r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实现绿色化发展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。</w:t>
      </w:r>
    </w:p>
    <w:p>
      <w:pPr>
        <w:numPr>
          <w:ilvl w:val="0"/>
          <w:numId w:val="4"/>
        </w:numPr>
        <w:ind w:left="0" w:leftChars="0" w:firstLine="562" w:firstLineChars="200"/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技术创新推动算力设备绿色高效发展，打造绿色算力源头</w:t>
      </w:r>
    </w:p>
    <w:p>
      <w:pPr>
        <w:ind w:firstLine="560" w:firstLineChars="200"/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从产业链看</w:t>
      </w: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算力设备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包括芯片、服务器、存储设备、网络设备、算法和模型等。当前，算力设备的绿色技术围绕芯片、服务器等方面进行。</w:t>
      </w:r>
    </w:p>
    <w:p>
      <w:pPr>
        <w:ind w:firstLine="562" w:firstLineChars="200"/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芯片方面，先进工艺和架构优化促进高效节能。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英伟达Blackwell GPU，结合</w:t>
      </w:r>
      <w:r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最新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Transformer引擎、 NVLink、RAS引擎和解压缩引擎等技术，支持10万亿参数模型进行训练和实时LLM推理，性能提升30倍，能耗降低25倍。阿里倚天710内含128核CPU，与飞天操作系统及CIPU 融合，性能提升30%以上，单位算力功耗降低 60%以</w:t>
      </w:r>
      <w:r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上。</w:t>
      </w:r>
    </w:p>
    <w:p>
      <w:pPr>
        <w:ind w:firstLine="562" w:firstLineChars="200"/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建设高密度服务器和优化整机结构提升计算效率和降低能耗。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浪潮高密度服务器支持X86、ARM等多种计算平台,性能提升60%—107%,支持CXL技术，有效数据带宽提升达87%至125%。</w:t>
      </w:r>
    </w:p>
    <w:p>
      <w:pPr>
        <w:numPr>
          <w:ilvl w:val="0"/>
          <w:numId w:val="4"/>
        </w:numPr>
        <w:ind w:left="0" w:firstLine="562" w:firstLineChars="200"/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多样制冷技术、供配电和资源回收方案，助力算力设施绿色化</w:t>
      </w:r>
    </w:p>
    <w:p>
      <w:pPr>
        <w:ind w:firstLine="560"/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‌算力设施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集信息计算力、网络运载力、数据存储力于一体，主要指算力中心基础设施，涉及制冷、供配电、资源回收利用等方面。</w:t>
      </w:r>
    </w:p>
    <w:p>
      <w:pPr>
        <w:ind w:firstLine="560"/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制冷技术从风冷向液冷转变。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采用冷板式液冷系统单机柜的功率密度从8-10KW提升至33kW，单机柜最大支持66kW供电</w:t>
      </w:r>
      <w:r>
        <w:rPr>
          <w:rStyle w:val="11"/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footnoteReference w:id="7"/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。2023</w:t>
      </w:r>
      <w:r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6月，中国移动、中国电信、中国联通三大运营商联合发布《电信运营商液冷技术白皮书》。全国多地正加快建设液冷智算中心，大湾区、长三角、京津冀均有落地。</w:t>
      </w:r>
    </w:p>
    <w:p>
      <w:pPr>
        <w:ind w:firstLine="560"/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“源网荷储”</w:t>
      </w:r>
      <w:r>
        <w:rPr>
          <w:rStyle w:val="11"/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footnoteReference w:id="8"/>
      </w:r>
      <w:r>
        <w:rPr>
          <w:rFonts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有机融合</w:t>
      </w: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是</w:t>
      </w:r>
      <w:r>
        <w:rPr>
          <w:rFonts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数据中心能源结构革新的突破点</w:t>
      </w: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其</w:t>
      </w:r>
      <w:r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原理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是</w:t>
      </w:r>
      <w:r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通过精确控制社会电力系统中用电负荷和储能资源，实现电力系统的平衡。厦门ABB 工业中心将光储充、暖通空调、气象预报、生产管理等系统接入管理平台，实现对“源-网-荷-储”</w:t>
      </w:r>
      <w:r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柔性精准调控。实施后，用电成本整体下降约22.98%</w:t>
      </w:r>
      <w:r>
        <w:rPr>
          <w:rStyle w:val="11"/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footnoteReference w:id="9"/>
      </w:r>
      <w:r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。</w:t>
      </w:r>
    </w:p>
    <w:p>
      <w:pPr>
        <w:ind w:firstLine="560"/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余热和水资源回收</w:t>
      </w: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助力绿色算力变碳为零。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中国移动哈尔滨数据中心将园区机房内IT设备产生的余热重复利用，作为办公采暖和热水的热源。一期</w:t>
      </w:r>
      <w:r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共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提供余热利用量10327KW，可供冬季采暖面积87117m</w:t>
      </w:r>
      <w:r>
        <w:rPr>
          <w:rFonts w:hint="eastAsia" w:ascii="仿宋" w:hAnsi="仿宋" w:eastAsia="仿宋"/>
          <w:color w:val="000000" w:themeColor="text1"/>
          <w:sz w:val="28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，每年节约供暖成本209万元。</w:t>
      </w:r>
    </w:p>
    <w:p>
      <w:pPr>
        <w:numPr>
          <w:ilvl w:val="0"/>
          <w:numId w:val="4"/>
        </w:numPr>
        <w:ind w:left="0" w:firstLine="562" w:firstLineChars="200"/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绿电绿证交易护航可再生能源</w:t>
      </w:r>
      <w:r>
        <w:rPr>
          <w:rFonts w:hint="eastAsia" w:ascii="仿宋" w:hAnsi="仿宋" w:eastAsia="仿宋"/>
          <w:b/>
          <w:bCs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使</w:t>
      </w: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用，算能协同助力算力绿色高效利用</w:t>
      </w:r>
    </w:p>
    <w:p>
      <w:pPr>
        <w:ind w:firstLine="560"/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‌算能协同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指通过算力和电力之间的协同作用，实现信息与能源的高效利用和优化配置。2024</w:t>
      </w:r>
      <w:r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8月发布的《数字化绿色化协同转型发展实施指南》落实国家战略，有效推动新能源与算力的匹配布局。</w:t>
      </w:r>
    </w:p>
    <w:p>
      <w:pPr>
        <w:ind w:firstLine="560"/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可再生能源利用是算力绿色发展的重要手段。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各国都在统筹可再生能源供应与算力低碳发展。《欧洲气候中立数据中心公约》提出，2025年数据中心使用可再生能源电力要达75%，2030年达到100%。根据我国《绿色数据中心政府采购需求标准(试行)》，2025年可再生能源使用率达30%，2027年50%、2030年75%、2032年达到100%</w:t>
      </w:r>
      <w:r>
        <w:rPr>
          <w:rStyle w:val="11"/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footnoteReference w:id="10"/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。</w:t>
      </w:r>
    </w:p>
    <w:p>
      <w:pPr>
        <w:ind w:firstLine="560"/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绿电绿证</w:t>
      </w:r>
      <w:r>
        <w:rPr>
          <w:rStyle w:val="11"/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footnoteReference w:id="11"/>
      </w: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交易为可再生能源</w:t>
      </w:r>
      <w:r>
        <w:rPr>
          <w:rFonts w:hint="eastAsia" w:ascii="仿宋" w:hAnsi="仿宋" w:eastAsia="仿宋"/>
          <w:b/>
          <w:bCs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利</w:t>
      </w: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用保驾护航。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该交易即满足清洁用能的需求，也是企业低碳转型的重要措施。2024</w:t>
      </w:r>
      <w:r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4月，国家能源局印发《可再生能源绿色电力证书核发和交易规则》，为推动可再生能源高质量发展提供指导。截至2024</w:t>
      </w:r>
      <w:r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7月，全国累计核发绿证8.89亿个，全国累计交易绿证2.91亿个</w:t>
      </w:r>
      <w:r>
        <w:rPr>
          <w:rStyle w:val="11"/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footnoteReference w:id="12"/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。</w:t>
      </w:r>
    </w:p>
    <w:p>
      <w:pPr>
        <w:ind w:firstLine="560"/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算能协同实现算力资源有效动态调度，提升资源利用率。国家层面，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2024</w:t>
      </w:r>
      <w:r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8月，“东数西算”六大集群算力调度平台实现互联互通；</w:t>
      </w: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企业层面，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电信运营商及云服务商联合产业链上下游建设算力调度平台</w:t>
      </w:r>
      <w:r>
        <w:rPr>
          <w:rFonts w:hint="eastAsia" w:ascii="仿宋" w:hAnsi="仿宋" w:eastAsia="仿宋"/>
          <w:color w:val="000000" w:themeColor="text1"/>
          <w:sz w:val="2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基于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能源调度系统，</w:t>
      </w:r>
      <w:r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实现算能协同，推动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按需、动态用能。</w:t>
      </w:r>
    </w:p>
    <w:p>
      <w:pPr>
        <w:numPr>
          <w:ilvl w:val="0"/>
          <w:numId w:val="4"/>
        </w:numPr>
        <w:ind w:left="0" w:firstLine="562" w:firstLineChars="200"/>
        <w:rPr>
          <w:rFonts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算用协同推动绿色算力赋能千行百业</w:t>
      </w:r>
    </w:p>
    <w:p>
      <w:pPr>
        <w:ind w:firstLine="560"/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算力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已经</w:t>
      </w:r>
      <w:r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融入经济社会发展各领域全过程，改变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了人们</w:t>
      </w:r>
      <w:r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的生产生活方式和社会治理方式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，带动了产业绿色低碳转型</w:t>
      </w:r>
      <w:r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。</w:t>
      </w:r>
    </w:p>
    <w:p>
      <w:pPr>
        <w:ind w:firstLine="560"/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算用协同助力交通运输行业降碳减排。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交通运输行业的碳排量约占全国总排放量的10%。2024</w:t>
      </w:r>
      <w:r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5月，国务院印发《2024—2025年节能降碳行动方案》要求，2025年底交通运输领域碳排放强度较2020年降低5%。绿色算力赋能交</w:t>
      </w:r>
      <w:r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通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运输场景，将城市交通中人、车、线、站、路、停车场等数据传输给交通“智慧大脑”，形成分级决策方案，让交通系统更智能、公交出行更高效、自驾出行更环保。</w:t>
      </w:r>
    </w:p>
    <w:p>
      <w:pPr>
        <w:ind w:firstLine="560"/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算用协同赋能工业园区绿色运营。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我国工业园区耗能约占全社会总耗能的69%，碳排放约占全国总排放的40%</w:t>
      </w:r>
      <w:r>
        <w:rPr>
          <w:rStyle w:val="11"/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footnoteReference w:id="13"/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。零碳园区的建设对落实“双碳”政策至关重要。绿色算力助力园区实现安全生产管控、环境质量检测、能源管理等，全面提高园区的智能化水平和运营效率。</w:t>
      </w:r>
    </w:p>
    <w:p>
      <w:pPr>
        <w:ind w:firstLine="560"/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算用协同赋能工业领域节能降碳。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我国工业领域碳排放量占全国总排放量的约40%，算力与新一代信息技术结合，从能源消费、利用和生产过程等方面，助力工业节能减排</w:t>
      </w:r>
      <w:r>
        <w:rPr>
          <w:rFonts w:hint="eastAsia" w:ascii="仿宋" w:hAnsi="仿宋" w:eastAsia="仿宋"/>
          <w:color w:val="000000" w:themeColor="text1"/>
          <w:sz w:val="28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宝钢股份数字化碳管理平台，基于云边协同大数据中心，集成各生产单元生产、能源、排放、运输、等实时数据，进行实时碳管理模型运算，动态跟踪各单元碳排放。投运后，排放强度从2.16左右下降到1.98以下。</w:t>
      </w:r>
    </w:p>
    <w:p>
      <w:pPr>
        <w:pStyle w:val="2"/>
        <w:keepNext/>
        <w:keepLines/>
        <w:numPr>
          <w:ilvl w:val="0"/>
          <w:numId w:val="1"/>
        </w:numPr>
        <w:spacing w:before="156" w:beforeLines="50" w:beforeAutospacing="0" w:afterAutospacing="0" w:line="360" w:lineRule="auto"/>
        <w:ind w:firstLine="567"/>
        <w:jc w:val="both"/>
        <w:rPr>
          <w:rFonts w:hint="default" w:ascii="仿宋" w:hAnsi="仿宋" w:eastAsia="仿宋" w:cstheme="minorBidi"/>
          <w:color w:val="000000" w:themeColor="text1"/>
          <w:kern w:val="2"/>
          <w:sz w:val="28"/>
          <w:szCs w:val="24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theme="minorBidi"/>
          <w:color w:val="000000" w:themeColor="text1"/>
          <w:kern w:val="2"/>
          <w:sz w:val="28"/>
          <w:szCs w:val="24"/>
          <w14:textFill>
            <w14:solidFill>
              <w14:schemeClr w14:val="tx1"/>
            </w14:solidFill>
          </w14:textFill>
        </w:rPr>
        <w:t>运营商绿色算力发展的建议</w:t>
      </w:r>
    </w:p>
    <w:p>
      <w:pPr>
        <w:ind w:firstLine="560"/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大力推动算力绿色化发展，是实现我国建设数字化基础设施、展现大国担当的重要命题。运营商作为国资央企，应当积极响应国家双碳目标，通过切实可行的举措积极推动算力“向绿而行</w:t>
      </w:r>
      <w:r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。</w:t>
      </w:r>
      <w:bookmarkStart w:id="0" w:name="_GoBack"/>
      <w:bookmarkEnd w:id="0"/>
    </w:p>
    <w:p>
      <w:pPr>
        <w:ind w:firstLine="560"/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扎实推进</w:t>
      </w:r>
      <w:r>
        <w:rPr>
          <w:rFonts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数据中心</w:t>
      </w: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节能降碳。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依托高效加速芯片、开源计算框架、MOE模型等协同优化，降低GPU集群用能成本。</w:t>
      </w:r>
      <w:r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优化数据中心设计，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可</w:t>
      </w:r>
      <w:r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利用自然冷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源</w:t>
      </w:r>
      <w:r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、热回收技术以及高效率的电源管理系统，降低能耗。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密切跟踪氢能、先进储能电池等新能源技术发展，完善自研绿色低碳解决方案，推进AI算法和大数据赋能数据中心节能降碳。</w:t>
      </w:r>
    </w:p>
    <w:p>
      <w:pPr>
        <w:ind w:firstLine="560"/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加强算力和电力的协同发展。</w:t>
      </w:r>
      <w:r>
        <w:rPr>
          <w:rFonts w:hint="eastAsia" w:ascii="仿宋" w:hAnsi="仿宋" w:eastAsia="仿宋"/>
          <w:b w:val="0"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推进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运营商与电力主导企业的深度合作，开展绿电长期直购电协议、算力+能源融合建设等创新模式，加强超万卡GPU集群附近的新型电力基础设施合作建设等。</w:t>
      </w:r>
    </w:p>
    <w:p>
      <w:pPr>
        <w:ind w:firstLine="560"/>
        <w:rPr>
          <w:rFonts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汇聚社会算力，推进算力普惠。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依托运营商在算力并网、算网调度平台等方面</w:t>
      </w:r>
      <w:r>
        <w:rPr>
          <w:rFonts w:hint="eastAsia" w:ascii="仿宋" w:hAnsi="仿宋" w:eastAsia="仿宋"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有</w:t>
      </w:r>
      <w:r>
        <w:rPr>
          <w:rFonts w:hint="eastAsia" w:ascii="仿宋" w:hAnsi="仿宋" w:eastAsia="仿宋"/>
          <w:color w:val="000000" w:themeColor="text1"/>
          <w:sz w:val="28"/>
          <w14:textFill>
            <w14:solidFill>
              <w14:schemeClr w14:val="tx1"/>
            </w14:solidFill>
          </w14:textFill>
        </w:rPr>
        <w:t>优势基础，持续优化算力网络建设，接入和纳管社会算力，强化多元算力互联互通，为中小企业提供绿色、普惠和易用算力。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8">
    <w:p>
      <w:r>
        <w:separator/>
      </w:r>
    </w:p>
  </w:footnote>
  <w:footnote w:type="continuationSeparator" w:id="29">
    <w:p>
      <w:r>
        <w:continuationSeparator/>
      </w:r>
    </w:p>
  </w:footnote>
  <w:footnote w:id="0">
    <w:p>
      <w:pPr>
        <w:pStyle w:val="4"/>
        <w:rPr>
          <w:rFonts w:ascii="Arial" w:hAnsi="Arial" w:eastAsia="仿宋" w:cs="Arial"/>
          <w:szCs w:val="18"/>
        </w:rPr>
      </w:pPr>
      <w:r>
        <w:rPr>
          <w:rStyle w:val="11"/>
          <w:rFonts w:ascii="Arial" w:hAnsi="Arial" w:cs="Arial"/>
          <w:szCs w:val="18"/>
        </w:rPr>
        <w:footnoteRef/>
      </w:r>
      <w:r>
        <w:rPr>
          <w:rFonts w:ascii="Arial" w:hAnsi="Arial" w:cs="Arial"/>
          <w:szCs w:val="18"/>
        </w:rPr>
        <w:t xml:space="preserve"> </w:t>
      </w:r>
      <w:r>
        <w:rPr>
          <w:rFonts w:ascii="Arial" w:hAnsi="Arial" w:eastAsia="仿宋" w:cs="Arial"/>
          <w:szCs w:val="18"/>
        </w:rPr>
        <w:t>去年我国算力核心产业规模达2万亿元，能耗将呈井喷式增长https://baijiahao.baidu.com/s?id=1808181332362804167&amp;wfr=spider&amp;for=pc</w:t>
      </w:r>
    </w:p>
  </w:footnote>
  <w:footnote w:id="1">
    <w:p>
      <w:pPr>
        <w:pStyle w:val="2"/>
        <w:widowControl/>
        <w:shd w:val="clear" w:color="auto" w:fill="FFFFFF"/>
        <w:spacing w:beforeAutospacing="0" w:after="140" w:afterAutospacing="0" w:line="14" w:lineRule="atLeast"/>
        <w:rPr>
          <w:rFonts w:hint="default" w:ascii="Arial" w:hAnsi="Arial" w:cs="Arial"/>
          <w:b w:val="0"/>
          <w:bCs w:val="0"/>
          <w:sz w:val="18"/>
          <w:szCs w:val="18"/>
        </w:rPr>
      </w:pPr>
      <w:r>
        <w:rPr>
          <w:rStyle w:val="11"/>
          <w:rFonts w:hint="default" w:ascii="Arial" w:hAnsi="Arial" w:cs="Arial"/>
          <w:sz w:val="18"/>
          <w:szCs w:val="18"/>
        </w:rPr>
        <w:footnoteRef/>
      </w:r>
      <w:r>
        <w:rPr>
          <w:rFonts w:hint="default" w:ascii="Arial" w:hAnsi="Arial" w:cs="Arial"/>
          <w:sz w:val="18"/>
          <w:szCs w:val="18"/>
        </w:rPr>
        <w:t xml:space="preserve"> </w:t>
      </w:r>
      <w:r>
        <w:rPr>
          <w:rFonts w:hint="default" w:ascii="Arial" w:hAnsi="Arial" w:eastAsia="仿宋" w:cs="Arial"/>
          <w:b w:val="0"/>
          <w:bCs w:val="0"/>
          <w:kern w:val="2"/>
          <w:sz w:val="18"/>
          <w:szCs w:val="18"/>
        </w:rPr>
        <w:t>特别视点 | 算力崛起背后的阴影：AI膨胀期的能源挑战</w:t>
      </w:r>
      <w:r>
        <w:rPr>
          <w:rFonts w:hint="default" w:ascii="Arial" w:hAnsi="Arial" w:cs="Arial"/>
          <w:b w:val="0"/>
          <w:bCs w:val="0"/>
          <w:sz w:val="18"/>
          <w:szCs w:val="18"/>
        </w:rPr>
        <w:t>https://mp.weixin.qq.com/s?__biz=MjM5OTM3OTA3NA==&amp;mid=2656084073&amp;idx=1&amp;sn=7ecc54136e5612c364843ab3609acce8&amp;chksm=bd8c9a5eb0485d3a56e383eb5616e71b23594bf81db7915384</w:t>
      </w:r>
      <w:r>
        <w:rPr>
          <w:rFonts w:hint="default" w:ascii="Arial" w:hAnsi="Arial" w:cs="Arial"/>
          <w:sz w:val="18"/>
          <w:szCs w:val="18"/>
        </w:rPr>
        <w:t>e</w:t>
      </w:r>
      <w:r>
        <w:rPr>
          <w:rFonts w:hint="default" w:ascii="Arial" w:hAnsi="Arial" w:cs="Arial"/>
          <w:b w:val="0"/>
          <w:bCs w:val="0"/>
          <w:sz w:val="18"/>
          <w:szCs w:val="18"/>
        </w:rPr>
        <w:t>36de236d2054eb2940f6650b7&amp;scene=27</w:t>
      </w:r>
    </w:p>
  </w:footnote>
  <w:footnote w:id="2">
    <w:p>
      <w:pPr>
        <w:pStyle w:val="4"/>
        <w:rPr>
          <w:rFonts w:ascii="Arial" w:hAnsi="Arial" w:eastAsia="仿宋" w:cs="Arial"/>
          <w:szCs w:val="18"/>
        </w:rPr>
      </w:pPr>
      <w:r>
        <w:rPr>
          <w:rStyle w:val="11"/>
          <w:rFonts w:ascii="Arial" w:hAnsi="Arial" w:eastAsia="仿宋" w:cs="Arial"/>
          <w:szCs w:val="18"/>
        </w:rPr>
        <w:footnoteRef/>
      </w:r>
      <w:r>
        <w:rPr>
          <w:rFonts w:ascii="Arial" w:hAnsi="Arial" w:eastAsia="仿宋" w:cs="Arial"/>
          <w:szCs w:val="18"/>
        </w:rPr>
        <w:t xml:space="preserve"> “1248”双碳行动计划，明确把绿色低碳作为企业云改数转战略的重要组成部分，提出建设绿色新云网、打造绿色新运营、构建绿色新生态、强化绿色新赋能、创造绿色新价值、发展绿色新能源、筑牢绿色新支撑、催生绿色新科技等8大绿色行动。</w:t>
      </w:r>
    </w:p>
  </w:footnote>
  <w:footnote w:id="3">
    <w:p>
      <w:pPr>
        <w:pStyle w:val="4"/>
        <w:rPr>
          <w:rFonts w:ascii="Arial" w:hAnsi="Arial" w:eastAsia="仿宋" w:cs="Arial"/>
          <w:szCs w:val="18"/>
        </w:rPr>
      </w:pPr>
      <w:r>
        <w:rPr>
          <w:rStyle w:val="11"/>
          <w:rFonts w:ascii="Arial" w:hAnsi="Arial" w:eastAsia="仿宋" w:cs="Arial"/>
          <w:szCs w:val="18"/>
        </w:rPr>
        <w:footnoteRef/>
      </w:r>
      <w:r>
        <w:rPr>
          <w:rFonts w:ascii="Arial" w:hAnsi="Arial" w:eastAsia="仿宋" w:cs="Arial"/>
          <w:szCs w:val="18"/>
        </w:rPr>
        <w:t xml:space="preserve">  C2三能—碳达峰碳中和行动计划”，创新构建“三能六绿”发展模式（“节能”、“洁能”、“赋能”三条主线，“绿色网络”、“绿色用能”、“绿色供应链”、“绿色办公”、“绿色赋能”、“绿色文化”六个路径）。</w:t>
      </w:r>
    </w:p>
  </w:footnote>
  <w:footnote w:id="4">
    <w:p>
      <w:pPr>
        <w:pStyle w:val="4"/>
        <w:rPr>
          <w:rFonts w:ascii="Arial" w:hAnsi="Arial" w:eastAsia="仿宋" w:cs="Arial"/>
          <w:szCs w:val="18"/>
        </w:rPr>
      </w:pPr>
      <w:r>
        <w:rPr>
          <w:rStyle w:val="11"/>
          <w:rFonts w:ascii="Arial" w:hAnsi="Arial" w:eastAsia="仿宋" w:cs="Arial"/>
          <w:szCs w:val="18"/>
        </w:rPr>
        <w:footnoteRef/>
      </w:r>
      <w:r>
        <w:rPr>
          <w:rFonts w:ascii="Arial" w:hAnsi="Arial" w:eastAsia="仿宋" w:cs="Arial"/>
          <w:szCs w:val="18"/>
        </w:rPr>
        <w:t xml:space="preserve"> “3+5+1+1”行动计划：“3”是指围绕低碳循环发展，建立3大碳管理体系；“5”是指聚焦5大绿色发展方向；“1”是指深化拓展共建共享；最后一个“1”是指数字赋能行业应用，助力千行百业节能降碳。</w:t>
      </w:r>
    </w:p>
  </w:footnote>
  <w:footnote w:id="5">
    <w:p>
      <w:pPr>
        <w:pStyle w:val="4"/>
        <w:rPr>
          <w:rFonts w:ascii="Arial" w:hAnsi="Arial" w:eastAsia="仿宋" w:cs="Arial"/>
          <w:b w:val="0"/>
          <w:bCs w:val="0"/>
          <w:szCs w:val="18"/>
        </w:rPr>
      </w:pPr>
      <w:r>
        <w:rPr>
          <w:rStyle w:val="11"/>
          <w:rFonts w:ascii="Arial" w:hAnsi="Arial" w:eastAsia="仿宋" w:cs="Arial"/>
          <w:szCs w:val="18"/>
        </w:rPr>
        <w:footnoteRef/>
      </w:r>
      <w:r>
        <w:rPr>
          <w:rFonts w:ascii="Arial" w:hAnsi="Arial" w:eastAsia="仿宋" w:cs="Arial"/>
          <w:color w:val="000000"/>
          <w:szCs w:val="18"/>
          <w:shd w:val="clear" w:color="auto" w:fill="FFFFFF"/>
        </w:rPr>
        <w:t>为了全天候无碳能源，谷歌、微软、亚马逊开始买买买</w:t>
      </w:r>
      <w:r>
        <w:rPr>
          <w:rFonts w:ascii="Arial" w:hAnsi="Arial" w:eastAsia="仿宋" w:cs="Arial"/>
          <w:szCs w:val="18"/>
        </w:rPr>
        <w:t xml:space="preserve"> </w:t>
      </w:r>
      <w:r>
        <w:rPr>
          <w:rFonts w:ascii="Arial" w:hAnsi="Arial" w:eastAsia="仿宋" w:cs="Arial"/>
          <w:b w:val="0"/>
          <w:bCs w:val="0"/>
          <w:szCs w:val="18"/>
        </w:rPr>
        <w:t>https://baijiahao.baidu.com/s?id=1803009879727908163&amp;wfr=spider&amp;for=pc</w:t>
      </w:r>
    </w:p>
  </w:footnote>
  <w:footnote w:id="6">
    <w:p>
      <w:pPr>
        <w:pStyle w:val="4"/>
        <w:rPr>
          <w:rFonts w:ascii="Arial" w:hAnsi="Arial" w:eastAsia="仿宋" w:cs="Arial"/>
          <w:b w:val="0"/>
          <w:bCs w:val="0"/>
          <w:szCs w:val="18"/>
        </w:rPr>
      </w:pPr>
      <w:r>
        <w:rPr>
          <w:rStyle w:val="11"/>
          <w:rFonts w:ascii="Arial" w:hAnsi="Arial" w:eastAsia="仿宋" w:cs="Arial"/>
          <w:b w:val="0"/>
          <w:bCs w:val="0"/>
          <w:szCs w:val="18"/>
        </w:rPr>
        <w:footnoteRef/>
      </w:r>
      <w:r>
        <w:rPr>
          <w:rFonts w:ascii="Arial" w:hAnsi="Arial" w:eastAsia="仿宋" w:cs="Arial"/>
          <w:b w:val="0"/>
          <w:bCs w:val="0"/>
          <w:szCs w:val="18"/>
        </w:rPr>
        <w:t xml:space="preserve"> 同5</w:t>
      </w:r>
    </w:p>
  </w:footnote>
  <w:footnote w:id="7">
    <w:p>
      <w:pPr>
        <w:pStyle w:val="4"/>
        <w:rPr>
          <w:rFonts w:ascii="Arial" w:hAnsi="Arial" w:eastAsia="仿宋" w:cs="Arial"/>
          <w:szCs w:val="18"/>
        </w:rPr>
      </w:pPr>
      <w:r>
        <w:rPr>
          <w:rStyle w:val="11"/>
          <w:rFonts w:ascii="Arial" w:hAnsi="Arial" w:eastAsia="仿宋" w:cs="Arial"/>
          <w:szCs w:val="18"/>
        </w:rPr>
        <w:footnoteRef/>
      </w:r>
      <w:r>
        <w:rPr>
          <w:rFonts w:ascii="Arial" w:hAnsi="Arial" w:eastAsia="仿宋" w:cs="Arial"/>
          <w:szCs w:val="18"/>
        </w:rPr>
        <w:t xml:space="preserve"> </w:t>
      </w:r>
      <w:r>
        <w:rPr>
          <w:rFonts w:ascii="Arial" w:hAnsi="Arial" w:eastAsia="仿宋" w:cs="Arial"/>
          <w:color w:val="404040"/>
          <w:szCs w:val="18"/>
        </w:rPr>
        <w:t>《算力中心冷板式液冷发展研究报告(2024 年)》</w:t>
      </w:r>
    </w:p>
  </w:footnote>
  <w:footnote w:id="8">
    <w:p>
      <w:pPr>
        <w:pStyle w:val="4"/>
        <w:snapToGrid w:val="0"/>
        <w:rPr>
          <w:rFonts w:hint="eastAsia" w:ascii="仿宋" w:hAnsi="仿宋" w:eastAsia="仿宋" w:cs="仿宋"/>
          <w:color w:val="auto"/>
          <w:szCs w:val="18"/>
        </w:rPr>
      </w:pPr>
      <w:r>
        <w:rPr>
          <w:rStyle w:val="11"/>
          <w:rFonts w:hint="eastAsia" w:ascii="仿宋" w:hAnsi="仿宋" w:eastAsia="仿宋" w:cs="仿宋"/>
          <w:color w:val="auto"/>
          <w:szCs w:val="18"/>
        </w:rPr>
        <w:footnoteRef/>
      </w:r>
      <w:r>
        <w:rPr>
          <w:rFonts w:hint="eastAsia" w:ascii="仿宋" w:hAnsi="仿宋" w:eastAsia="仿宋" w:cs="仿宋"/>
          <w:color w:val="auto"/>
          <w:szCs w:val="18"/>
        </w:rPr>
        <w:t xml:space="preserve"> </w:t>
      </w:r>
      <w:r>
        <w:rPr>
          <w:rFonts w:hint="eastAsia" w:ascii="仿宋" w:hAnsi="仿宋" w:eastAsia="仿宋" w:cs="仿宋"/>
          <w:b/>
          <w:bCs/>
          <w:color w:val="auto"/>
          <w:sz w:val="18"/>
          <w:szCs w:val="18"/>
        </w:rPr>
        <w:t>源网荷储</w:t>
      </w:r>
      <w:r>
        <w:rPr>
          <w:rFonts w:hint="eastAsia" w:ascii="仿宋" w:hAnsi="仿宋" w:eastAsia="仿宋" w:cs="仿宋"/>
          <w:b/>
          <w:bCs/>
          <w:color w:val="auto"/>
          <w:sz w:val="18"/>
          <w:szCs w:val="18"/>
          <w:lang w:eastAsia="zh-CN"/>
        </w:rPr>
        <w:t>：</w:t>
      </w:r>
      <w:r>
        <w:rPr>
          <w:rFonts w:hint="eastAsia" w:ascii="仿宋" w:hAnsi="仿宋" w:eastAsia="仿宋" w:cs="仿宋"/>
          <w:b/>
          <w:bCs/>
          <w:color w:val="auto"/>
          <w:sz w:val="18"/>
          <w:szCs w:val="18"/>
        </w:rPr>
        <w:t>电源、电网、负荷、储能的统称</w:t>
      </w:r>
    </w:p>
  </w:footnote>
  <w:footnote w:id="9">
    <w:p>
      <w:pPr>
        <w:pStyle w:val="4"/>
        <w:rPr>
          <w:rFonts w:ascii="Arial" w:hAnsi="Arial" w:eastAsia="仿宋" w:cs="Arial"/>
          <w:szCs w:val="18"/>
        </w:rPr>
      </w:pPr>
      <w:r>
        <w:rPr>
          <w:rStyle w:val="11"/>
          <w:rFonts w:ascii="Arial" w:hAnsi="Arial" w:eastAsia="仿宋" w:cs="Arial"/>
          <w:szCs w:val="18"/>
        </w:rPr>
        <w:footnoteRef/>
      </w:r>
      <w:r>
        <w:rPr>
          <w:rFonts w:ascii="Arial" w:hAnsi="Arial" w:eastAsia="仿宋" w:cs="Arial"/>
          <w:szCs w:val="18"/>
        </w:rPr>
        <w:t xml:space="preserve"> 分布式光伏“源网荷储”，实操案例来了！https://mp.weixin.qq.com/s?__biz=MjM5NTkwNTQ5OA==&amp;mid=2649636985&amp;idx=2&amp;sn=d1e7f4f3f781c0f2191dd5cdf3530f0a&amp;chksm=beeb8acc899c03da15f6deaaa1bc36fea82f09e2f09586df8f2ba038db4d63e71f82ef12f3ed&amp;scene=27</w:t>
      </w:r>
    </w:p>
  </w:footnote>
  <w:footnote w:id="10">
    <w:p>
      <w:pPr>
        <w:pStyle w:val="4"/>
        <w:rPr>
          <w:rFonts w:ascii="Arial" w:hAnsi="Arial" w:eastAsia="仿宋" w:cs="Arial"/>
          <w:szCs w:val="18"/>
        </w:rPr>
      </w:pPr>
      <w:r>
        <w:rPr>
          <w:rStyle w:val="11"/>
          <w:rFonts w:ascii="Arial" w:hAnsi="Arial" w:eastAsia="仿宋" w:cs="Arial"/>
          <w:szCs w:val="18"/>
        </w:rPr>
        <w:footnoteRef/>
      </w:r>
      <w:r>
        <w:rPr>
          <w:rFonts w:ascii="Arial" w:hAnsi="Arial" w:eastAsia="仿宋" w:cs="Arial"/>
          <w:szCs w:val="18"/>
        </w:rPr>
        <w:t xml:space="preserve"> 《2022-2023 年中国 IDC 行业发展研究报告》</w:t>
      </w:r>
    </w:p>
  </w:footnote>
  <w:footnote w:id="11">
    <w:p>
      <w:pPr>
        <w:pStyle w:val="4"/>
        <w:rPr>
          <w:rFonts w:ascii="Arial" w:hAnsi="Arial" w:eastAsia="仿宋" w:cs="Arial"/>
          <w:szCs w:val="18"/>
        </w:rPr>
      </w:pPr>
      <w:r>
        <w:rPr>
          <w:rStyle w:val="11"/>
          <w:rFonts w:ascii="Arial" w:hAnsi="Arial" w:cs="Arial"/>
          <w:szCs w:val="18"/>
        </w:rPr>
        <w:footnoteRef/>
      </w:r>
      <w:r>
        <w:rPr>
          <w:rFonts w:ascii="Arial" w:hAnsi="Arial" w:cs="Arial"/>
          <w:szCs w:val="18"/>
        </w:rPr>
        <w:t xml:space="preserve"> </w:t>
      </w:r>
      <w:r>
        <w:rPr>
          <w:rFonts w:ascii="Arial" w:hAnsi="Arial" w:eastAsia="仿宋" w:cs="Arial"/>
          <w:szCs w:val="18"/>
        </w:rPr>
        <w:t>绿证，即可再生能源绿色电力证书。1个绿证单位对应1000千瓦时可再生能源电量。我国绿证制度自2017年正式启动实施</w:t>
      </w:r>
    </w:p>
  </w:footnote>
  <w:footnote w:id="12">
    <w:p>
      <w:pPr>
        <w:pStyle w:val="4"/>
        <w:rPr>
          <w:rFonts w:ascii="Arial" w:hAnsi="Arial" w:eastAsia="仿宋" w:cs="Arial"/>
          <w:szCs w:val="18"/>
        </w:rPr>
      </w:pPr>
      <w:r>
        <w:rPr>
          <w:rStyle w:val="11"/>
          <w:rFonts w:ascii="Arial" w:hAnsi="Arial" w:cs="Arial"/>
          <w:szCs w:val="18"/>
        </w:rPr>
        <w:footnoteRef/>
      </w:r>
      <w:r>
        <w:rPr>
          <w:rFonts w:ascii="Arial" w:hAnsi="Arial" w:cs="Arial"/>
          <w:szCs w:val="18"/>
        </w:rPr>
        <w:t xml:space="preserve"> </w:t>
      </w:r>
      <w:r>
        <w:rPr>
          <w:rFonts w:ascii="Arial" w:hAnsi="Arial" w:eastAsia="仿宋" w:cs="Arial"/>
          <w:szCs w:val="18"/>
        </w:rPr>
        <w:t>经导财评丨绿证新规为可再生能源注入强劲动力https://baijiahao.baidu.com/s?id=1810530089832329577&amp;wfr=spider&amp;for=pc</w:t>
      </w:r>
    </w:p>
  </w:footnote>
  <w:footnote w:id="13">
    <w:p>
      <w:pPr>
        <w:pStyle w:val="4"/>
        <w:rPr>
          <w:rFonts w:ascii="Arial" w:hAnsi="Arial" w:cs="Arial"/>
          <w:szCs w:val="18"/>
        </w:rPr>
      </w:pPr>
      <w:r>
        <w:rPr>
          <w:rStyle w:val="11"/>
          <w:rFonts w:ascii="Arial" w:hAnsi="Arial" w:cs="Arial"/>
          <w:szCs w:val="18"/>
        </w:rPr>
        <w:footnoteRef/>
      </w:r>
      <w:r>
        <w:rPr>
          <w:rFonts w:ascii="Arial" w:hAnsi="Arial" w:cs="Arial"/>
          <w:szCs w:val="18"/>
        </w:rPr>
        <w:t xml:space="preserve"> </w:t>
      </w:r>
      <w:r>
        <w:rPr>
          <w:rFonts w:ascii="Arial" w:hAnsi="Arial" w:eastAsia="仿宋" w:cs="Arial"/>
          <w:color w:val="000000"/>
          <w:szCs w:val="18"/>
          <w:shd w:val="clear" w:color="auto" w:fill="FFFFFF"/>
        </w:rPr>
        <w:t>零碳园区设计｜产业园区能耗特点分类与传统产业园区碳中和路径</w:t>
      </w:r>
      <w:r>
        <w:rPr>
          <w:rFonts w:ascii="Arial" w:hAnsi="Arial" w:eastAsia="仿宋" w:cs="Arial"/>
          <w:szCs w:val="18"/>
        </w:rPr>
        <w:t>https://baijiahao.baidu.com/s?id=1787443116503954760&amp;wfr=spider&amp;for=pc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58827E"/>
    <w:multiLevelType w:val="singleLevel"/>
    <w:tmpl w:val="FB58827E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1CE69DAD"/>
    <w:multiLevelType w:val="singleLevel"/>
    <w:tmpl w:val="1CE69DAD"/>
    <w:lvl w:ilvl="0" w:tentative="0">
      <w:start w:val="1"/>
      <w:numFmt w:val="bullet"/>
      <w:lvlText w:val="∙"/>
      <w:lvlJc w:val="left"/>
      <w:pPr>
        <w:ind w:left="420" w:hanging="420"/>
      </w:pPr>
      <w:rPr>
        <w:rFonts w:hint="default" w:ascii="Arial" w:hAnsi="Arial" w:cs="Arial"/>
      </w:rPr>
    </w:lvl>
  </w:abstractNum>
  <w:abstractNum w:abstractNumId="2">
    <w:nsid w:val="1DB1AB8E"/>
    <w:multiLevelType w:val="singleLevel"/>
    <w:tmpl w:val="1DB1AB8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69F39719"/>
    <w:multiLevelType w:val="singleLevel"/>
    <w:tmpl w:val="69F39719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trackRevisions w:val="1"/>
  <w:documentProtection w:enforcement="0"/>
  <w:defaultTabStop w:val="420"/>
  <w:drawingGridVerticalSpacing w:val="156"/>
  <w:noPunctuationKerning w:val="1"/>
  <w:characterSpacingControl w:val="compressPunctuation"/>
  <w:footnotePr>
    <w:footnote w:id="28"/>
    <w:footnote w:id="29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B029EC"/>
    <w:rsid w:val="000C5F23"/>
    <w:rsid w:val="00105FDB"/>
    <w:rsid w:val="00242E68"/>
    <w:rsid w:val="00392CDF"/>
    <w:rsid w:val="003D721B"/>
    <w:rsid w:val="0052576D"/>
    <w:rsid w:val="00594C93"/>
    <w:rsid w:val="008142EA"/>
    <w:rsid w:val="008F58C6"/>
    <w:rsid w:val="009843A1"/>
    <w:rsid w:val="01450DC1"/>
    <w:rsid w:val="018404C4"/>
    <w:rsid w:val="01C979FE"/>
    <w:rsid w:val="021C23A2"/>
    <w:rsid w:val="0241242E"/>
    <w:rsid w:val="030E7E36"/>
    <w:rsid w:val="03D14550"/>
    <w:rsid w:val="03FE411B"/>
    <w:rsid w:val="0482346B"/>
    <w:rsid w:val="049F5648"/>
    <w:rsid w:val="05096B07"/>
    <w:rsid w:val="05304EB2"/>
    <w:rsid w:val="059E5DC5"/>
    <w:rsid w:val="05FD1662"/>
    <w:rsid w:val="071D4AEC"/>
    <w:rsid w:val="0759609B"/>
    <w:rsid w:val="077446C6"/>
    <w:rsid w:val="07F55F19"/>
    <w:rsid w:val="086B4C5E"/>
    <w:rsid w:val="0A334D52"/>
    <w:rsid w:val="0A4C18F1"/>
    <w:rsid w:val="0A8D0CF1"/>
    <w:rsid w:val="0B1A381C"/>
    <w:rsid w:val="0B7D32E8"/>
    <w:rsid w:val="0B891F50"/>
    <w:rsid w:val="0B8F617F"/>
    <w:rsid w:val="0B9E269F"/>
    <w:rsid w:val="0C0C21B7"/>
    <w:rsid w:val="0C1A2993"/>
    <w:rsid w:val="0CE95576"/>
    <w:rsid w:val="0CFF50CF"/>
    <w:rsid w:val="0D0B3D64"/>
    <w:rsid w:val="0D1F511A"/>
    <w:rsid w:val="0D904B48"/>
    <w:rsid w:val="0DBD3FA2"/>
    <w:rsid w:val="0DD84DFE"/>
    <w:rsid w:val="0DEC78CD"/>
    <w:rsid w:val="0E152FAC"/>
    <w:rsid w:val="0E320E7D"/>
    <w:rsid w:val="0EDD5107"/>
    <w:rsid w:val="0F164D4D"/>
    <w:rsid w:val="0F467CF1"/>
    <w:rsid w:val="0FB66BBB"/>
    <w:rsid w:val="0FE863E6"/>
    <w:rsid w:val="113450C7"/>
    <w:rsid w:val="120B3EBE"/>
    <w:rsid w:val="120E5E65"/>
    <w:rsid w:val="127C300E"/>
    <w:rsid w:val="12B11C20"/>
    <w:rsid w:val="131D046B"/>
    <w:rsid w:val="133752AE"/>
    <w:rsid w:val="13DB629F"/>
    <w:rsid w:val="14E9250C"/>
    <w:rsid w:val="15196FAC"/>
    <w:rsid w:val="15AC6074"/>
    <w:rsid w:val="15C9134E"/>
    <w:rsid w:val="162219DC"/>
    <w:rsid w:val="16F10DB0"/>
    <w:rsid w:val="17CC0594"/>
    <w:rsid w:val="17E603C4"/>
    <w:rsid w:val="18550EF6"/>
    <w:rsid w:val="185C3885"/>
    <w:rsid w:val="186D15A1"/>
    <w:rsid w:val="18C131AB"/>
    <w:rsid w:val="19B923D5"/>
    <w:rsid w:val="19C679E0"/>
    <w:rsid w:val="19C80559"/>
    <w:rsid w:val="19E73463"/>
    <w:rsid w:val="19F15D46"/>
    <w:rsid w:val="1A027439"/>
    <w:rsid w:val="1A5905CD"/>
    <w:rsid w:val="1A9557B6"/>
    <w:rsid w:val="1B4C5AF8"/>
    <w:rsid w:val="1B7D2083"/>
    <w:rsid w:val="1B8340B2"/>
    <w:rsid w:val="1BA60BBF"/>
    <w:rsid w:val="1BB2184F"/>
    <w:rsid w:val="1BB8267A"/>
    <w:rsid w:val="1C092910"/>
    <w:rsid w:val="1C340653"/>
    <w:rsid w:val="1C6E7533"/>
    <w:rsid w:val="1CE617B0"/>
    <w:rsid w:val="1D145C5F"/>
    <w:rsid w:val="1D34536A"/>
    <w:rsid w:val="1E9811D0"/>
    <w:rsid w:val="1EA57699"/>
    <w:rsid w:val="1EDA01AA"/>
    <w:rsid w:val="1F1D5B17"/>
    <w:rsid w:val="1F542020"/>
    <w:rsid w:val="1F5F4111"/>
    <w:rsid w:val="20B45481"/>
    <w:rsid w:val="20BA674D"/>
    <w:rsid w:val="20C4005A"/>
    <w:rsid w:val="20CF69FF"/>
    <w:rsid w:val="21465528"/>
    <w:rsid w:val="21FF4672"/>
    <w:rsid w:val="2260049A"/>
    <w:rsid w:val="22714212"/>
    <w:rsid w:val="227B20A1"/>
    <w:rsid w:val="23337719"/>
    <w:rsid w:val="23AB3BDD"/>
    <w:rsid w:val="24102138"/>
    <w:rsid w:val="242E465A"/>
    <w:rsid w:val="24347C44"/>
    <w:rsid w:val="248F3BA6"/>
    <w:rsid w:val="249E0AA2"/>
    <w:rsid w:val="25B2747A"/>
    <w:rsid w:val="25DB004C"/>
    <w:rsid w:val="25E60A73"/>
    <w:rsid w:val="25E81A23"/>
    <w:rsid w:val="261A1293"/>
    <w:rsid w:val="263F01CE"/>
    <w:rsid w:val="271A7B0E"/>
    <w:rsid w:val="27BE1DE5"/>
    <w:rsid w:val="27D43C48"/>
    <w:rsid w:val="27E64D5A"/>
    <w:rsid w:val="28823561"/>
    <w:rsid w:val="28AD3976"/>
    <w:rsid w:val="28EC1992"/>
    <w:rsid w:val="29214C42"/>
    <w:rsid w:val="292C1B1A"/>
    <w:rsid w:val="299F1E59"/>
    <w:rsid w:val="2A9226E6"/>
    <w:rsid w:val="2AA2107B"/>
    <w:rsid w:val="2B1240B8"/>
    <w:rsid w:val="2B401585"/>
    <w:rsid w:val="2B5711AB"/>
    <w:rsid w:val="2B623D8D"/>
    <w:rsid w:val="2BC96E6C"/>
    <w:rsid w:val="2C38629A"/>
    <w:rsid w:val="2C7211DD"/>
    <w:rsid w:val="2C9C273B"/>
    <w:rsid w:val="2DAC5BF8"/>
    <w:rsid w:val="2E462777"/>
    <w:rsid w:val="2E70537D"/>
    <w:rsid w:val="2F02092C"/>
    <w:rsid w:val="2F46489B"/>
    <w:rsid w:val="2FC96724"/>
    <w:rsid w:val="2FCD70FB"/>
    <w:rsid w:val="300C2463"/>
    <w:rsid w:val="309114BF"/>
    <w:rsid w:val="30B20672"/>
    <w:rsid w:val="30F00157"/>
    <w:rsid w:val="310E5794"/>
    <w:rsid w:val="315D04A6"/>
    <w:rsid w:val="31713AE0"/>
    <w:rsid w:val="31E85B72"/>
    <w:rsid w:val="3217438D"/>
    <w:rsid w:val="321A4360"/>
    <w:rsid w:val="326064D2"/>
    <w:rsid w:val="32C600DD"/>
    <w:rsid w:val="32EC5E34"/>
    <w:rsid w:val="33226E62"/>
    <w:rsid w:val="33C54FC4"/>
    <w:rsid w:val="349873DC"/>
    <w:rsid w:val="34BB24A6"/>
    <w:rsid w:val="34D00132"/>
    <w:rsid w:val="35026383"/>
    <w:rsid w:val="360F4820"/>
    <w:rsid w:val="36687282"/>
    <w:rsid w:val="36BF604D"/>
    <w:rsid w:val="37433B9D"/>
    <w:rsid w:val="378B382E"/>
    <w:rsid w:val="37D56B99"/>
    <w:rsid w:val="38080440"/>
    <w:rsid w:val="381E1A51"/>
    <w:rsid w:val="385E26EA"/>
    <w:rsid w:val="387371E8"/>
    <w:rsid w:val="38FF4436"/>
    <w:rsid w:val="39736E9C"/>
    <w:rsid w:val="39CB75E0"/>
    <w:rsid w:val="3A2636DC"/>
    <w:rsid w:val="3ACA7503"/>
    <w:rsid w:val="3AF173C3"/>
    <w:rsid w:val="3C103F97"/>
    <w:rsid w:val="3C8D6DE4"/>
    <w:rsid w:val="3C9C66C4"/>
    <w:rsid w:val="3D3659E4"/>
    <w:rsid w:val="3D7604D6"/>
    <w:rsid w:val="3DBA6551"/>
    <w:rsid w:val="3DE96EE1"/>
    <w:rsid w:val="3E65226D"/>
    <w:rsid w:val="3E8A2015"/>
    <w:rsid w:val="3F3A29A8"/>
    <w:rsid w:val="3F4C5993"/>
    <w:rsid w:val="3F656A54"/>
    <w:rsid w:val="3F6619C5"/>
    <w:rsid w:val="3F8139FC"/>
    <w:rsid w:val="3FE326DE"/>
    <w:rsid w:val="408966EF"/>
    <w:rsid w:val="409C408B"/>
    <w:rsid w:val="40C571E7"/>
    <w:rsid w:val="40D54E75"/>
    <w:rsid w:val="41AF045B"/>
    <w:rsid w:val="41FC2EA7"/>
    <w:rsid w:val="427C23A2"/>
    <w:rsid w:val="42D77239"/>
    <w:rsid w:val="434D56FC"/>
    <w:rsid w:val="43896F34"/>
    <w:rsid w:val="43C03933"/>
    <w:rsid w:val="44235BD6"/>
    <w:rsid w:val="454669E0"/>
    <w:rsid w:val="45B95404"/>
    <w:rsid w:val="46027484"/>
    <w:rsid w:val="46521A6E"/>
    <w:rsid w:val="467D2532"/>
    <w:rsid w:val="467F03FC"/>
    <w:rsid w:val="468269BA"/>
    <w:rsid w:val="47D44777"/>
    <w:rsid w:val="47EE4D13"/>
    <w:rsid w:val="48174852"/>
    <w:rsid w:val="485B1AC3"/>
    <w:rsid w:val="49516B58"/>
    <w:rsid w:val="49A62143"/>
    <w:rsid w:val="49B74350"/>
    <w:rsid w:val="49EE0ABB"/>
    <w:rsid w:val="4A702F34"/>
    <w:rsid w:val="4B0613F2"/>
    <w:rsid w:val="4B3B40FA"/>
    <w:rsid w:val="4B5D4A84"/>
    <w:rsid w:val="4B836DB8"/>
    <w:rsid w:val="4BE435FE"/>
    <w:rsid w:val="4C0A4C0B"/>
    <w:rsid w:val="4C207BF0"/>
    <w:rsid w:val="4D477169"/>
    <w:rsid w:val="4DA1466C"/>
    <w:rsid w:val="4E6D2CB8"/>
    <w:rsid w:val="4EBB06B4"/>
    <w:rsid w:val="4F171DF0"/>
    <w:rsid w:val="4F5167AE"/>
    <w:rsid w:val="4F53779D"/>
    <w:rsid w:val="50011267"/>
    <w:rsid w:val="50212524"/>
    <w:rsid w:val="502A158D"/>
    <w:rsid w:val="506503BB"/>
    <w:rsid w:val="50CA6717"/>
    <w:rsid w:val="512C1180"/>
    <w:rsid w:val="51326CC3"/>
    <w:rsid w:val="51527191"/>
    <w:rsid w:val="51C20B31"/>
    <w:rsid w:val="51D13349"/>
    <w:rsid w:val="51EF28F9"/>
    <w:rsid w:val="522B58DB"/>
    <w:rsid w:val="52484A83"/>
    <w:rsid w:val="52D74DF5"/>
    <w:rsid w:val="53994EB3"/>
    <w:rsid w:val="54210D44"/>
    <w:rsid w:val="544C7EE0"/>
    <w:rsid w:val="548553F0"/>
    <w:rsid w:val="54B86B3E"/>
    <w:rsid w:val="551B1C37"/>
    <w:rsid w:val="564D4072"/>
    <w:rsid w:val="571C2419"/>
    <w:rsid w:val="57435CBA"/>
    <w:rsid w:val="57CB57BA"/>
    <w:rsid w:val="58337298"/>
    <w:rsid w:val="59622AE1"/>
    <w:rsid w:val="59C13ACF"/>
    <w:rsid w:val="59D46859"/>
    <w:rsid w:val="59F62CA4"/>
    <w:rsid w:val="5A025412"/>
    <w:rsid w:val="5A576F72"/>
    <w:rsid w:val="5A637F6F"/>
    <w:rsid w:val="5A72006F"/>
    <w:rsid w:val="5AB029EC"/>
    <w:rsid w:val="5ADB3CBD"/>
    <w:rsid w:val="5B157129"/>
    <w:rsid w:val="5B780C22"/>
    <w:rsid w:val="5BB9247F"/>
    <w:rsid w:val="5BDF0A14"/>
    <w:rsid w:val="5C0B238F"/>
    <w:rsid w:val="5C3A25B5"/>
    <w:rsid w:val="5CD526CC"/>
    <w:rsid w:val="5D2A4D65"/>
    <w:rsid w:val="5D464695"/>
    <w:rsid w:val="5D72779D"/>
    <w:rsid w:val="5DA44981"/>
    <w:rsid w:val="5DD17A54"/>
    <w:rsid w:val="5DD75377"/>
    <w:rsid w:val="5DF70C36"/>
    <w:rsid w:val="5E56680D"/>
    <w:rsid w:val="5F5875E4"/>
    <w:rsid w:val="5F5D7283"/>
    <w:rsid w:val="5FEC2A61"/>
    <w:rsid w:val="600956D4"/>
    <w:rsid w:val="61682821"/>
    <w:rsid w:val="61954B1F"/>
    <w:rsid w:val="61A50442"/>
    <w:rsid w:val="61F50A90"/>
    <w:rsid w:val="6318012F"/>
    <w:rsid w:val="63D44B84"/>
    <w:rsid w:val="642A1C4A"/>
    <w:rsid w:val="64733A58"/>
    <w:rsid w:val="648107EF"/>
    <w:rsid w:val="64970BAF"/>
    <w:rsid w:val="64A864B1"/>
    <w:rsid w:val="650B58DD"/>
    <w:rsid w:val="657447EF"/>
    <w:rsid w:val="65834F1A"/>
    <w:rsid w:val="658713A2"/>
    <w:rsid w:val="65D8322D"/>
    <w:rsid w:val="65E252B4"/>
    <w:rsid w:val="66B83C92"/>
    <w:rsid w:val="6780215A"/>
    <w:rsid w:val="67E62186"/>
    <w:rsid w:val="68F32BC0"/>
    <w:rsid w:val="6942304B"/>
    <w:rsid w:val="69486D80"/>
    <w:rsid w:val="698520BF"/>
    <w:rsid w:val="69A81DE6"/>
    <w:rsid w:val="69CE67A3"/>
    <w:rsid w:val="6B2028CD"/>
    <w:rsid w:val="6B6669BA"/>
    <w:rsid w:val="6B770D5D"/>
    <w:rsid w:val="6B794260"/>
    <w:rsid w:val="6B802775"/>
    <w:rsid w:val="6C5549B4"/>
    <w:rsid w:val="6CA86ED0"/>
    <w:rsid w:val="6CB40765"/>
    <w:rsid w:val="6D0265D8"/>
    <w:rsid w:val="6DAB79F8"/>
    <w:rsid w:val="6E621725"/>
    <w:rsid w:val="6F072C88"/>
    <w:rsid w:val="6F11681F"/>
    <w:rsid w:val="6F223CBA"/>
    <w:rsid w:val="6F254514"/>
    <w:rsid w:val="6F5E62B5"/>
    <w:rsid w:val="6F635E50"/>
    <w:rsid w:val="70E70404"/>
    <w:rsid w:val="712E093E"/>
    <w:rsid w:val="71303A3D"/>
    <w:rsid w:val="714C1B10"/>
    <w:rsid w:val="71874850"/>
    <w:rsid w:val="71E857EE"/>
    <w:rsid w:val="720E0702"/>
    <w:rsid w:val="722E2B52"/>
    <w:rsid w:val="72AB6BB1"/>
    <w:rsid w:val="72B33057"/>
    <w:rsid w:val="72EF2B1D"/>
    <w:rsid w:val="731E2BC7"/>
    <w:rsid w:val="7347064A"/>
    <w:rsid w:val="73C550FF"/>
    <w:rsid w:val="742F6D2D"/>
    <w:rsid w:val="743069AD"/>
    <w:rsid w:val="755A5A0C"/>
    <w:rsid w:val="75687D2E"/>
    <w:rsid w:val="757B56CA"/>
    <w:rsid w:val="75CE2F56"/>
    <w:rsid w:val="75EE2AFF"/>
    <w:rsid w:val="75F57592"/>
    <w:rsid w:val="762C1346"/>
    <w:rsid w:val="767C19B2"/>
    <w:rsid w:val="768076F4"/>
    <w:rsid w:val="76CA40F3"/>
    <w:rsid w:val="771D4F43"/>
    <w:rsid w:val="776A3FFF"/>
    <w:rsid w:val="778979A9"/>
    <w:rsid w:val="77D47E28"/>
    <w:rsid w:val="77D62CF0"/>
    <w:rsid w:val="77F42148"/>
    <w:rsid w:val="78045370"/>
    <w:rsid w:val="78A1562B"/>
    <w:rsid w:val="78B72619"/>
    <w:rsid w:val="79D02741"/>
    <w:rsid w:val="7A676904"/>
    <w:rsid w:val="7AC2652D"/>
    <w:rsid w:val="7AD02C89"/>
    <w:rsid w:val="7B050F64"/>
    <w:rsid w:val="7B246171"/>
    <w:rsid w:val="7B4414B7"/>
    <w:rsid w:val="7B500EA2"/>
    <w:rsid w:val="7B8A4479"/>
    <w:rsid w:val="7C4F208D"/>
    <w:rsid w:val="7C7A678A"/>
    <w:rsid w:val="7C7B5A7C"/>
    <w:rsid w:val="7D000522"/>
    <w:rsid w:val="7D3A6542"/>
    <w:rsid w:val="7D5316BF"/>
    <w:rsid w:val="7D792BE7"/>
    <w:rsid w:val="7DAA5437"/>
    <w:rsid w:val="7DD31FFC"/>
    <w:rsid w:val="7F9D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iPriority w:val="0"/>
    <w:pPr>
      <w:jc w:val="left"/>
    </w:pPr>
  </w:style>
  <w:style w:type="paragraph" w:styleId="4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Emphasis"/>
    <w:basedOn w:val="8"/>
    <w:qFormat/>
    <w:uiPriority w:val="0"/>
    <w:rPr>
      <w:i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footnote reference"/>
    <w:basedOn w:val="8"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中国电信股份有限公司研究院</Company>
  <Pages>8</Pages>
  <Words>695</Words>
  <Characters>3963</Characters>
  <Lines>33</Lines>
  <Paragraphs>9</Paragraphs>
  <TotalTime>7</TotalTime>
  <ScaleCrop>false</ScaleCrop>
  <LinksUpToDate>false</LinksUpToDate>
  <CharactersWithSpaces>4649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2024-09-24T00:49:00Z</dcterms:created>
  <dc:creator>HP</dc:creator>
  <cp:lastModifiedBy>HP</cp:lastModifiedBy>
  <dcterms:modified xsi:type="dcterms:W3CDTF">2024-10-10T05:51:16Z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64B552D176B84B15AF513B22B8B6105C_13</vt:lpwstr>
  </property>
</Properties>
</file>