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940"/>
        </w:tabs>
        <w:jc w:val="center"/>
        <w:outlineLvl w:val="0"/>
        <w:rPr>
          <w:rFonts w:hint="default" w:ascii="仿宋" w:hAnsi="仿宋" w:eastAsia="仿宋"/>
          <w:b/>
          <w:bCs/>
          <w:color w:val="000000" w:themeColor="text1"/>
          <w:sz w:val="32"/>
          <w:szCs w:val="28"/>
          <w:highlight w:val="none"/>
          <w:lang w:val="en-US" w:eastAsia="zh-CN"/>
          <w14:textFill>
            <w14:solidFill>
              <w14:schemeClr w14:val="tx1"/>
            </w14:solidFill>
          </w14:textFill>
        </w:rPr>
      </w:pPr>
      <w:r>
        <w:rPr>
          <w:rFonts w:hint="eastAsia" w:ascii="仿宋" w:hAnsi="仿宋" w:eastAsia="仿宋"/>
          <w:b/>
          <w:bCs/>
          <w:color w:val="000000" w:themeColor="text1"/>
          <w:sz w:val="32"/>
          <w:szCs w:val="28"/>
          <w:highlight w:val="none"/>
          <w:lang w:val="en-US" w:eastAsia="zh-CN"/>
          <w14:textFill>
            <w14:solidFill>
              <w14:schemeClr w14:val="tx1"/>
            </w14:solidFill>
          </w14:textFill>
        </w:rPr>
        <w:t>从阿里巴巴AI治理实践看完善中国电信AI治理体系的建议</w:t>
      </w:r>
    </w:p>
    <w:p>
      <w:pPr>
        <w:tabs>
          <w:tab w:val="left" w:pos="2940"/>
        </w:tabs>
        <w:jc w:val="center"/>
        <w:rPr>
          <w:rFonts w:hint="default" w:ascii="仿宋" w:hAnsi="仿宋" w:eastAsia="仿宋"/>
          <w:b w:val="0"/>
          <w:bCs w:val="0"/>
          <w:color w:val="000000" w:themeColor="text1"/>
          <w:sz w:val="28"/>
          <w:szCs w:val="24"/>
          <w:highlight w:val="none"/>
          <w:lang w:val="en-US" w:eastAsia="zh-CN"/>
          <w14:textFill>
            <w14:solidFill>
              <w14:schemeClr w14:val="tx1"/>
            </w14:solidFill>
          </w14:textFill>
        </w:rPr>
      </w:pPr>
      <w:r>
        <w:rPr>
          <w:rFonts w:hint="eastAsia" w:ascii="仿宋" w:hAnsi="仿宋" w:eastAsia="仿宋"/>
          <w:b w:val="0"/>
          <w:bCs w:val="0"/>
          <w:color w:val="000000" w:themeColor="text1"/>
          <w:sz w:val="28"/>
          <w:szCs w:val="24"/>
          <w:highlight w:val="none"/>
          <w:lang w:val="en-US" w:eastAsia="zh-CN"/>
          <w14:textFill>
            <w14:solidFill>
              <w14:schemeClr w14:val="tx1"/>
            </w14:solidFill>
          </w14:textFill>
        </w:rPr>
        <w:t>魏娜 王文治</w:t>
      </w:r>
      <w:bookmarkStart w:id="0" w:name="_GoBack"/>
      <w:bookmarkEnd w:id="0"/>
    </w:p>
    <w:p>
      <w:pPr>
        <w:rPr>
          <w:highlight w:val="none"/>
        </w:rPr>
      </w:pPr>
    </w:p>
    <w:p>
      <w:pPr>
        <w:ind w:firstLine="56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color w:val="000000" w:themeColor="text1"/>
          <w:sz w:val="28"/>
          <w:highlight w:val="none"/>
          <w:lang w:val="en-US" w:eastAsia="zh-CN"/>
          <w14:textFill>
            <w14:solidFill>
              <w14:schemeClr w14:val="tx1"/>
            </w14:solidFill>
          </w14:textFill>
        </w:rPr>
        <w:t>AI治理已成为各界关注焦点，企业一直走在治理探索的前列。中国电信（简称“电信”）在积极推动AI+行动过程中，高度重视AI治理工作，持续探索完善大模型治理体系和治理机制，取得明显成效。但与国内外AI监管要求与安全发展需求相比，电信在AI治理框架、内部治理机制等方面仍存在诸多待完善环节。本文通过系统分析阿里巴巴（简称“阿里”）AI治理实践，总结其在AI治理领域的做法与特点，立足电信AI发展需要，适当借鉴阿里治理经验，提出中国电信AI治理</w:t>
      </w:r>
      <w:r>
        <w:rPr>
          <w:rFonts w:hint="eastAsia" w:ascii="仿宋" w:hAnsi="仿宋" w:eastAsia="仿宋"/>
          <w:b w:val="0"/>
          <w:bCs w:val="0"/>
          <w:color w:val="000000" w:themeColor="text1"/>
          <w:sz w:val="28"/>
          <w:highlight w:val="none"/>
          <w:lang w:val="en-US" w:eastAsia="zh-CN"/>
          <w14:textFill>
            <w14:solidFill>
              <w14:schemeClr w14:val="tx1"/>
            </w14:solidFill>
          </w14:textFill>
        </w:rPr>
        <w:t>建议</w:t>
      </w:r>
      <w:r>
        <w:rPr>
          <w:rFonts w:hint="eastAsia" w:ascii="仿宋" w:hAnsi="仿宋" w:eastAsia="仿宋"/>
          <w:color w:val="000000" w:themeColor="text1"/>
          <w:sz w:val="28"/>
          <w:highlight w:val="none"/>
          <w:lang w:val="en-US" w:eastAsia="zh-CN"/>
          <w14:textFill>
            <w14:solidFill>
              <w14:schemeClr w14:val="tx1"/>
            </w14:solidFill>
          </w14:textFill>
        </w:rPr>
        <w:t>。</w:t>
      </w:r>
    </w:p>
    <w:p>
      <w:pPr>
        <w:numPr>
          <w:ilvl w:val="0"/>
          <w:numId w:val="1"/>
        </w:numPr>
        <w:ind w:firstLine="562" w:firstLineChars="0"/>
        <w:outlineLvl w:val="0"/>
        <w:rPr>
          <w:rFonts w:hint="eastAsia" w:ascii="仿宋" w:hAnsi="仿宋" w:eastAsia="仿宋"/>
          <w:b/>
          <w:bCs/>
          <w:color w:val="000000" w:themeColor="text1"/>
          <w:sz w:val="28"/>
          <w:szCs w:val="24"/>
          <w:highlight w:val="none"/>
          <w:lang w:val="en-US" w:eastAsia="zh-CN"/>
          <w14:textFill>
            <w14:solidFill>
              <w14:schemeClr w14:val="tx1"/>
            </w14:solidFill>
          </w14:textFill>
        </w:rPr>
      </w:pPr>
      <w:r>
        <w:rPr>
          <w:rFonts w:hint="eastAsia" w:ascii="仿宋" w:hAnsi="仿宋" w:eastAsia="仿宋"/>
          <w:b/>
          <w:bCs/>
          <w:color w:val="000000" w:themeColor="text1"/>
          <w:sz w:val="28"/>
          <w:szCs w:val="24"/>
          <w:highlight w:val="none"/>
          <w:lang w:val="en-US" w:eastAsia="zh-CN"/>
          <w14:textFill>
            <w14:solidFill>
              <w14:schemeClr w14:val="tx1"/>
            </w14:solidFill>
          </w14:textFill>
        </w:rPr>
        <w:t>企业完善AI治理体系成为当务之急</w:t>
      </w:r>
    </w:p>
    <w:p>
      <w:pPr>
        <w:numPr>
          <w:ilvl w:val="-1"/>
          <w:numId w:val="0"/>
        </w:numPr>
        <w:ind w:firstLine="560" w:firstLineChars="20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color w:val="000000" w:themeColor="text1"/>
          <w:sz w:val="28"/>
          <w:highlight w:val="none"/>
          <w:lang w:val="en-US" w:eastAsia="zh-CN"/>
          <w14:textFill>
            <w14:solidFill>
              <w14:schemeClr w14:val="tx1"/>
            </w14:solidFill>
          </w14:textFill>
        </w:rPr>
        <w:t>伴随</w:t>
      </w:r>
      <w:r>
        <w:rPr>
          <w:rFonts w:hint="default" w:ascii="仿宋" w:hAnsi="仿宋" w:eastAsia="仿宋"/>
          <w:color w:val="000000" w:themeColor="text1"/>
          <w:sz w:val="28"/>
          <w:highlight w:val="none"/>
          <w:lang w:val="en-US" w:eastAsia="zh-CN"/>
          <w14:textFill>
            <w14:solidFill>
              <w14:schemeClr w14:val="tx1"/>
            </w14:solidFill>
          </w14:textFill>
        </w:rPr>
        <w:t>生成式</w:t>
      </w:r>
      <w:r>
        <w:rPr>
          <w:rFonts w:hint="eastAsia" w:ascii="仿宋" w:hAnsi="仿宋" w:eastAsia="仿宋"/>
          <w:color w:val="000000" w:themeColor="text1"/>
          <w:sz w:val="28"/>
          <w:highlight w:val="none"/>
          <w:lang w:val="en-US" w:eastAsia="zh-CN"/>
          <w14:textFill>
            <w14:solidFill>
              <w14:schemeClr w14:val="tx1"/>
            </w14:solidFill>
          </w14:textFill>
        </w:rPr>
        <w:t>AI</w:t>
      </w:r>
      <w:r>
        <w:rPr>
          <w:rFonts w:hint="default" w:ascii="仿宋" w:hAnsi="仿宋" w:eastAsia="仿宋"/>
          <w:color w:val="000000" w:themeColor="text1"/>
          <w:sz w:val="28"/>
          <w:highlight w:val="none"/>
          <w:lang w:val="en-US" w:eastAsia="zh-CN"/>
          <w14:textFill>
            <w14:solidFill>
              <w14:schemeClr w14:val="tx1"/>
            </w14:solidFill>
          </w14:textFill>
        </w:rPr>
        <w:t>技术</w:t>
      </w:r>
      <w:r>
        <w:rPr>
          <w:rFonts w:hint="eastAsia" w:ascii="仿宋" w:hAnsi="仿宋" w:eastAsia="仿宋"/>
          <w:color w:val="000000" w:themeColor="text1"/>
          <w:sz w:val="28"/>
          <w:highlight w:val="none"/>
          <w:lang w:val="en-US" w:eastAsia="zh-CN"/>
          <w14:textFill>
            <w14:solidFill>
              <w14:schemeClr w14:val="tx1"/>
            </w14:solidFill>
          </w14:textFill>
        </w:rPr>
        <w:t>的多场景应用</w:t>
      </w:r>
      <w:r>
        <w:rPr>
          <w:rFonts w:hint="default" w:ascii="仿宋" w:hAnsi="仿宋" w:eastAsia="仿宋"/>
          <w:color w:val="000000" w:themeColor="text1"/>
          <w:sz w:val="28"/>
          <w:highlight w:val="none"/>
          <w:lang w:val="en-US" w:eastAsia="zh-CN"/>
          <w14:textFill>
            <w14:solidFill>
              <w14:schemeClr w14:val="tx1"/>
            </w14:solidFill>
          </w14:textFill>
        </w:rPr>
        <w:t>，</w:t>
      </w:r>
      <w:r>
        <w:rPr>
          <w:rFonts w:hint="eastAsia" w:ascii="仿宋" w:hAnsi="仿宋" w:eastAsia="仿宋"/>
          <w:color w:val="000000" w:themeColor="text1"/>
          <w:sz w:val="28"/>
          <w:highlight w:val="none"/>
          <w:lang w:val="en-US" w:eastAsia="zh-CN"/>
          <w14:textFill>
            <w14:solidFill>
              <w14:schemeClr w14:val="tx1"/>
            </w14:solidFill>
          </w14:textFill>
        </w:rPr>
        <w:t>技术迭代升级背后的潜在风险日益凸显，AI治理成为各界关注焦点。AI安全水平将成为大模型应用的核心竞争力，建立完善企业治理体系愈加迫切。</w:t>
      </w:r>
    </w:p>
    <w:p>
      <w:pPr>
        <w:numPr>
          <w:ilvl w:val="-1"/>
          <w:numId w:val="0"/>
        </w:numPr>
        <w:ind w:firstLine="562" w:firstLineChars="20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国家高度重视，陆续出台相关政策，为AI治理体系构建提供良好基础。</w:t>
      </w:r>
      <w:r>
        <w:rPr>
          <w:rFonts w:hint="eastAsia" w:ascii="仿宋" w:hAnsi="仿宋" w:eastAsia="仿宋"/>
          <w:color w:val="000000" w:themeColor="text1"/>
          <w:sz w:val="28"/>
          <w:highlight w:val="none"/>
          <w:lang w:val="en-US" w:eastAsia="zh-CN"/>
          <w14:textFill>
            <w14:solidFill>
              <w14:schemeClr w14:val="tx1"/>
            </w14:solidFill>
          </w14:textFill>
        </w:rPr>
        <w:t>2023年10月，习近平主席在第三届“一带一路”国际合作高峰论坛开幕式主旨演讲中提出《全球人工智能治理倡议》，强调“各国应在</w:t>
      </w:r>
      <w:r>
        <w:rPr>
          <w:rFonts w:hint="eastAsia" w:ascii="仿宋" w:hAnsi="仿宋" w:eastAsia="仿宋"/>
          <w:b/>
          <w:bCs/>
          <w:color w:val="000000" w:themeColor="text1"/>
          <w:sz w:val="28"/>
          <w:highlight w:val="none"/>
          <w:lang w:val="en-US" w:eastAsia="zh-CN"/>
          <w14:textFill>
            <w14:solidFill>
              <w14:schemeClr w14:val="tx1"/>
            </w14:solidFill>
          </w14:textFill>
        </w:rPr>
        <w:t>人工智能治理</w:t>
      </w:r>
      <w:r>
        <w:rPr>
          <w:rFonts w:hint="eastAsia" w:ascii="仿宋" w:hAnsi="仿宋" w:eastAsia="仿宋"/>
          <w:color w:val="000000" w:themeColor="text1"/>
          <w:sz w:val="28"/>
          <w:highlight w:val="none"/>
          <w:lang w:val="en-US" w:eastAsia="zh-CN"/>
          <w14:textFill>
            <w14:solidFill>
              <w14:schemeClr w14:val="tx1"/>
            </w14:solidFill>
          </w14:textFill>
        </w:rPr>
        <w:t>中加强信息交流和技术合作，共同做好风险防范，形成具有广泛共识的</w:t>
      </w:r>
      <w:r>
        <w:rPr>
          <w:rFonts w:hint="eastAsia" w:ascii="仿宋" w:hAnsi="仿宋" w:eastAsia="仿宋"/>
          <w:b/>
          <w:bCs/>
          <w:color w:val="000000" w:themeColor="text1"/>
          <w:sz w:val="28"/>
          <w:highlight w:val="none"/>
          <w:lang w:val="en-US" w:eastAsia="zh-CN"/>
          <w14:textFill>
            <w14:solidFill>
              <w14:schemeClr w14:val="tx1"/>
            </w14:solidFill>
          </w14:textFill>
        </w:rPr>
        <w:t>人工智能治理框架和标准规范</w:t>
      </w:r>
      <w:r>
        <w:rPr>
          <w:rFonts w:hint="eastAsia" w:ascii="仿宋" w:hAnsi="仿宋" w:eastAsia="仿宋"/>
          <w:color w:val="000000" w:themeColor="text1"/>
          <w:sz w:val="28"/>
          <w:highlight w:val="none"/>
          <w:lang w:val="en-US" w:eastAsia="zh-CN"/>
          <w14:textFill>
            <w14:solidFill>
              <w14:schemeClr w14:val="tx1"/>
            </w14:solidFill>
          </w14:textFill>
        </w:rPr>
        <w:t>，不断提升人工智能技术的</w:t>
      </w:r>
      <w:r>
        <w:rPr>
          <w:rFonts w:hint="eastAsia" w:ascii="仿宋" w:hAnsi="仿宋" w:eastAsia="仿宋"/>
          <w:b/>
          <w:bCs/>
          <w:color w:val="000000" w:themeColor="text1"/>
          <w:sz w:val="28"/>
          <w:highlight w:val="none"/>
          <w:lang w:val="en-US" w:eastAsia="zh-CN"/>
          <w14:textFill>
            <w14:solidFill>
              <w14:schemeClr w14:val="tx1"/>
            </w14:solidFill>
          </w14:textFill>
        </w:rPr>
        <w:t>安全性、可靠性、可控性、公平性</w:t>
      </w:r>
      <w:r>
        <w:rPr>
          <w:rFonts w:hint="eastAsia" w:ascii="仿宋" w:hAnsi="仿宋" w:eastAsia="仿宋"/>
          <w:color w:val="000000" w:themeColor="text1"/>
          <w:sz w:val="28"/>
          <w:highlight w:val="none"/>
          <w:lang w:val="en-US" w:eastAsia="zh-CN"/>
          <w14:textFill>
            <w14:solidFill>
              <w14:schemeClr w14:val="tx1"/>
            </w14:solidFill>
          </w14:textFill>
        </w:rPr>
        <w:t>。”2024年9月，全国网络安全标准化技术委员会发布《人工智能安全治理框架》1.0版，明确提出AI治理原则，明确研发者、服务提供者和服务使用者的相关主体安全责任。2023年7月，国家网信办联合国家发展改革委、工业和信息化部等七部门，发布《生成式人工智能服务管理暂行办法》，对提供生成式人工智能产品或服务的提供者以及用户做出详细规定。</w:t>
      </w:r>
    </w:p>
    <w:p>
      <w:pPr>
        <w:numPr>
          <w:ilvl w:val="-1"/>
          <w:numId w:val="0"/>
        </w:numPr>
        <w:ind w:firstLine="562" w:firstLineChars="20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全球移动通信系统协会(GSMA)</w:t>
      </w:r>
      <w:r>
        <w:rPr>
          <w:rStyle w:val="15"/>
          <w:rFonts w:hint="eastAsia" w:ascii="仿宋" w:hAnsi="仿宋" w:eastAsia="仿宋"/>
          <w:b/>
          <w:bCs/>
          <w:color w:val="000000" w:themeColor="text1"/>
          <w:sz w:val="28"/>
          <w:highlight w:val="none"/>
          <w:lang w:val="en-US" w:eastAsia="zh-CN"/>
          <w14:textFill>
            <w14:solidFill>
              <w14:schemeClr w14:val="tx1"/>
            </w14:solidFill>
          </w14:textFill>
        </w:rPr>
        <w:footnoteReference w:id="0"/>
      </w:r>
      <w:r>
        <w:rPr>
          <w:rFonts w:hint="eastAsia" w:ascii="仿宋" w:hAnsi="仿宋" w:eastAsia="仿宋"/>
          <w:b/>
          <w:bCs/>
          <w:color w:val="000000" w:themeColor="text1"/>
          <w:sz w:val="28"/>
          <w:highlight w:val="none"/>
          <w:lang w:val="en-US" w:eastAsia="zh-CN"/>
          <w14:textFill>
            <w14:solidFill>
              <w14:schemeClr w14:val="tx1"/>
            </w14:solidFill>
          </w14:textFill>
        </w:rPr>
        <w:t>发布全行业负责任的人工智能（RAI）成熟度线路线图</w:t>
      </w:r>
      <w:r>
        <w:rPr>
          <w:rStyle w:val="15"/>
          <w:rFonts w:hint="eastAsia" w:ascii="仿宋" w:hAnsi="仿宋" w:eastAsia="仿宋"/>
          <w:b/>
          <w:bCs/>
          <w:color w:val="000000" w:themeColor="text1"/>
          <w:sz w:val="28"/>
          <w:highlight w:val="none"/>
          <w:lang w:val="en-US" w:eastAsia="zh-CN"/>
          <w14:textFill>
            <w14:solidFill>
              <w14:schemeClr w14:val="tx1"/>
            </w14:solidFill>
          </w14:textFill>
        </w:rPr>
        <w:footnoteReference w:id="1"/>
      </w:r>
      <w:r>
        <w:rPr>
          <w:rFonts w:hint="eastAsia" w:ascii="仿宋" w:hAnsi="仿宋" w:eastAsia="仿宋"/>
          <w:b/>
          <w:bCs/>
          <w:color w:val="000000" w:themeColor="text1"/>
          <w:sz w:val="28"/>
          <w:highlight w:val="none"/>
          <w:lang w:val="en-US" w:eastAsia="zh-CN"/>
          <w14:textFill>
            <w14:solidFill>
              <w14:schemeClr w14:val="tx1"/>
            </w14:solidFill>
          </w14:textFill>
        </w:rPr>
        <w:t>，为信息通信行业完善AI治理体系提供指引。</w:t>
      </w:r>
      <w:r>
        <w:rPr>
          <w:rFonts w:hint="eastAsia" w:ascii="仿宋" w:hAnsi="仿宋" w:eastAsia="仿宋"/>
          <w:color w:val="000000" w:themeColor="text1"/>
          <w:sz w:val="28"/>
          <w:highlight w:val="none"/>
          <w:lang w:val="en-US" w:eastAsia="zh-CN"/>
          <w14:textFill>
            <w14:solidFill>
              <w14:schemeClr w14:val="tx1"/>
            </w14:solidFill>
          </w14:textFill>
        </w:rPr>
        <w:t>2024年9月，GSMA发布与“AI for Impact”运营商工作组合作制定的《负责任人工智能（RAI）成熟度路线图》，该路线图通过提供工具和指南帮助电信组织来测试和评估其负责任地使用AI的成熟度水平及改进措施。2025年，GSMA将把该路线图推广至其他行业部门和国际组织，推动其在整个价值链的采用。</w:t>
      </w:r>
    </w:p>
    <w:p>
      <w:pPr>
        <w:numPr>
          <w:ilvl w:val="0"/>
          <w:numId w:val="1"/>
        </w:numPr>
        <w:ind w:firstLine="562" w:firstLineChars="0"/>
        <w:outlineLvl w:val="0"/>
        <w:rPr>
          <w:rFonts w:hint="eastAsia" w:ascii="仿宋" w:hAnsi="仿宋" w:eastAsia="仿宋"/>
          <w:b/>
          <w:bCs/>
          <w:color w:val="000000" w:themeColor="text1"/>
          <w:sz w:val="28"/>
          <w:szCs w:val="24"/>
          <w:highlight w:val="none"/>
          <w:lang w:val="en-US" w:eastAsia="zh-CN"/>
          <w14:textFill>
            <w14:solidFill>
              <w14:schemeClr w14:val="tx1"/>
            </w14:solidFill>
          </w14:textFill>
        </w:rPr>
      </w:pPr>
      <w:r>
        <w:rPr>
          <w:rFonts w:hint="eastAsia" w:ascii="仿宋" w:hAnsi="仿宋" w:eastAsia="仿宋"/>
          <w:b/>
          <w:bCs/>
          <w:color w:val="000000" w:themeColor="text1"/>
          <w:sz w:val="28"/>
          <w:szCs w:val="24"/>
          <w:highlight w:val="none"/>
          <w:lang w:val="en-US" w:eastAsia="zh-CN"/>
          <w14:textFill>
            <w14:solidFill>
              <w14:schemeClr w14:val="tx1"/>
            </w14:solidFill>
          </w14:textFill>
        </w:rPr>
        <w:t>代表性企业的AI治理实践——以阿里巴巴为例</w:t>
      </w:r>
    </w:p>
    <w:p>
      <w:pPr>
        <w:numPr>
          <w:ilvl w:val="-1"/>
          <w:numId w:val="0"/>
        </w:numPr>
        <w:ind w:firstLine="560" w:firstLineChars="20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color w:val="000000" w:themeColor="text1"/>
          <w:sz w:val="28"/>
          <w:highlight w:val="none"/>
          <w:lang w:val="en-US" w:eastAsia="zh-CN"/>
          <w14:textFill>
            <w14:solidFill>
              <w14:schemeClr w14:val="tx1"/>
            </w14:solidFill>
          </w14:textFill>
        </w:rPr>
        <w:t>阿里巴巴（简称“阿里”）在AI治理领域起步较早，从2016年便着手AI治理工作，逐步形成了相对健全的治理体系，同时在赋能内部AI安全发展和扩大外部影响方面，取得了较好成效。</w:t>
      </w:r>
    </w:p>
    <w:p>
      <w:pPr>
        <w:numPr>
          <w:ilvl w:val="0"/>
          <w:numId w:val="2"/>
        </w:numPr>
        <w:ind w:firstLine="562" w:firstLineChars="200"/>
        <w:rPr>
          <w:rFonts w:hint="default" w:ascii="仿宋" w:hAnsi="仿宋" w:eastAsia="仿宋"/>
          <w:b/>
          <w:bCs/>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阿里AI在AI治理领域的多阶段探索</w:t>
      </w:r>
    </w:p>
    <w:p>
      <w:pPr>
        <w:numPr>
          <w:ilvl w:val="-1"/>
          <w:numId w:val="0"/>
        </w:numPr>
        <w:ind w:firstLine="560" w:firstLineChars="20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color w:val="000000" w:themeColor="text1"/>
          <w:sz w:val="28"/>
          <w:highlight w:val="none"/>
          <w:lang w:val="en-US" w:eastAsia="zh-CN"/>
          <w14:textFill>
            <w14:solidFill>
              <w14:schemeClr w14:val="tx1"/>
            </w14:solidFill>
          </w14:textFill>
        </w:rPr>
        <w:t>2016年阿里成立</w:t>
      </w:r>
      <w:r>
        <w:rPr>
          <w:rFonts w:hint="default" w:ascii="仿宋" w:hAnsi="仿宋" w:eastAsia="仿宋"/>
          <w:color w:val="000000" w:themeColor="text1"/>
          <w:sz w:val="28"/>
          <w:highlight w:val="none"/>
          <w:lang w:val="en-US" w:eastAsia="zh-CN"/>
          <w14:textFill>
            <w14:solidFill>
              <w14:schemeClr w14:val="tx1"/>
            </w14:solidFill>
          </w14:textFill>
        </w:rPr>
        <w:t>人工智能实验室</w:t>
      </w:r>
      <w:r>
        <w:rPr>
          <w:rFonts w:hint="eastAsia" w:ascii="仿宋" w:hAnsi="仿宋" w:eastAsia="仿宋"/>
          <w:color w:val="000000" w:themeColor="text1"/>
          <w:sz w:val="28"/>
          <w:highlight w:val="none"/>
          <w:lang w:val="en-US" w:eastAsia="zh-CN"/>
          <w14:textFill>
            <w14:solidFill>
              <w14:schemeClr w14:val="tx1"/>
            </w14:solidFill>
          </w14:textFill>
        </w:rPr>
        <w:t>，自此开始进入AI领域，而后成立人工智能治理与可持续发展实验室、科技伦理治理委员会等，不断完善治理体系，为后续通义千问等大模型发布和运营，奠定了良好基础。</w:t>
      </w:r>
    </w:p>
    <w:tbl>
      <w:tblPr>
        <w:tblStyle w:val="10"/>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1015"/>
        <w:gridCol w:w="4110"/>
        <w:gridCol w:w="1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shd w:val="clear" w:color="auto" w:fill="A2F5FE"/>
            <w:vAlign w:val="center"/>
          </w:tcPr>
          <w:p>
            <w:pPr>
              <w:numPr>
                <w:ilvl w:val="-1"/>
                <w:numId w:val="0"/>
              </w:numPr>
              <w:ind w:left="0" w:leftChars="0" w:firstLine="0" w:firstLineChars="0"/>
              <w:jc w:val="center"/>
              <w:rPr>
                <w:rFonts w:hint="eastAsia" w:ascii="仿宋" w:hAnsi="仿宋" w:eastAsia="仿宋" w:cstheme="minorBidi"/>
                <w:b/>
                <w:bCs/>
                <w:color w:val="000000" w:themeColor="text1"/>
                <w:kern w:val="2"/>
                <w:sz w:val="24"/>
                <w:szCs w:val="22"/>
                <w:highlight w:val="none"/>
                <w:vertAlign w:val="baseline"/>
                <w:lang w:val="en-US" w:eastAsia="zh-CN" w:bidi="ar-SA"/>
                <w14:textFill>
                  <w14:solidFill>
                    <w14:schemeClr w14:val="tx1"/>
                  </w14:solidFill>
                </w14:textFill>
              </w:rPr>
            </w:pPr>
            <w:r>
              <w:rPr>
                <w:rFonts w:hint="eastAsia" w:ascii="仿宋" w:hAnsi="仿宋" w:eastAsia="仿宋"/>
                <w:b/>
                <w:bCs/>
                <w:color w:val="000000" w:themeColor="text1"/>
                <w:sz w:val="24"/>
                <w:szCs w:val="22"/>
                <w:highlight w:val="none"/>
                <w:vertAlign w:val="baseline"/>
                <w:lang w:val="en-US" w:eastAsia="zh-CN"/>
                <w14:textFill>
                  <w14:solidFill>
                    <w14:schemeClr w14:val="tx1"/>
                  </w14:solidFill>
                </w14:textFill>
              </w:rPr>
              <w:t>阶段</w:t>
            </w:r>
          </w:p>
        </w:tc>
        <w:tc>
          <w:tcPr>
            <w:tcW w:w="1015" w:type="dxa"/>
            <w:shd w:val="clear" w:color="auto" w:fill="A2F5FE"/>
            <w:vAlign w:val="center"/>
          </w:tcPr>
          <w:p>
            <w:pPr>
              <w:numPr>
                <w:ilvl w:val="-1"/>
                <w:numId w:val="0"/>
              </w:numPr>
              <w:jc w:val="center"/>
              <w:rPr>
                <w:rFonts w:hint="default" w:ascii="仿宋" w:hAnsi="仿宋" w:eastAsia="仿宋"/>
                <w:b/>
                <w:bCs/>
                <w:color w:val="000000" w:themeColor="text1"/>
                <w:sz w:val="24"/>
                <w:szCs w:val="22"/>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4"/>
                <w:szCs w:val="22"/>
                <w:highlight w:val="none"/>
                <w:vertAlign w:val="baseline"/>
                <w:lang w:val="en-US" w:eastAsia="zh-CN"/>
                <w14:textFill>
                  <w14:solidFill>
                    <w14:schemeClr w14:val="tx1"/>
                  </w14:solidFill>
                </w14:textFill>
              </w:rPr>
              <w:t>年份</w:t>
            </w:r>
          </w:p>
        </w:tc>
        <w:tc>
          <w:tcPr>
            <w:tcW w:w="4110" w:type="dxa"/>
            <w:shd w:val="clear" w:color="auto" w:fill="A2F5FE"/>
            <w:vAlign w:val="center"/>
          </w:tcPr>
          <w:p>
            <w:pPr>
              <w:numPr>
                <w:ilvl w:val="-1"/>
                <w:numId w:val="0"/>
              </w:numPr>
              <w:jc w:val="center"/>
              <w:rPr>
                <w:rFonts w:hint="default" w:ascii="仿宋" w:hAnsi="仿宋" w:eastAsia="仿宋"/>
                <w:b/>
                <w:bCs/>
                <w:color w:val="000000" w:themeColor="text1"/>
                <w:sz w:val="24"/>
                <w:szCs w:val="22"/>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4"/>
                <w:szCs w:val="22"/>
                <w:highlight w:val="none"/>
                <w:vertAlign w:val="baseline"/>
                <w:lang w:val="en-US" w:eastAsia="zh-CN"/>
                <w14:textFill>
                  <w14:solidFill>
                    <w14:schemeClr w14:val="tx1"/>
                  </w14:solidFill>
                </w14:textFill>
              </w:rPr>
              <w:t>事件</w:t>
            </w:r>
          </w:p>
        </w:tc>
        <w:tc>
          <w:tcPr>
            <w:tcW w:w="1835" w:type="dxa"/>
            <w:shd w:val="clear" w:color="auto" w:fill="A2F5FE"/>
            <w:vAlign w:val="center"/>
          </w:tcPr>
          <w:p>
            <w:pPr>
              <w:numPr>
                <w:ilvl w:val="-1"/>
                <w:numId w:val="0"/>
              </w:numPr>
              <w:jc w:val="center"/>
              <w:rPr>
                <w:rFonts w:hint="default" w:ascii="仿宋" w:hAnsi="仿宋" w:eastAsia="仿宋"/>
                <w:b/>
                <w:bCs/>
                <w:color w:val="000000" w:themeColor="text1"/>
                <w:sz w:val="24"/>
                <w:szCs w:val="22"/>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4"/>
                <w:szCs w:val="22"/>
                <w:highlight w:val="none"/>
                <w:vertAlign w:val="baseline"/>
                <w:lang w:val="en-US" w:eastAsia="zh-CN"/>
                <w14:textFill>
                  <w14:solidFill>
                    <w14:schemeClr w14:val="tx1"/>
                  </w14:solidFill>
                </w14:textFill>
              </w:rPr>
              <w:t>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559" w:type="dxa"/>
            <w:vMerge w:val="restart"/>
            <w:shd w:val="clear" w:color="auto" w:fill="auto"/>
            <w:vAlign w:val="center"/>
          </w:tcPr>
          <w:p>
            <w:pPr>
              <w:numPr>
                <w:ilvl w:val="-1"/>
                <w:numId w:val="0"/>
              </w:numPr>
              <w:ind w:left="0" w:leftChars="0" w:firstLine="0" w:firstLineChars="0"/>
              <w:jc w:val="center"/>
              <w:rPr>
                <w:rFonts w:hint="eastAsia" w:ascii="仿宋" w:hAnsi="仿宋" w:eastAsia="仿宋" w:cstheme="minorBidi"/>
                <w:color w:val="000000" w:themeColor="text1"/>
                <w:kern w:val="2"/>
                <w:sz w:val="22"/>
                <w:szCs w:val="21"/>
                <w:highlight w:val="none"/>
                <w:vertAlign w:val="baseline"/>
                <w:lang w:val="en-US" w:eastAsia="zh-CN" w:bidi="ar-SA"/>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AI治理酝酿阶段（2016-2020）</w:t>
            </w: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2016</w:t>
            </w:r>
          </w:p>
        </w:tc>
        <w:tc>
          <w:tcPr>
            <w:tcW w:w="4110" w:type="dxa"/>
            <w:vAlign w:val="center"/>
          </w:tcPr>
          <w:p>
            <w:pPr>
              <w:numPr>
                <w:ilvl w:val="-1"/>
                <w:numId w:val="0"/>
              </w:numPr>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成立人工智能实验室</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初涉AI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jc w:val="center"/>
        </w:trPr>
        <w:tc>
          <w:tcPr>
            <w:tcW w:w="1559" w:type="dxa"/>
            <w:vMerge w:val="continue"/>
            <w:shd w:val="clear" w:color="auto" w:fill="auto"/>
            <w:vAlign w:val="center"/>
          </w:tcPr>
          <w:p>
            <w:pPr>
              <w:numPr>
                <w:ilvl w:val="-1"/>
                <w:numId w:val="0"/>
              </w:numPr>
              <w:ind w:left="0" w:leftChars="0" w:firstLine="0" w:firstLineChars="0"/>
              <w:jc w:val="center"/>
              <w:rPr>
                <w:rFonts w:hint="eastAsia" w:ascii="仿宋" w:hAnsi="仿宋" w:eastAsia="仿宋" w:cstheme="minorBidi"/>
                <w:color w:val="000000" w:themeColor="text1"/>
                <w:kern w:val="2"/>
                <w:sz w:val="22"/>
                <w:szCs w:val="21"/>
                <w:highlight w:val="none"/>
                <w:vertAlign w:val="baseline"/>
                <w:lang w:val="en-US" w:eastAsia="zh-CN" w:bidi="ar-SA"/>
                <w14:textFill>
                  <w14:solidFill>
                    <w14:schemeClr w14:val="tx1"/>
                  </w14:solidFill>
                </w14:textFill>
              </w:rPr>
            </w:pP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2017</w:t>
            </w:r>
          </w:p>
        </w:tc>
        <w:tc>
          <w:tcPr>
            <w:tcW w:w="4110"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成立达摩院</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开展AI相关研究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1559" w:type="dxa"/>
            <w:vMerge w:val="continue"/>
            <w:shd w:val="clear" w:color="auto" w:fill="auto"/>
            <w:vAlign w:val="center"/>
          </w:tcPr>
          <w:p>
            <w:pPr>
              <w:numPr>
                <w:ilvl w:val="-1"/>
                <w:numId w:val="0"/>
              </w:numPr>
              <w:ind w:left="0" w:leftChars="0" w:firstLine="0" w:firstLineChars="0"/>
              <w:jc w:val="center"/>
              <w:rPr>
                <w:rFonts w:hint="eastAsia" w:ascii="仿宋" w:hAnsi="仿宋" w:eastAsia="仿宋" w:cstheme="minorBidi"/>
                <w:color w:val="000000" w:themeColor="text1"/>
                <w:kern w:val="2"/>
                <w:sz w:val="22"/>
                <w:szCs w:val="21"/>
                <w:highlight w:val="none"/>
                <w:vertAlign w:val="baseline"/>
                <w:lang w:val="en-US" w:eastAsia="zh-CN" w:bidi="ar-SA"/>
                <w14:textFill>
                  <w14:solidFill>
                    <w14:schemeClr w14:val="tx1"/>
                  </w14:solidFill>
                </w14:textFill>
              </w:rPr>
            </w:pP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2019</w:t>
            </w:r>
          </w:p>
        </w:tc>
        <w:tc>
          <w:tcPr>
            <w:tcW w:w="4110"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发布首款AI芯片</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AI实力凸显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559" w:type="dxa"/>
            <w:vMerge w:val="continue"/>
            <w:shd w:val="clear" w:color="auto" w:fill="auto"/>
            <w:vAlign w:val="center"/>
          </w:tcPr>
          <w:p>
            <w:pPr>
              <w:numPr>
                <w:ilvl w:val="-1"/>
                <w:numId w:val="0"/>
              </w:numPr>
              <w:ind w:left="0" w:leftChars="0" w:firstLine="0" w:firstLineChars="0"/>
              <w:jc w:val="center"/>
              <w:rPr>
                <w:rFonts w:hint="eastAsia" w:ascii="仿宋" w:hAnsi="仿宋" w:eastAsia="仿宋" w:cstheme="minorBidi"/>
                <w:color w:val="000000" w:themeColor="text1"/>
                <w:kern w:val="2"/>
                <w:sz w:val="22"/>
                <w:szCs w:val="21"/>
                <w:highlight w:val="none"/>
                <w:vertAlign w:val="baseline"/>
                <w:lang w:val="en-US" w:eastAsia="zh-CN" w:bidi="ar-SA"/>
                <w14:textFill>
                  <w14:solidFill>
                    <w14:schemeClr w14:val="tx1"/>
                  </w14:solidFill>
                </w14:textFill>
              </w:rPr>
            </w:pP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2020</w:t>
            </w:r>
          </w:p>
        </w:tc>
        <w:tc>
          <w:tcPr>
            <w:tcW w:w="4110"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启动中文多模态预训练模型项目</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启动大模型研究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559" w:type="dxa"/>
            <w:vMerge w:val="restart"/>
            <w:shd w:val="clear" w:color="auto" w:fill="auto"/>
            <w:vAlign w:val="center"/>
          </w:tcPr>
          <w:p>
            <w:pPr>
              <w:numPr>
                <w:ilvl w:val="-1"/>
                <w:numId w:val="0"/>
              </w:numPr>
              <w:ind w:left="0" w:leftChars="0" w:firstLine="0" w:firstLineChars="0"/>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AI治理体系</w:t>
            </w:r>
          </w:p>
          <w:p>
            <w:pPr>
              <w:numPr>
                <w:ilvl w:val="-1"/>
                <w:numId w:val="0"/>
              </w:numPr>
              <w:ind w:left="0" w:leftChars="0" w:firstLine="0" w:firstLineChars="0"/>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形成阶段</w:t>
            </w:r>
          </w:p>
          <w:p>
            <w:pPr>
              <w:numPr>
                <w:ilvl w:val="-1"/>
                <w:numId w:val="0"/>
              </w:numPr>
              <w:ind w:left="0" w:leftChars="0" w:firstLine="0" w:firstLineChars="0"/>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（2021-2022）</w:t>
            </w: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2021</w:t>
            </w:r>
          </w:p>
        </w:tc>
        <w:tc>
          <w:tcPr>
            <w:tcW w:w="4110"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成立人工智能治理与可持续发展实验室</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开启AI治理历程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559" w:type="dxa"/>
            <w:vMerge w:val="continue"/>
            <w:shd w:val="clear" w:color="auto" w:fill="auto"/>
            <w:vAlign w:val="center"/>
          </w:tcPr>
          <w:p>
            <w:pPr>
              <w:numPr>
                <w:ilvl w:val="-1"/>
                <w:numId w:val="0"/>
              </w:numPr>
              <w:ind w:left="0" w:leftChars="0" w:firstLine="0" w:firstLineChars="0"/>
              <w:jc w:val="center"/>
              <w:rPr>
                <w:rFonts w:hint="eastAsia" w:ascii="仿宋" w:hAnsi="仿宋" w:eastAsia="仿宋" w:cstheme="minorBidi"/>
                <w:color w:val="000000" w:themeColor="text1"/>
                <w:kern w:val="2"/>
                <w:sz w:val="22"/>
                <w:szCs w:val="21"/>
                <w:highlight w:val="none"/>
                <w:vertAlign w:val="baseline"/>
                <w:lang w:val="en-US" w:eastAsia="zh-CN" w:bidi="ar-SA"/>
                <w14:textFill>
                  <w14:solidFill>
                    <w14:schemeClr w14:val="tx1"/>
                  </w14:solidFill>
                </w14:textFill>
              </w:rPr>
            </w:pP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2022</w:t>
            </w:r>
          </w:p>
        </w:tc>
        <w:tc>
          <w:tcPr>
            <w:tcW w:w="4110"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成立科技伦理治理委员会</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深化AI治理工作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Merge w:val="restart"/>
            <w:shd w:val="clear" w:color="auto" w:fill="auto"/>
            <w:vAlign w:val="center"/>
          </w:tcPr>
          <w:p>
            <w:pPr>
              <w:numPr>
                <w:ilvl w:val="-1"/>
                <w:numId w:val="0"/>
              </w:numPr>
              <w:ind w:left="0" w:leftChars="0" w:firstLine="0" w:firstLineChars="0"/>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AI治理体系</w:t>
            </w:r>
          </w:p>
          <w:p>
            <w:pPr>
              <w:numPr>
                <w:ilvl w:val="-1"/>
                <w:numId w:val="0"/>
              </w:numPr>
              <w:ind w:left="0" w:leftChars="0" w:firstLine="0" w:firstLineChars="0"/>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实践阶段</w:t>
            </w:r>
          </w:p>
          <w:p>
            <w:pPr>
              <w:numPr>
                <w:ilvl w:val="-1"/>
                <w:numId w:val="0"/>
              </w:numPr>
              <w:ind w:left="0" w:leftChars="0" w:firstLine="0" w:firstLineChars="0"/>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（2023-今）</w:t>
            </w: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2023</w:t>
            </w:r>
          </w:p>
        </w:tc>
        <w:tc>
          <w:tcPr>
            <w:tcW w:w="4110"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首发“通义千问1.0”，推出</w:t>
            </w:r>
            <w:r>
              <w:rPr>
                <w:rFonts w:hint="eastAsia" w:ascii="仿宋" w:hAnsi="仿宋" w:eastAsia="仿宋"/>
                <w:color w:val="000000" w:themeColor="text1"/>
                <w:sz w:val="22"/>
                <w:szCs w:val="21"/>
                <w:highlight w:val="none"/>
                <w:lang w:val="en-US" w:eastAsia="zh-CN"/>
                <w14:textFill>
                  <w14:solidFill>
                    <w14:schemeClr w14:val="tx1"/>
                  </w14:solidFill>
                </w14:textFill>
              </w:rPr>
              <w:t>八大行业模型</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推动AI赋能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Merge w:val="continue"/>
            <w:shd w:val="clear" w:color="auto" w:fill="auto"/>
            <w:vAlign w:val="center"/>
          </w:tcPr>
          <w:p>
            <w:pPr>
              <w:numPr>
                <w:ilvl w:val="-1"/>
                <w:numId w:val="0"/>
              </w:numPr>
              <w:ind w:left="0" w:leftChars="0" w:firstLine="0" w:firstLineChars="0"/>
              <w:jc w:val="center"/>
              <w:rPr>
                <w:rFonts w:hint="eastAsia" w:ascii="仿宋" w:hAnsi="仿宋" w:eastAsia="仿宋" w:cstheme="minorBidi"/>
                <w:color w:val="000000" w:themeColor="text1"/>
                <w:kern w:val="2"/>
                <w:sz w:val="22"/>
                <w:szCs w:val="21"/>
                <w:highlight w:val="none"/>
                <w:vertAlign w:val="baseline"/>
                <w:lang w:val="en-US" w:eastAsia="zh-CN" w:bidi="ar-SA"/>
                <w14:textFill>
                  <w14:solidFill>
                    <w14:schemeClr w14:val="tx1"/>
                  </w14:solidFill>
                </w14:textFill>
              </w:rPr>
            </w:pP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2024</w:t>
            </w:r>
          </w:p>
        </w:tc>
        <w:tc>
          <w:tcPr>
            <w:tcW w:w="4110" w:type="dxa"/>
            <w:vAlign w:val="center"/>
          </w:tcPr>
          <w:p>
            <w:pPr>
              <w:numPr>
                <w:ilvl w:val="-1"/>
                <w:numId w:val="0"/>
              </w:numPr>
              <w:jc w:val="cente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通过人工智能技术全生命周期管理ISO42001体系认证</w:t>
            </w:r>
            <w:r>
              <w:rPr>
                <w:rStyle w:val="15"/>
                <w:rFonts w:hint="eastAsia" w:ascii="仿宋" w:hAnsi="仿宋" w:eastAsia="仿宋"/>
                <w:color w:val="000000" w:themeColor="text1"/>
                <w:sz w:val="28"/>
                <w:highlight w:val="none"/>
                <w:lang w:val="en-US" w:eastAsia="zh-CN"/>
                <w14:textFill>
                  <w14:solidFill>
                    <w14:schemeClr w14:val="tx1"/>
                  </w14:solidFill>
                </w14:textFill>
              </w:rPr>
              <w:footnoteReference w:id="2"/>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AI技术与管理水平得到认可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Merge w:val="continue"/>
            <w:shd w:val="clear" w:color="auto" w:fill="auto"/>
            <w:vAlign w:val="center"/>
          </w:tcPr>
          <w:p>
            <w:pPr>
              <w:numPr>
                <w:ilvl w:val="-1"/>
                <w:numId w:val="0"/>
              </w:numPr>
              <w:ind w:left="0" w:leftChars="0" w:firstLine="0" w:firstLineChars="0"/>
              <w:jc w:val="center"/>
              <w:rPr>
                <w:rFonts w:hint="eastAsia" w:ascii="仿宋" w:hAnsi="仿宋" w:eastAsia="仿宋" w:cstheme="minorBidi"/>
                <w:color w:val="000000" w:themeColor="text1"/>
                <w:kern w:val="2"/>
                <w:sz w:val="22"/>
                <w:szCs w:val="21"/>
                <w:highlight w:val="none"/>
                <w:vertAlign w:val="baseline"/>
                <w:lang w:val="en-US" w:eastAsia="zh-CN" w:bidi="ar-SA"/>
                <w14:textFill>
                  <w14:solidFill>
                    <w14:schemeClr w14:val="tx1"/>
                  </w14:solidFill>
                </w14:textFill>
              </w:rPr>
            </w:pPr>
          </w:p>
        </w:tc>
        <w:tc>
          <w:tcPr>
            <w:tcW w:w="1015" w:type="dxa"/>
            <w:vAlign w:val="center"/>
          </w:tcPr>
          <w:p>
            <w:pPr>
              <w:numPr>
                <w:ilvl w:val="-1"/>
                <w:numId w:val="0"/>
              </w:numPr>
              <w:jc w:val="center"/>
              <w:rPr>
                <w:rFonts w:hint="default" w:ascii="仿宋" w:hAnsi="仿宋" w:eastAsia="仿宋"/>
                <w:b/>
                <w:bCs/>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b/>
                <w:bCs/>
                <w:color w:val="000000" w:themeColor="text1"/>
                <w:sz w:val="22"/>
                <w:szCs w:val="21"/>
                <w:highlight w:val="none"/>
                <w:vertAlign w:val="baseline"/>
                <w:lang w:val="en-US" w:eastAsia="zh-CN"/>
                <w14:textFill>
                  <w14:solidFill>
                    <w14:schemeClr w14:val="tx1"/>
                  </w14:solidFill>
                </w14:textFill>
              </w:rPr>
              <w:t>2025</w:t>
            </w:r>
          </w:p>
        </w:tc>
        <w:tc>
          <w:tcPr>
            <w:tcW w:w="4110"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第五届中国人工智能大赛「AIGC音频检测」、「人工智能显式内容标识提取技术」赛道获奖</w:t>
            </w:r>
          </w:p>
        </w:tc>
        <w:tc>
          <w:tcPr>
            <w:tcW w:w="1835" w:type="dxa"/>
            <w:vAlign w:val="center"/>
          </w:tcPr>
          <w:p>
            <w:pPr>
              <w:numPr>
                <w:ilvl w:val="-1"/>
                <w:numId w:val="0"/>
              </w:numPr>
              <w:jc w:val="center"/>
              <w:rPr>
                <w:rFonts w:hint="default" w:ascii="仿宋" w:hAnsi="仿宋" w:eastAsia="仿宋"/>
                <w:color w:val="000000" w:themeColor="text1"/>
                <w:sz w:val="22"/>
                <w:szCs w:val="21"/>
                <w:highlight w:val="none"/>
                <w:vertAlign w:val="baseline"/>
                <w:lang w:val="en-US" w:eastAsia="zh-CN"/>
                <w14:textFill>
                  <w14:solidFill>
                    <w14:schemeClr w14:val="tx1"/>
                  </w14:solidFill>
                </w14:textFill>
              </w:rPr>
            </w:pPr>
            <w:r>
              <w:rPr>
                <w:rFonts w:hint="eastAsia" w:ascii="仿宋" w:hAnsi="仿宋" w:eastAsia="仿宋"/>
                <w:color w:val="000000" w:themeColor="text1"/>
                <w:sz w:val="22"/>
                <w:szCs w:val="21"/>
                <w:highlight w:val="none"/>
                <w:vertAlign w:val="baseline"/>
                <w:lang w:val="en-US" w:eastAsia="zh-CN"/>
                <w14:textFill>
                  <w14:solidFill>
                    <w14:schemeClr w14:val="tx1"/>
                  </w14:solidFill>
                </w14:textFill>
              </w:rPr>
              <w:t>“负责任的技术”取得成果</w:t>
            </w:r>
          </w:p>
        </w:tc>
      </w:tr>
    </w:tbl>
    <w:p>
      <w:pPr>
        <w:numPr>
          <w:ilvl w:val="-1"/>
          <w:numId w:val="0"/>
        </w:numPr>
        <w:spacing w:after="157" w:afterLines="50"/>
        <w:ind w:firstLine="402" w:firstLineChars="200"/>
        <w:jc w:val="center"/>
        <w:rPr>
          <w:rFonts w:hint="eastAsia" w:ascii="仿宋" w:hAnsi="仿宋" w:eastAsia="仿宋"/>
          <w:b/>
          <w:bCs/>
          <w:color w:val="000000" w:themeColor="text1"/>
          <w:sz w:val="20"/>
          <w:szCs w:val="20"/>
          <w:highlight w:val="none"/>
          <w:lang w:val="en-US" w:eastAsia="zh-CN"/>
          <w14:textFill>
            <w14:solidFill>
              <w14:schemeClr w14:val="tx1"/>
            </w14:solidFill>
          </w14:textFill>
        </w:rPr>
      </w:pPr>
      <w:r>
        <w:rPr>
          <w:rFonts w:hint="eastAsia" w:ascii="仿宋" w:hAnsi="仿宋" w:eastAsia="仿宋"/>
          <w:b/>
          <w:bCs/>
          <w:color w:val="000000" w:themeColor="text1"/>
          <w:sz w:val="20"/>
          <w:szCs w:val="20"/>
          <w:highlight w:val="none"/>
          <w:lang w:val="en-US" w:eastAsia="zh-CN"/>
          <w14:textFill>
            <w14:solidFill>
              <w14:schemeClr w14:val="tx1"/>
            </w14:solidFill>
          </w14:textFill>
        </w:rPr>
        <w:t>表1 阿里AI治理体系探索与完善阶段性进展</w:t>
      </w:r>
    </w:p>
    <w:p>
      <w:pPr>
        <w:numPr>
          <w:ilvl w:val="0"/>
          <w:numId w:val="2"/>
        </w:numPr>
        <w:ind w:firstLine="562" w:firstLineChars="200"/>
        <w:rPr>
          <w:rFonts w:hint="default" w:ascii="仿宋" w:hAnsi="仿宋" w:eastAsia="仿宋"/>
          <w:b/>
          <w:bCs/>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坚守科技伦理和安全底线</w:t>
      </w:r>
    </w:p>
    <w:p>
      <w:pPr>
        <w:numPr>
          <w:ilvl w:val="-1"/>
          <w:numId w:val="0"/>
        </w:numPr>
        <w:ind w:firstLine="562" w:firstLineChars="200"/>
        <w:rPr>
          <w:rFonts w:hint="default"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一是“四位一体”AI伦理体系金字塔，夯实治理能力基础。</w:t>
      </w:r>
      <w:r>
        <w:rPr>
          <w:rFonts w:hint="eastAsia" w:ascii="仿宋" w:hAnsi="仿宋" w:eastAsia="仿宋"/>
          <w:color w:val="000000" w:themeColor="text1"/>
          <w:sz w:val="28"/>
          <w:highlight w:val="none"/>
          <w:lang w:val="en-US" w:eastAsia="zh-CN"/>
          <w14:textFill>
            <w14:solidFill>
              <w14:schemeClr w14:val="tx1"/>
            </w14:solidFill>
          </w14:textFill>
        </w:rPr>
        <w:t>阿里于2022年9月成立科</w:t>
      </w:r>
      <w:r>
        <w:rPr>
          <w:rFonts w:hint="eastAsia" w:ascii="仿宋" w:hAnsi="仿宋" w:eastAsia="仿宋"/>
          <w:color w:val="000000" w:themeColor="text1"/>
          <w:sz w:val="28"/>
          <w:highlight w:val="none"/>
          <w:lang w:eastAsia="zh-CN"/>
          <w14:textFill>
            <w14:solidFill>
              <w14:schemeClr w14:val="tx1"/>
            </w14:solidFill>
          </w14:textFill>
        </w:rPr>
        <w:t>技伦理治理委员会，</w:t>
      </w:r>
      <w:r>
        <w:rPr>
          <w:rFonts w:hint="eastAsia" w:ascii="仿宋" w:hAnsi="仿宋" w:eastAsia="仿宋"/>
          <w:color w:val="000000" w:themeColor="text1"/>
          <w:sz w:val="28"/>
          <w:highlight w:val="none"/>
          <w:lang w:val="en-US" w:eastAsia="zh-CN"/>
          <w14:textFill>
            <w14:solidFill>
              <w14:schemeClr w14:val="tx1"/>
            </w14:solidFill>
          </w14:textFill>
        </w:rPr>
        <w:t>致力于加强科技伦理问题的常规治理，逐步形成了</w:t>
      </w:r>
      <w:r>
        <w:rPr>
          <w:rFonts w:hint="eastAsia" w:ascii="仿宋" w:hAnsi="仿宋" w:eastAsia="仿宋"/>
          <w:b w:val="0"/>
          <w:bCs w:val="0"/>
          <w:color w:val="000000" w:themeColor="text1"/>
          <w:sz w:val="28"/>
          <w:highlight w:val="none"/>
          <w:lang w:val="en-US" w:eastAsia="zh-CN"/>
          <w14:textFill>
            <w14:solidFill>
              <w14:schemeClr w14:val="tx1"/>
            </w14:solidFill>
          </w14:textFill>
        </w:rPr>
        <w:t>“四位一体”AI伦理体系金字塔，</w:t>
      </w:r>
      <w:r>
        <w:rPr>
          <w:rFonts w:hint="eastAsia" w:ascii="仿宋" w:hAnsi="仿宋" w:eastAsia="仿宋"/>
          <w:color w:val="000000" w:themeColor="text1"/>
          <w:sz w:val="28"/>
          <w:highlight w:val="none"/>
          <w:lang w:val="en-US" w:eastAsia="zh-CN"/>
          <w14:textFill>
            <w14:solidFill>
              <w14:schemeClr w14:val="tx1"/>
            </w14:solidFill>
          </w14:textFill>
        </w:rPr>
        <w:t>推动AI技术更加安全、可靠、可信赖和可用。“金字塔”自下而上包括四层，分别是组织支撑、机制保障、全流程护航和公众信任。</w:t>
      </w:r>
      <w:r>
        <w:rPr>
          <w:rFonts w:hint="eastAsia" w:ascii="仿宋" w:hAnsi="仿宋" w:eastAsia="仿宋"/>
          <w:b/>
          <w:bCs/>
          <w:color w:val="000000" w:themeColor="text1"/>
          <w:sz w:val="28"/>
          <w:highlight w:val="none"/>
          <w:lang w:val="en-US" w:eastAsia="zh-CN"/>
          <w14:textFill>
            <w14:solidFill>
              <w14:schemeClr w14:val="tx1"/>
            </w14:solidFill>
          </w14:textFill>
        </w:rPr>
        <w:t>在组织支撑层，</w:t>
      </w:r>
      <w:r>
        <w:rPr>
          <w:rFonts w:hint="eastAsia" w:ascii="仿宋" w:hAnsi="仿宋" w:eastAsia="仿宋"/>
          <w:color w:val="000000" w:themeColor="text1"/>
          <w:sz w:val="28"/>
          <w:highlight w:val="none"/>
          <w:lang w:val="en-US" w:eastAsia="zh-CN"/>
          <w14:textFill>
            <w14:solidFill>
              <w14:schemeClr w14:val="tx1"/>
            </w14:solidFill>
          </w14:textFill>
        </w:rPr>
        <w:t>科技伦理委员会下设治理委员会、顾问委员会、伦理组、科技组、治理组，服务于各业务部门，确保治理原则、制度规范及内部规则上的一致性与高度协同；</w:t>
      </w:r>
      <w:r>
        <w:rPr>
          <w:rFonts w:hint="eastAsia" w:ascii="仿宋" w:hAnsi="仿宋" w:eastAsia="仿宋"/>
          <w:b/>
          <w:bCs/>
          <w:color w:val="000000" w:themeColor="text1"/>
          <w:sz w:val="28"/>
          <w:highlight w:val="none"/>
          <w:lang w:val="en-US" w:eastAsia="zh-CN"/>
          <w14:textFill>
            <w14:solidFill>
              <w14:schemeClr w14:val="tx1"/>
            </w14:solidFill>
          </w14:textFill>
        </w:rPr>
        <w:t>在机制保障层，</w:t>
      </w:r>
      <w:r>
        <w:rPr>
          <w:rFonts w:hint="eastAsia" w:ascii="仿宋" w:hAnsi="仿宋" w:eastAsia="仿宋"/>
          <w:color w:val="000000" w:themeColor="text1"/>
          <w:sz w:val="28"/>
          <w:highlight w:val="none"/>
          <w:lang w:val="en-US" w:eastAsia="zh-CN"/>
          <w14:textFill>
            <w14:solidFill>
              <w14:schemeClr w14:val="tx1"/>
            </w14:solidFill>
          </w14:textFill>
        </w:rPr>
        <w:t>引入外部专家担任顾问委员，建立“算法机理审查”监测机制，发布《阿里巴巴集团科技伦理治理准则》等文件；</w:t>
      </w:r>
      <w:r>
        <w:rPr>
          <w:rFonts w:hint="eastAsia" w:ascii="仿宋" w:hAnsi="仿宋" w:eastAsia="仿宋"/>
          <w:b/>
          <w:bCs/>
          <w:color w:val="000000" w:themeColor="text1"/>
          <w:sz w:val="28"/>
          <w:highlight w:val="none"/>
          <w:lang w:val="en-US" w:eastAsia="zh-CN"/>
          <w14:textFill>
            <w14:solidFill>
              <w14:schemeClr w14:val="tx1"/>
            </w14:solidFill>
          </w14:textFill>
        </w:rPr>
        <w:t>在全流程护航方面，</w:t>
      </w:r>
      <w:r>
        <w:rPr>
          <w:rFonts w:hint="eastAsia" w:ascii="仿宋" w:hAnsi="仿宋" w:eastAsia="仿宋"/>
          <w:color w:val="000000" w:themeColor="text1"/>
          <w:sz w:val="28"/>
          <w:highlight w:val="none"/>
          <w:lang w:val="en-US" w:eastAsia="zh-CN"/>
          <w14:textFill>
            <w14:solidFill>
              <w14:schemeClr w14:val="tx1"/>
            </w14:solidFill>
          </w14:textFill>
        </w:rPr>
        <w:t>从数据采集与处理模型设计、开发过程、部署后的影响等多维度践行科技伦理；</w:t>
      </w:r>
      <w:r>
        <w:rPr>
          <w:rFonts w:hint="eastAsia" w:ascii="仿宋" w:hAnsi="仿宋" w:eastAsia="仿宋"/>
          <w:b/>
          <w:bCs/>
          <w:color w:val="000000" w:themeColor="text1"/>
          <w:sz w:val="28"/>
          <w:highlight w:val="none"/>
          <w:lang w:val="en-US" w:eastAsia="zh-CN"/>
          <w14:textFill>
            <w14:solidFill>
              <w14:schemeClr w14:val="tx1"/>
            </w14:solidFill>
          </w14:textFill>
        </w:rPr>
        <w:t>在公众信任方面，</w:t>
      </w:r>
      <w:r>
        <w:rPr>
          <w:rFonts w:hint="eastAsia" w:ascii="仿宋" w:hAnsi="仿宋" w:eastAsia="仿宋"/>
          <w:color w:val="000000" w:themeColor="text1"/>
          <w:sz w:val="28"/>
          <w:highlight w:val="none"/>
          <w:lang w:val="en-US" w:eastAsia="zh-CN"/>
          <w14:textFill>
            <w14:solidFill>
              <w14:schemeClr w14:val="tx1"/>
            </w14:solidFill>
          </w14:textFill>
        </w:rPr>
        <w:t>明确六大科技伦理准则，参与国家标准制定与实践。通过活动宣导及公益项目等，提高技术和应用的透明度增强公众信任。</w:t>
      </w:r>
    </w:p>
    <w:p>
      <w:pPr>
        <w:ind w:firstLine="0"/>
        <w:jc w:val="center"/>
        <w:rPr>
          <w:rFonts w:hint="eastAsia" w:ascii="仿宋" w:hAnsi="仿宋" w:eastAsia="仿宋"/>
          <w:b/>
          <w:bCs/>
          <w:color w:val="000000" w:themeColor="text1"/>
          <w:szCs w:val="20"/>
          <w:highlight w:val="none"/>
          <w:lang w:val="en-US" w:eastAsia="zh-CN"/>
          <w14:textFill>
            <w14:solidFill>
              <w14:schemeClr w14:val="tx1"/>
            </w14:solidFill>
          </w14:textFill>
        </w:rPr>
      </w:pPr>
      <w:r>
        <w:drawing>
          <wp:inline distT="0" distB="0" distL="114300" distR="114300">
            <wp:extent cx="2314575" cy="2076450"/>
            <wp:effectExtent l="0" t="0" r="9525"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2314575" cy="2076450"/>
                    </a:xfrm>
                    <a:prstGeom prst="rect">
                      <a:avLst/>
                    </a:prstGeom>
                    <a:noFill/>
                    <a:ln>
                      <a:noFill/>
                    </a:ln>
                  </pic:spPr>
                </pic:pic>
              </a:graphicData>
            </a:graphic>
          </wp:inline>
        </w:drawing>
      </w:r>
    </w:p>
    <w:p>
      <w:pPr>
        <w:spacing w:after="157" w:afterLines="50"/>
        <w:ind w:firstLine="561"/>
        <w:jc w:val="center"/>
        <w:rPr>
          <w:rFonts w:ascii="仿宋" w:hAnsi="仿宋" w:eastAsia="仿宋"/>
          <w:b/>
          <w:bCs/>
          <w:color w:val="000000" w:themeColor="text1"/>
          <w:sz w:val="20"/>
          <w:szCs w:val="18"/>
          <w:highlight w:val="none"/>
          <w14:textFill>
            <w14:solidFill>
              <w14:schemeClr w14:val="tx1"/>
            </w14:solidFill>
          </w14:textFill>
        </w:rPr>
      </w:pPr>
      <w:r>
        <w:rPr>
          <w:rFonts w:hint="eastAsia" w:ascii="仿宋" w:hAnsi="仿宋" w:eastAsia="仿宋"/>
          <w:b/>
          <w:bCs/>
          <w:color w:val="000000" w:themeColor="text1"/>
          <w:sz w:val="20"/>
          <w:szCs w:val="18"/>
          <w:highlight w:val="none"/>
          <w:lang w:val="en-US" w:eastAsia="zh-CN"/>
          <w14:textFill>
            <w14:solidFill>
              <w14:schemeClr w14:val="tx1"/>
            </w14:solidFill>
          </w14:textFill>
        </w:rPr>
        <w:t>图1</w:t>
      </w:r>
      <w:r>
        <w:rPr>
          <w:rFonts w:hint="eastAsia" w:ascii="仿宋" w:hAnsi="仿宋" w:eastAsia="仿宋"/>
          <w:b/>
          <w:bCs/>
          <w:color w:val="000000" w:themeColor="text1"/>
          <w:sz w:val="20"/>
          <w:szCs w:val="18"/>
          <w:highlight w:val="none"/>
          <w14:textFill>
            <w14:solidFill>
              <w14:schemeClr w14:val="tx1"/>
            </w14:solidFill>
          </w14:textFill>
        </w:rPr>
        <w:t xml:space="preserve"> </w:t>
      </w:r>
      <w:r>
        <w:rPr>
          <w:rFonts w:hint="eastAsia" w:ascii="仿宋" w:hAnsi="仿宋" w:eastAsia="仿宋"/>
          <w:b/>
          <w:bCs/>
          <w:color w:val="000000" w:themeColor="text1"/>
          <w:sz w:val="20"/>
          <w:szCs w:val="18"/>
          <w:highlight w:val="none"/>
          <w:lang w:val="en-US" w:eastAsia="zh-CN"/>
          <w14:textFill>
            <w14:solidFill>
              <w14:schemeClr w14:val="tx1"/>
            </w14:solidFill>
          </w14:textFill>
        </w:rPr>
        <w:t>伦理体系金字塔</w:t>
      </w:r>
    </w:p>
    <w:p>
      <w:pPr>
        <w:numPr>
          <w:ilvl w:val="-1"/>
          <w:numId w:val="0"/>
        </w:numPr>
        <w:ind w:firstLine="562" w:firstLineChars="200"/>
        <w:outlineLvl w:val="1"/>
        <w:rPr>
          <w:rFonts w:hint="eastAsia" w:ascii="仿宋" w:hAnsi="仿宋" w:eastAsia="仿宋"/>
          <w:b/>
          <w:bCs/>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二是贯穿全生命周期的“三多”治理理念，护航治理实践。</w:t>
      </w:r>
      <w:r>
        <w:rPr>
          <w:rFonts w:hint="eastAsia" w:ascii="仿宋" w:hAnsi="仿宋" w:eastAsia="仿宋"/>
          <w:b w:val="0"/>
          <w:bCs w:val="0"/>
          <w:color w:val="000000" w:themeColor="text1"/>
          <w:sz w:val="28"/>
          <w:highlight w:val="none"/>
          <w:lang w:val="en-US" w:eastAsia="zh-CN"/>
          <w14:textFill>
            <w14:solidFill>
              <w14:schemeClr w14:val="tx1"/>
            </w14:solidFill>
          </w14:textFill>
        </w:rPr>
        <w:t>为适应AI技术复杂性、快速创新性和多方参与的特点，阿里在治理实践中形成了贯穿全生命周期的“三多”治理理念，确保各参与主体协调行动，保持技术一致性、合规性和安全性，确保AI向善。其中，</w:t>
      </w:r>
      <w:r>
        <w:rPr>
          <w:rFonts w:hint="eastAsia" w:ascii="仿宋" w:hAnsi="仿宋" w:eastAsia="仿宋"/>
          <w:b/>
          <w:bCs/>
          <w:color w:val="000000" w:themeColor="text1"/>
          <w:sz w:val="28"/>
          <w:highlight w:val="none"/>
          <w:lang w:val="en-US" w:eastAsia="zh-CN"/>
          <w14:textFill>
            <w14:solidFill>
              <w14:schemeClr w14:val="tx1"/>
            </w14:solidFill>
          </w14:textFill>
        </w:rPr>
        <w:t>多元融合治理规范</w:t>
      </w:r>
      <w:r>
        <w:rPr>
          <w:rFonts w:hint="eastAsia" w:ascii="仿宋" w:hAnsi="仿宋" w:eastAsia="仿宋"/>
          <w:b w:val="0"/>
          <w:bCs w:val="0"/>
          <w:color w:val="000000" w:themeColor="text1"/>
          <w:sz w:val="28"/>
          <w:highlight w:val="none"/>
          <w:lang w:val="en-US" w:eastAsia="zh-CN"/>
          <w14:textFill>
            <w14:solidFill>
              <w14:schemeClr w14:val="tx1"/>
            </w14:solidFill>
          </w14:textFill>
        </w:rPr>
        <w:t>包括遵守法律法规、标准规范、伦理道德原则三方面，要满足管理需求并保持动态适应性。</w:t>
      </w:r>
      <w:r>
        <w:rPr>
          <w:rFonts w:hint="eastAsia" w:ascii="仿宋" w:hAnsi="仿宋" w:eastAsia="仿宋"/>
          <w:b/>
          <w:bCs/>
          <w:color w:val="000000" w:themeColor="text1"/>
          <w:sz w:val="28"/>
          <w:highlight w:val="none"/>
          <w:lang w:val="en-US" w:eastAsia="zh-CN"/>
          <w14:textFill>
            <w14:solidFill>
              <w14:schemeClr w14:val="tx1"/>
            </w14:solidFill>
          </w14:textFill>
        </w:rPr>
        <w:t>多角色治理措施</w:t>
      </w:r>
      <w:r>
        <w:rPr>
          <w:rFonts w:hint="eastAsia" w:ascii="仿宋" w:hAnsi="仿宋" w:eastAsia="仿宋"/>
          <w:b w:val="0"/>
          <w:bCs w:val="0"/>
          <w:color w:val="000000" w:themeColor="text1"/>
          <w:sz w:val="28"/>
          <w:highlight w:val="none"/>
          <w:lang w:val="en-US" w:eastAsia="zh-CN"/>
          <w14:textFill>
            <w14:solidFill>
              <w14:schemeClr w14:val="tx1"/>
            </w14:solidFill>
          </w14:textFill>
        </w:rPr>
        <w:t>将技术支持者、服务提供者和服务使用者都纳入治理过程中，既能确保治理目标的一致性，又增强了整个治理体系的透明度和可追溯性。推动和落实政府部门、企业、行业与公众等的</w:t>
      </w:r>
      <w:r>
        <w:rPr>
          <w:rFonts w:hint="eastAsia" w:ascii="仿宋" w:hAnsi="仿宋" w:eastAsia="仿宋"/>
          <w:b/>
          <w:bCs/>
          <w:color w:val="000000" w:themeColor="text1"/>
          <w:sz w:val="28"/>
          <w:highlight w:val="none"/>
          <w:lang w:val="en-US" w:eastAsia="zh-CN"/>
          <w14:textFill>
            <w14:solidFill>
              <w14:schemeClr w14:val="tx1"/>
            </w14:solidFill>
          </w14:textFill>
        </w:rPr>
        <w:t>多方协同治理理念，</w:t>
      </w:r>
      <w:r>
        <w:rPr>
          <w:rFonts w:hint="eastAsia" w:ascii="仿宋" w:hAnsi="仿宋" w:eastAsia="仿宋"/>
          <w:b w:val="0"/>
          <w:bCs w:val="0"/>
          <w:color w:val="000000" w:themeColor="text1"/>
          <w:sz w:val="28"/>
          <w:highlight w:val="none"/>
          <w:lang w:val="en-US" w:eastAsia="zh-CN"/>
          <w14:textFill>
            <w14:solidFill>
              <w14:schemeClr w14:val="tx1"/>
            </w14:solidFill>
          </w14:textFill>
        </w:rPr>
        <w:t>为企业AI治理可持续发展提供思路和方案。</w:t>
      </w:r>
    </w:p>
    <w:p>
      <w:pPr>
        <w:numPr>
          <w:ilvl w:val="-1"/>
          <w:numId w:val="0"/>
        </w:numPr>
        <w:ind w:firstLine="562" w:firstLineChars="200"/>
        <w:outlineLvl w:val="1"/>
        <w:rPr>
          <w:rFonts w:hint="default" w:ascii="仿宋" w:hAnsi="仿宋" w:eastAsia="仿宋"/>
          <w:b w:val="0"/>
          <w:bCs w:val="0"/>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三是全生命周期治理措施和伦理治理六大准则，筑牢治理防护网。以加固大模型基础为目标，</w:t>
      </w:r>
      <w:r>
        <w:rPr>
          <w:rFonts w:hint="eastAsia" w:ascii="仿宋" w:hAnsi="仿宋" w:eastAsia="仿宋"/>
          <w:b w:val="0"/>
          <w:bCs w:val="0"/>
          <w:color w:val="000000" w:themeColor="text1"/>
          <w:sz w:val="28"/>
          <w:highlight w:val="none"/>
          <w:lang w:val="en-US" w:eastAsia="zh-CN"/>
          <w14:textFill>
            <w14:solidFill>
              <w14:schemeClr w14:val="tx1"/>
            </w14:solidFill>
          </w14:textFill>
        </w:rPr>
        <w:t>围绕AI全生命周期推进技术治理举措，在模型训练阶段、服务上线阶段、内容生成阶段和内容传播阶段，通过加强数据保护、增强算法韧性、提升抗攻击性等措施，建立内生安全屏障。</w:t>
      </w:r>
      <w:r>
        <w:rPr>
          <w:rFonts w:hint="eastAsia" w:ascii="仿宋" w:hAnsi="仿宋" w:eastAsia="仿宋"/>
          <w:b/>
          <w:bCs/>
          <w:color w:val="000000" w:themeColor="text1"/>
          <w:sz w:val="28"/>
          <w:highlight w:val="none"/>
          <w:lang w:val="en-US" w:eastAsia="zh-CN"/>
          <w14:textFill>
            <w14:solidFill>
              <w14:schemeClr w14:val="tx1"/>
            </w14:solidFill>
          </w14:textFill>
        </w:rPr>
        <w:t>面向不同落地应用场景</w:t>
      </w:r>
      <w:r>
        <w:rPr>
          <w:rFonts w:hint="eastAsia" w:ascii="仿宋" w:hAnsi="仿宋" w:eastAsia="仿宋"/>
          <w:b w:val="0"/>
          <w:bCs w:val="0"/>
          <w:color w:val="000000" w:themeColor="text1"/>
          <w:sz w:val="28"/>
          <w:highlight w:val="none"/>
          <w:lang w:val="en-US" w:eastAsia="zh-CN"/>
          <w14:textFill>
            <w14:solidFill>
              <w14:schemeClr w14:val="tx1"/>
            </w14:solidFill>
          </w14:textFill>
        </w:rPr>
        <w:t>，实施风险分类分级识别和防范举措，引导大模型应用健康发展。</w:t>
      </w:r>
      <w:r>
        <w:rPr>
          <w:rFonts w:hint="eastAsia" w:ascii="仿宋" w:hAnsi="仿宋" w:eastAsia="仿宋"/>
          <w:b/>
          <w:bCs/>
          <w:color w:val="000000" w:themeColor="text1"/>
          <w:sz w:val="28"/>
          <w:highlight w:val="none"/>
          <w:lang w:val="en-US" w:eastAsia="zh-CN"/>
          <w14:textFill>
            <w14:solidFill>
              <w14:schemeClr w14:val="tx1"/>
            </w14:solidFill>
          </w14:textFill>
        </w:rPr>
        <w:t>针对不同用户、不同行业及领域</w:t>
      </w:r>
      <w:r>
        <w:rPr>
          <w:rFonts w:hint="eastAsia" w:ascii="仿宋" w:hAnsi="仿宋" w:eastAsia="仿宋"/>
          <w:b w:val="0"/>
          <w:bCs w:val="0"/>
          <w:color w:val="000000" w:themeColor="text1"/>
          <w:sz w:val="28"/>
          <w:highlight w:val="none"/>
          <w:lang w:val="en-US" w:eastAsia="zh-CN"/>
          <w14:textFill>
            <w14:solidFill>
              <w14:schemeClr w14:val="tx1"/>
            </w14:solidFill>
          </w14:textFill>
        </w:rPr>
        <w:t>，通过隐私政策、行为监测、中断服务、提升安全技术保障资源投入等手段，防范模型滥用误用。在上述治理实践过程中，始终贯彻以人为本、隐私保护、安全可靠、普惠正直、可信可控、开放共治六大准则。</w:t>
      </w:r>
    </w:p>
    <w:p>
      <w:pPr>
        <w:numPr>
          <w:ilvl w:val="0"/>
          <w:numId w:val="2"/>
        </w:numPr>
        <w:ind w:firstLine="562" w:firstLineChars="200"/>
        <w:outlineLvl w:val="9"/>
        <w:rPr>
          <w:rFonts w:hint="eastAsia" w:ascii="仿宋" w:hAnsi="仿宋" w:eastAsia="仿宋"/>
          <w:b/>
          <w:bCs/>
          <w:color w:val="000000" w:themeColor="text1"/>
          <w:sz w:val="28"/>
          <w:highlight w:val="none"/>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阿里AI治理体系成效呈现</w:t>
      </w:r>
    </w:p>
    <w:p>
      <w:pPr>
        <w:ind w:firstLine="560"/>
        <w:jc w:val="left"/>
        <w:rPr>
          <w:rFonts w:hint="eastAsia" w:ascii="仿宋" w:hAnsi="仿宋" w:eastAsia="仿宋"/>
          <w:b/>
          <w:bCs/>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对照《人工智能安全治理框架》1.0</w:t>
      </w:r>
      <w:r>
        <w:rPr>
          <w:rFonts w:hint="eastAsia" w:ascii="仿宋" w:hAnsi="仿宋" w:eastAsia="仿宋"/>
          <w:b w:val="0"/>
          <w:bCs w:val="0"/>
          <w:color w:val="000000" w:themeColor="text1"/>
          <w:sz w:val="28"/>
          <w:highlight w:val="none"/>
          <w:lang w:val="en-US" w:eastAsia="zh-CN"/>
          <w14:textFill>
            <w14:solidFill>
              <w14:schemeClr w14:val="tx1"/>
            </w14:solidFill>
          </w14:textFill>
        </w:rPr>
        <w:t>，阿里AI治理体系面向AI研发应用全过程，兼顾内生、应用和滥用三方面风险管理，明确各相关方责任，推动治理工作，较好满足了该框架的治理要求。</w:t>
      </w:r>
    </w:p>
    <w:p>
      <w:pPr>
        <w:ind w:firstLine="560"/>
        <w:jc w:val="left"/>
        <w:rPr>
          <w:rFonts w:hint="eastAsia" w:ascii="仿宋" w:hAnsi="仿宋" w:eastAsia="仿宋"/>
          <w:b w:val="0"/>
          <w:bCs w:val="0"/>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对照GSMA</w:t>
      </w:r>
      <w:r>
        <w:rPr>
          <w:rFonts w:hint="eastAsia" w:ascii="Comic Sans MS" w:hAnsi="Comic Sans MS" w:eastAsia="Helvetica" w:cs="Comic Sans MS"/>
          <w:b/>
          <w:bCs/>
          <w:i w:val="0"/>
          <w:iCs w:val="0"/>
          <w:caps w:val="0"/>
          <w:color w:val="000000"/>
          <w:spacing w:val="0"/>
          <w:sz w:val="28"/>
          <w:szCs w:val="28"/>
          <w:lang w:val="en-US" w:eastAsia="zh-CN"/>
        </w:rPr>
        <w:t>负责任的</w:t>
      </w:r>
      <w:r>
        <w:rPr>
          <w:rFonts w:hint="eastAsia" w:ascii="仿宋" w:hAnsi="仿宋" w:eastAsia="仿宋" w:cstheme="minorBidi"/>
          <w:b/>
          <w:bCs/>
          <w:i w:val="0"/>
          <w:iCs w:val="0"/>
          <w:caps w:val="0"/>
          <w:color w:val="000000" w:themeColor="text1"/>
          <w:spacing w:val="0"/>
          <w:sz w:val="28"/>
          <w:szCs w:val="24"/>
          <w:highlight w:val="none"/>
          <w:lang w:val="en-US" w:eastAsia="zh-CN"/>
          <w14:textFill>
            <w14:solidFill>
              <w14:schemeClr w14:val="tx1"/>
            </w14:solidFill>
          </w14:textFill>
        </w:rPr>
        <w:t>人工智能路线图的最佳实践要求</w:t>
      </w:r>
      <w:r>
        <w:rPr>
          <w:rFonts w:hint="eastAsia" w:ascii="仿宋" w:hAnsi="仿宋" w:eastAsia="仿宋" w:cstheme="minorBidi"/>
          <w:i w:val="0"/>
          <w:iCs w:val="0"/>
          <w:caps w:val="0"/>
          <w:color w:val="000000" w:themeColor="text1"/>
          <w:spacing w:val="0"/>
          <w:sz w:val="28"/>
          <w:szCs w:val="24"/>
          <w:highlight w:val="none"/>
          <w:lang w:val="en-US" w:eastAsia="zh-CN"/>
          <w14:textFill>
            <w14:solidFill>
              <w14:schemeClr w14:val="tx1"/>
            </w14:solidFill>
          </w14:textFill>
        </w:rPr>
        <w:t>，</w:t>
      </w:r>
      <w:r>
        <w:rPr>
          <w:rFonts w:hint="eastAsia" w:ascii="仿宋" w:hAnsi="仿宋" w:eastAsia="仿宋"/>
          <w:b w:val="0"/>
          <w:bCs w:val="0"/>
          <w:color w:val="000000" w:themeColor="text1"/>
          <w:sz w:val="28"/>
          <w:highlight w:val="none"/>
          <w:lang w:val="en-US" w:eastAsia="zh-CN"/>
          <w14:textFill>
            <w14:solidFill>
              <w14:schemeClr w14:val="tx1"/>
            </w14:solidFill>
          </w14:textFill>
        </w:rPr>
        <w:t>阿里在组织愿景、运营模式、技术管控、变革管理等维度，均处于较为领先的水平。如，在</w:t>
      </w:r>
      <w:r>
        <w:rPr>
          <w:rFonts w:hint="eastAsia" w:ascii="仿宋" w:hAnsi="仿宋" w:eastAsia="仿宋"/>
          <w:b/>
          <w:bCs/>
          <w:color w:val="000000" w:themeColor="text1"/>
          <w:sz w:val="28"/>
          <w:highlight w:val="none"/>
          <w:lang w:val="en-US" w:eastAsia="zh-CN"/>
          <w14:textFill>
            <w14:solidFill>
              <w14:schemeClr w14:val="tx1"/>
            </w14:solidFill>
          </w14:textFill>
        </w:rPr>
        <w:t>组织愿景</w:t>
      </w:r>
      <w:r>
        <w:rPr>
          <w:rFonts w:hint="eastAsia" w:ascii="仿宋" w:hAnsi="仿宋" w:eastAsia="仿宋"/>
          <w:b w:val="0"/>
          <w:bCs w:val="0"/>
          <w:color w:val="000000" w:themeColor="text1"/>
          <w:sz w:val="28"/>
          <w:highlight w:val="none"/>
          <w:lang w:val="en-US" w:eastAsia="zh-CN"/>
          <w14:textFill>
            <w14:solidFill>
              <w14:schemeClr w14:val="tx1"/>
            </w14:solidFill>
          </w14:textFill>
        </w:rPr>
        <w:t>方面，发布科技伦理治理六大准则；在</w:t>
      </w:r>
      <w:r>
        <w:rPr>
          <w:rFonts w:hint="eastAsia" w:ascii="仿宋" w:hAnsi="仿宋" w:eastAsia="仿宋"/>
          <w:b/>
          <w:bCs/>
          <w:color w:val="000000" w:themeColor="text1"/>
          <w:sz w:val="28"/>
          <w:highlight w:val="none"/>
          <w:lang w:val="en-US" w:eastAsia="zh-CN"/>
          <w14:textFill>
            <w14:solidFill>
              <w14:schemeClr w14:val="tx1"/>
            </w14:solidFill>
          </w14:textFill>
        </w:rPr>
        <w:t>运营模式</w:t>
      </w:r>
      <w:r>
        <w:rPr>
          <w:rFonts w:hint="eastAsia" w:ascii="仿宋" w:hAnsi="仿宋" w:eastAsia="仿宋"/>
          <w:b w:val="0"/>
          <w:bCs w:val="0"/>
          <w:color w:val="000000" w:themeColor="text1"/>
          <w:sz w:val="28"/>
          <w:highlight w:val="none"/>
          <w:lang w:val="en-US" w:eastAsia="zh-CN"/>
          <w14:textFill>
            <w14:solidFill>
              <w14:schemeClr w14:val="tx1"/>
            </w14:solidFill>
          </w14:textFill>
        </w:rPr>
        <w:t>方面，发布《集团科技伦理审查》等文件，在运营中实施人工智能治理；在</w:t>
      </w:r>
      <w:r>
        <w:rPr>
          <w:rFonts w:hint="eastAsia" w:ascii="仿宋" w:hAnsi="仿宋" w:eastAsia="仿宋"/>
          <w:b/>
          <w:bCs/>
          <w:color w:val="000000" w:themeColor="text1"/>
          <w:sz w:val="28"/>
          <w:highlight w:val="none"/>
          <w:lang w:val="en-US" w:eastAsia="zh-CN"/>
          <w14:textFill>
            <w14:solidFill>
              <w14:schemeClr w14:val="tx1"/>
            </w14:solidFill>
          </w14:textFill>
        </w:rPr>
        <w:t>技术管控</w:t>
      </w:r>
      <w:r>
        <w:rPr>
          <w:rFonts w:hint="eastAsia" w:ascii="仿宋" w:hAnsi="仿宋" w:eastAsia="仿宋"/>
          <w:b w:val="0"/>
          <w:bCs w:val="0"/>
          <w:color w:val="000000" w:themeColor="text1"/>
          <w:sz w:val="28"/>
          <w:highlight w:val="none"/>
          <w:lang w:val="en-US" w:eastAsia="zh-CN"/>
          <w14:textFill>
            <w14:solidFill>
              <w14:schemeClr w14:val="tx1"/>
            </w14:solidFill>
          </w14:textFill>
        </w:rPr>
        <w:t>方面，探索建立全生命周期安全防护手段，全流程多维度落实科技伦理要求；在</w:t>
      </w:r>
      <w:r>
        <w:rPr>
          <w:rFonts w:hint="eastAsia" w:ascii="仿宋" w:hAnsi="仿宋" w:eastAsia="仿宋"/>
          <w:b/>
          <w:bCs/>
          <w:color w:val="000000" w:themeColor="text1"/>
          <w:sz w:val="28"/>
          <w:highlight w:val="none"/>
          <w:lang w:val="en-US" w:eastAsia="zh-CN"/>
          <w14:textFill>
            <w14:solidFill>
              <w14:schemeClr w14:val="tx1"/>
            </w14:solidFill>
          </w14:textFill>
        </w:rPr>
        <w:t>变革管理和宣贯战略</w:t>
      </w:r>
      <w:r>
        <w:rPr>
          <w:rFonts w:hint="eastAsia" w:ascii="仿宋" w:hAnsi="仿宋" w:eastAsia="仿宋"/>
          <w:b w:val="0"/>
          <w:bCs w:val="0"/>
          <w:color w:val="000000" w:themeColor="text1"/>
          <w:sz w:val="28"/>
          <w:highlight w:val="none"/>
          <w:lang w:val="en-US" w:eastAsia="zh-CN"/>
          <w14:textFill>
            <w14:solidFill>
              <w14:schemeClr w14:val="tx1"/>
            </w14:solidFill>
          </w14:textFill>
        </w:rPr>
        <w:t>方面，建立科技伦理委员会等专门机构，为推动AI实践提供组织基础；通过阿里巴巴“合规日”活动宣导及公益项目等，</w:t>
      </w:r>
      <w:r>
        <w:rPr>
          <w:rFonts w:hint="eastAsia" w:ascii="仿宋" w:hAnsi="仿宋" w:eastAsia="仿宋" w:cstheme="minorBidi"/>
          <w:color w:val="000000" w:themeColor="text1"/>
          <w:kern w:val="2"/>
          <w:sz w:val="28"/>
          <w:szCs w:val="24"/>
          <w:highlight w:val="none"/>
          <w:lang w:val="en-US" w:eastAsia="zh-CN" w:bidi="ar"/>
          <w14:textFill>
            <w14:solidFill>
              <w14:schemeClr w14:val="tx1"/>
            </w14:solidFill>
          </w14:textFill>
        </w:rPr>
        <w:t>提升员工治理认识，增强</w:t>
      </w:r>
      <w:r>
        <w:rPr>
          <w:rFonts w:hint="eastAsia" w:ascii="仿宋" w:hAnsi="仿宋" w:eastAsia="仿宋" w:cstheme="minorBidi"/>
          <w:b w:val="0"/>
          <w:bCs w:val="0"/>
          <w:color w:val="000000" w:themeColor="text1"/>
          <w:kern w:val="2"/>
          <w:sz w:val="28"/>
          <w:szCs w:val="24"/>
          <w:highlight w:val="none"/>
          <w:lang w:val="en-US" w:eastAsia="zh-CN" w:bidi="ar"/>
          <w14:textFill>
            <w14:solidFill>
              <w14:schemeClr w14:val="tx1"/>
            </w14:solidFill>
          </w14:textFill>
        </w:rPr>
        <w:t>公众</w:t>
      </w:r>
      <w:r>
        <w:rPr>
          <w:rFonts w:hint="eastAsia" w:ascii="仿宋" w:hAnsi="仿宋" w:eastAsia="仿宋" w:cstheme="minorBidi"/>
          <w:color w:val="000000" w:themeColor="text1"/>
          <w:kern w:val="2"/>
          <w:sz w:val="28"/>
          <w:szCs w:val="24"/>
          <w:highlight w:val="none"/>
          <w:lang w:val="en-US" w:eastAsia="zh-CN" w:bidi="ar"/>
          <w14:textFill>
            <w14:solidFill>
              <w14:schemeClr w14:val="tx1"/>
            </w14:solidFill>
          </w14:textFill>
        </w:rPr>
        <w:t>信心</w:t>
      </w:r>
      <w:r>
        <w:rPr>
          <w:rFonts w:hint="eastAsia" w:ascii="仿宋" w:hAnsi="仿宋" w:eastAsia="仿宋"/>
          <w:b w:val="0"/>
          <w:bCs w:val="0"/>
          <w:color w:val="000000" w:themeColor="text1"/>
          <w:sz w:val="28"/>
          <w:highlight w:val="none"/>
          <w:lang w:val="en-US" w:eastAsia="zh-CN"/>
          <w14:textFill>
            <w14:solidFill>
              <w14:schemeClr w14:val="tx1"/>
            </w14:solidFill>
          </w14:textFill>
        </w:rPr>
        <w:t>。</w:t>
      </w:r>
    </w:p>
    <w:p>
      <w:pPr>
        <w:numPr>
          <w:ilvl w:val="-1"/>
          <w:numId w:val="0"/>
        </w:numPr>
        <w:ind w:firstLine="562" w:firstLineChars="20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在影响力方面，</w:t>
      </w:r>
      <w:r>
        <w:rPr>
          <w:rFonts w:hint="eastAsia" w:ascii="仿宋" w:hAnsi="仿宋" w:eastAsia="仿宋"/>
          <w:b w:val="0"/>
          <w:bCs w:val="0"/>
          <w:color w:val="000000" w:themeColor="text1"/>
          <w:sz w:val="28"/>
          <w:highlight w:val="none"/>
          <w:lang w:val="en-US" w:eastAsia="zh-CN"/>
          <w14:textFill>
            <w14:solidFill>
              <w14:schemeClr w14:val="tx1"/>
            </w14:solidFill>
          </w14:textFill>
        </w:rPr>
        <w:t>阿里连续三年发布《大模型技术发展及治理实践报告》，深入分析大模型技术及其应用面临的安全风险，形成了三大发展引擎(公共云、开源生态、高质量数据)+安全架构的治理蓝图，为AI治理提供了可借鉴的方法和路径。参与制定Standard for Evaluation Method of Machine Learning Fairness（机器学习公平性评价方法标准，IEEE P3198）等多项国际标准。</w:t>
      </w:r>
    </w:p>
    <w:p>
      <w:pPr>
        <w:keepNext/>
        <w:keepLines/>
        <w:numPr>
          <w:ilvl w:val="0"/>
          <w:numId w:val="1"/>
        </w:numPr>
        <w:spacing w:before="156" w:beforeLines="50" w:line="360" w:lineRule="auto"/>
        <w:ind w:firstLine="562"/>
        <w:outlineLvl w:val="0"/>
        <w:rPr>
          <w:rFonts w:hint="default"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cstheme="minorBidi"/>
          <w:b/>
          <w:bCs/>
          <w:color w:val="000000" w:themeColor="text1"/>
          <w:kern w:val="2"/>
          <w:sz w:val="28"/>
          <w:szCs w:val="24"/>
          <w:highlight w:val="none"/>
          <w:lang w:val="en-US" w:eastAsia="zh-CN"/>
          <w14:textFill>
            <w14:solidFill>
              <w14:schemeClr w14:val="tx1"/>
            </w14:solidFill>
          </w14:textFill>
        </w:rPr>
        <w:t>启示与建议</w:t>
      </w:r>
    </w:p>
    <w:p>
      <w:pPr>
        <w:ind w:firstLine="56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color w:val="000000" w:themeColor="text1"/>
          <w:sz w:val="28"/>
          <w:highlight w:val="none"/>
          <w:lang w:val="en-US" w:eastAsia="zh-CN"/>
          <w14:textFill>
            <w14:solidFill>
              <w14:schemeClr w14:val="tx1"/>
            </w14:solidFill>
          </w14:textFill>
        </w:rPr>
        <w:t>中国电信高度重视AI治理工作，坚持AI健康发展与AI向善，集团印发《生成式AI信息安全管理工作要求》、《关于印发中国电信生成式AI内容安全测评规范（试行）的通知》等系列文件，组织内部研发机构、安全公司、AI公司等专业公司研发高可信AI模型，积极构建安全防护能力体系；探索建立AI风险识别、评估和处置流程，加紧研发大模型安全评测平台，落实内容安全、数据安全、模型安全和环境安全四维安全考量。</w:t>
      </w:r>
    </w:p>
    <w:p>
      <w:pPr>
        <w:ind w:firstLine="560"/>
        <w:rPr>
          <w:rFonts w:hint="default"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color w:val="000000" w:themeColor="text1"/>
          <w:sz w:val="28"/>
          <w:highlight w:val="none"/>
          <w:lang w:val="en-US" w:eastAsia="zh-CN"/>
          <w14:textFill>
            <w14:solidFill>
              <w14:schemeClr w14:val="tx1"/>
            </w14:solidFill>
          </w14:textFill>
        </w:rPr>
        <w:t>对比国内外AI治理要求，电信在AI治理方面还有一些待完善环节，包括尚未形成体系化的AI治理框架、缺少专门的治理机构；AI治理标准体系、安全应急处置机制和测评机制、大模型分类分级管理、数据安全风险控制等方面需进一步加强。立足电信自身发展需要，借鉴阿里治理经验，提出以下建议：</w:t>
      </w:r>
    </w:p>
    <w:p>
      <w:pPr>
        <w:numPr>
          <w:ilvl w:val="-1"/>
          <w:numId w:val="0"/>
        </w:numPr>
        <w:ind w:firstLine="560" w:firstLineChars="0"/>
        <w:rPr>
          <w:rFonts w:hint="eastAsia"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一是统筹推进AI治理体系建设。</w:t>
      </w:r>
      <w:r>
        <w:rPr>
          <w:rFonts w:hint="eastAsia" w:ascii="仿宋" w:hAnsi="仿宋" w:eastAsia="仿宋"/>
          <w:color w:val="000000" w:themeColor="text1"/>
          <w:sz w:val="28"/>
          <w:highlight w:val="none"/>
          <w:lang w:val="en-US" w:eastAsia="zh-CN"/>
          <w14:textFill>
            <w14:solidFill>
              <w14:schemeClr w14:val="tx1"/>
            </w14:solidFill>
          </w14:textFill>
        </w:rPr>
        <w:t>成立专门的AI治理组织，通过企业自上而下的组织和管理模式，确保治理原则、制度规范和内部规则的一致性与高度协同，明确安全治理的目标和原则，坚持发展和安全并重。建立适宜的治理组织保障机制，制定和完善AI治理相关的制度、原则、规则，统筹推进AI发展与治理工作，确保AI向善。</w:t>
      </w:r>
    </w:p>
    <w:p>
      <w:pPr>
        <w:numPr>
          <w:ilvl w:val="-1"/>
          <w:numId w:val="0"/>
        </w:numPr>
        <w:ind w:firstLine="560"/>
        <w:outlineLvl w:val="9"/>
        <w:rPr>
          <w:rFonts w:hint="default"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二是强化全生命周期AI治理思路。</w:t>
      </w:r>
      <w:r>
        <w:rPr>
          <w:rFonts w:hint="eastAsia" w:ascii="仿宋" w:hAnsi="仿宋" w:eastAsia="仿宋"/>
          <w:color w:val="000000" w:themeColor="text1"/>
          <w:sz w:val="28"/>
          <w:highlight w:val="none"/>
          <w:lang w:val="en-US" w:eastAsia="zh-CN"/>
          <w14:textFill>
            <w14:solidFill>
              <w14:schemeClr w14:val="tx1"/>
            </w14:solidFill>
          </w14:textFill>
        </w:rPr>
        <w:t>将全生命周期AI治理思路严格落实到大模型研发、预训练、开源、微调、部署、备案、运营、废弃等各个环节，通过开展大模型安全测评、加固内容安全围栏能力、建立大模型安全应急处置机制等举措，聚焦技术发展新挑战，保证数据不被泄露、环境安全可靠、应用合法合规、模型不被滥用。技术与管理双管齐下，建立面向监管部门、研发机构、服务提供者、服务使用者等多方参与的，覆盖数据、模型、系统和应用四个维度的安全和治理技术体系。</w:t>
      </w:r>
    </w:p>
    <w:p>
      <w:pPr>
        <w:ind w:firstLine="560"/>
        <w:rPr>
          <w:rFonts w:hint="default" w:ascii="仿宋" w:hAnsi="仿宋" w:eastAsia="仿宋"/>
          <w:color w:val="000000" w:themeColor="text1"/>
          <w:sz w:val="28"/>
          <w:highlight w:val="none"/>
          <w:lang w:val="en-US" w:eastAsia="zh-CN"/>
          <w14:textFill>
            <w14:solidFill>
              <w14:schemeClr w14:val="tx1"/>
            </w14:solidFill>
          </w14:textFill>
        </w:rPr>
      </w:pPr>
      <w:r>
        <w:rPr>
          <w:rFonts w:hint="eastAsia" w:ascii="仿宋" w:hAnsi="仿宋" w:eastAsia="仿宋"/>
          <w:b/>
          <w:bCs/>
          <w:color w:val="000000" w:themeColor="text1"/>
          <w:sz w:val="28"/>
          <w:highlight w:val="none"/>
          <w:lang w:val="en-US" w:eastAsia="zh-CN"/>
          <w14:textFill>
            <w14:solidFill>
              <w14:schemeClr w14:val="tx1"/>
            </w14:solidFill>
          </w14:textFill>
        </w:rPr>
        <w:t>三是拓展AI治理外部生态。</w:t>
      </w:r>
      <w:r>
        <w:rPr>
          <w:rFonts w:hint="eastAsia" w:ascii="仿宋" w:hAnsi="仿宋" w:eastAsia="仿宋"/>
          <w:color w:val="000000" w:themeColor="text1"/>
          <w:sz w:val="28"/>
          <w:highlight w:val="none"/>
          <w:lang w:val="en-US" w:eastAsia="zh-CN"/>
          <w14:textFill>
            <w14:solidFill>
              <w14:schemeClr w14:val="tx1"/>
            </w14:solidFill>
          </w14:textFill>
        </w:rPr>
        <w:t>积极引领AI国际标准制定，提升国际市场竞争力和行业领导地位。结合GSMA全行业负责任的人工智能（RAI）成熟度路线图，运用RAI相关工具，评估自身在负责任地使用AI方面的优势和短板，针对性采取治理措施，积极探索形成最佳治理实践案例并向行业和国际推广，不断提升电信AI治理领域影响力和话语权。</w:t>
      </w:r>
    </w:p>
    <w:p>
      <w:pPr>
        <w:ind w:firstLine="0"/>
        <w:rPr>
          <w:rFonts w:hint="default" w:ascii="仿宋" w:hAnsi="仿宋" w:eastAsia="仿宋"/>
          <w:color w:val="000000" w:themeColor="text1"/>
          <w:sz w:val="28"/>
          <w:highlight w:val="none"/>
          <w:lang w:val="en-US" w:eastAsia="zh-CN"/>
          <w14:textFill>
            <w14:solidFill>
              <w14:schemeClr w14:val="tx1"/>
            </w14:solidFill>
          </w14:textFill>
        </w:rPr>
      </w:pPr>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omic Sans MS">
    <w:panose1 w:val="030F0702030302020204"/>
    <w:charset w:val="00"/>
    <w:family w:val="auto"/>
    <w:pitch w:val="default"/>
    <w:sig w:usb0="00000287" w:usb1="00000013"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pPr>
        <w:pStyle w:val="7"/>
        <w:snapToGrid w:val="0"/>
        <w:rPr>
          <w:rFonts w:hint="eastAsia" w:ascii="仿宋" w:hAnsi="仿宋" w:eastAsia="仿宋" w:cs="仿宋"/>
          <w:sz w:val="15"/>
          <w:szCs w:val="15"/>
        </w:rPr>
      </w:pPr>
      <w:r>
        <w:rPr>
          <w:rStyle w:val="15"/>
          <w:rFonts w:hint="eastAsia" w:ascii="仿宋" w:hAnsi="仿宋" w:eastAsia="仿宋" w:cs="仿宋"/>
          <w:sz w:val="15"/>
          <w:szCs w:val="15"/>
        </w:rPr>
        <w:footnoteRef/>
      </w:r>
      <w:r>
        <w:rPr>
          <w:rFonts w:hint="eastAsia" w:ascii="仿宋" w:hAnsi="仿宋" w:eastAsia="仿宋" w:cs="仿宋"/>
          <w:sz w:val="15"/>
          <w:szCs w:val="15"/>
        </w:rPr>
        <w:t xml:space="preserve"> </w:t>
      </w:r>
      <w:r>
        <w:rPr>
          <w:rFonts w:hint="eastAsia" w:ascii="仿宋" w:hAnsi="仿宋" w:eastAsia="仿宋" w:cs="仿宋"/>
          <w:sz w:val="15"/>
          <w:szCs w:val="15"/>
          <w:lang w:val="en-US" w:eastAsia="zh-CN"/>
        </w:rPr>
        <w:t>GSMA：Global System for Mobile Communications Association‌，全球性的行业组织，专注于移动通信领域，旨在统一移动生态系统，推动创新，为商业环境和社会变革奠定基础。‌</w:t>
      </w:r>
    </w:p>
  </w:footnote>
  <w:footnote w:id="1">
    <w:p>
      <w:pPr>
        <w:pStyle w:val="7"/>
        <w:snapToGrid w:val="0"/>
        <w:rPr>
          <w:rFonts w:hint="eastAsia" w:ascii="仿宋" w:hAnsi="仿宋" w:eastAsia="仿宋" w:cs="仿宋"/>
          <w:sz w:val="15"/>
          <w:szCs w:val="15"/>
        </w:rPr>
      </w:pPr>
      <w:r>
        <w:rPr>
          <w:rStyle w:val="15"/>
          <w:rFonts w:hint="eastAsia" w:ascii="仿宋" w:hAnsi="仿宋" w:eastAsia="仿宋" w:cs="仿宋"/>
          <w:sz w:val="15"/>
          <w:szCs w:val="15"/>
        </w:rPr>
        <w:footnoteRef/>
      </w:r>
      <w:r>
        <w:rPr>
          <w:rFonts w:hint="eastAsia" w:ascii="仿宋" w:hAnsi="仿宋" w:eastAsia="仿宋" w:cs="仿宋"/>
          <w:sz w:val="15"/>
          <w:szCs w:val="15"/>
        </w:rPr>
        <w:t xml:space="preserve"> </w:t>
      </w:r>
      <w:r>
        <w:rPr>
          <w:rFonts w:hint="eastAsia" w:ascii="仿宋" w:hAnsi="仿宋" w:eastAsia="仿宋" w:cs="仿宋"/>
          <w:sz w:val="15"/>
          <w:szCs w:val="15"/>
          <w:lang w:val="en-US" w:eastAsia="zh-CN"/>
        </w:rPr>
        <w:t>成熟度路线图，通过提供工具和指南帮助电信组织来测试和评估其负责任地使用人工智能（AI）的成熟度水平及改进措施。2025年 GSMA 将把该路线图进一步推广至其他行业部门和国际组织，推动其在整个价值链的采用。</w:t>
      </w:r>
    </w:p>
  </w:footnote>
  <w:footnote w:id="2">
    <w:p>
      <w:pPr>
        <w:pStyle w:val="7"/>
        <w:snapToGrid w:val="0"/>
        <w:rPr>
          <w:rFonts w:hint="eastAsia" w:ascii="仿宋" w:hAnsi="仿宋" w:eastAsia="仿宋" w:cs="仿宋"/>
          <w:sz w:val="15"/>
          <w:szCs w:val="15"/>
        </w:rPr>
      </w:pPr>
      <w:r>
        <w:rPr>
          <w:rStyle w:val="15"/>
          <w:rFonts w:hint="eastAsia" w:ascii="仿宋" w:hAnsi="仿宋" w:eastAsia="仿宋" w:cs="仿宋"/>
          <w:sz w:val="15"/>
          <w:szCs w:val="15"/>
        </w:rPr>
        <w:footnoteRef/>
      </w:r>
      <w:r>
        <w:rPr>
          <w:rFonts w:hint="eastAsia" w:ascii="仿宋" w:hAnsi="仿宋" w:eastAsia="仿宋" w:cs="仿宋"/>
          <w:sz w:val="15"/>
          <w:szCs w:val="15"/>
        </w:rPr>
        <w:t xml:space="preserve"> ISO42001认证由国际标准化组织（ISO）和国际电工委员会（IEC）制定，是第一部可认证的人工智能国际管理体系标准。包含开展人工智能类云产品（含模型平台与服务）的研发、测试、运维及服务支持领域。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80F9E"/>
    <w:multiLevelType w:val="singleLevel"/>
    <w:tmpl w:val="CC480F9E"/>
    <w:lvl w:ilvl="0" w:tentative="0">
      <w:start w:val="1"/>
      <w:numFmt w:val="decimal"/>
      <w:suff w:val="nothing"/>
      <w:lvlText w:val="%1．"/>
      <w:lvlJc w:val="left"/>
      <w:pPr>
        <w:ind w:left="0" w:firstLine="400"/>
      </w:pPr>
      <w:rPr>
        <w:rFonts w:hint="default"/>
      </w:rPr>
    </w:lvl>
  </w:abstractNum>
  <w:abstractNum w:abstractNumId="1">
    <w:nsid w:val="09B5239D"/>
    <w:multiLevelType w:val="singleLevel"/>
    <w:tmpl w:val="09B5239D"/>
    <w:lvl w:ilvl="0" w:tentative="0">
      <w:start w:val="1"/>
      <w:numFmt w:val="chineseCounting"/>
      <w:suff w:val="nothing"/>
      <w:lvlText w:val="%1、"/>
      <w:lvlJc w:val="left"/>
      <w:pPr>
        <w:ind w:left="68"/>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E4Mzk2YjliNTc0M2Q5NTQwNjc5MmQxYThhYjkyNTcifQ=="/>
  </w:docVars>
  <w:rsids>
    <w:rsidRoot w:val="5AB029EC"/>
    <w:rsid w:val="000C5F23"/>
    <w:rsid w:val="00105FDB"/>
    <w:rsid w:val="00242E68"/>
    <w:rsid w:val="00392CDF"/>
    <w:rsid w:val="003D721B"/>
    <w:rsid w:val="0044437F"/>
    <w:rsid w:val="004E0863"/>
    <w:rsid w:val="00517E11"/>
    <w:rsid w:val="0052576D"/>
    <w:rsid w:val="00594C93"/>
    <w:rsid w:val="008142EA"/>
    <w:rsid w:val="00825D34"/>
    <w:rsid w:val="00893A7E"/>
    <w:rsid w:val="008F58C6"/>
    <w:rsid w:val="00953F36"/>
    <w:rsid w:val="009843A1"/>
    <w:rsid w:val="00AC4E52"/>
    <w:rsid w:val="00F96E11"/>
    <w:rsid w:val="01450DC1"/>
    <w:rsid w:val="01702DF8"/>
    <w:rsid w:val="018404C4"/>
    <w:rsid w:val="018D561B"/>
    <w:rsid w:val="018F0B1E"/>
    <w:rsid w:val="01B8645F"/>
    <w:rsid w:val="01C979FE"/>
    <w:rsid w:val="02063FE0"/>
    <w:rsid w:val="021C23A2"/>
    <w:rsid w:val="0241242E"/>
    <w:rsid w:val="02855BB3"/>
    <w:rsid w:val="02AF3174"/>
    <w:rsid w:val="02E76B51"/>
    <w:rsid w:val="030E7E36"/>
    <w:rsid w:val="0350044F"/>
    <w:rsid w:val="039B791C"/>
    <w:rsid w:val="03C020B7"/>
    <w:rsid w:val="03C2481F"/>
    <w:rsid w:val="03D14550"/>
    <w:rsid w:val="03FE411B"/>
    <w:rsid w:val="042E69E2"/>
    <w:rsid w:val="04406715"/>
    <w:rsid w:val="0482346B"/>
    <w:rsid w:val="049F5648"/>
    <w:rsid w:val="04A258FF"/>
    <w:rsid w:val="04DC19C4"/>
    <w:rsid w:val="05096B07"/>
    <w:rsid w:val="0512295E"/>
    <w:rsid w:val="05304EB2"/>
    <w:rsid w:val="059E5DC5"/>
    <w:rsid w:val="05E25CD6"/>
    <w:rsid w:val="05F812DD"/>
    <w:rsid w:val="05FD1662"/>
    <w:rsid w:val="061B4495"/>
    <w:rsid w:val="064E6EC7"/>
    <w:rsid w:val="06C04739"/>
    <w:rsid w:val="06D1633E"/>
    <w:rsid w:val="071D4AEC"/>
    <w:rsid w:val="0759609B"/>
    <w:rsid w:val="07601EE6"/>
    <w:rsid w:val="07697D31"/>
    <w:rsid w:val="07707311"/>
    <w:rsid w:val="077446C6"/>
    <w:rsid w:val="07A1396F"/>
    <w:rsid w:val="07E5385B"/>
    <w:rsid w:val="07E9436B"/>
    <w:rsid w:val="07F55F19"/>
    <w:rsid w:val="086B4C5E"/>
    <w:rsid w:val="08BA241B"/>
    <w:rsid w:val="09096893"/>
    <w:rsid w:val="093E2A38"/>
    <w:rsid w:val="09810F23"/>
    <w:rsid w:val="0A334D52"/>
    <w:rsid w:val="0A4C18F1"/>
    <w:rsid w:val="0A67379F"/>
    <w:rsid w:val="0A8D0CF1"/>
    <w:rsid w:val="0AC260D6"/>
    <w:rsid w:val="0B1A381C"/>
    <w:rsid w:val="0B2874A3"/>
    <w:rsid w:val="0B7D32E8"/>
    <w:rsid w:val="0B891F50"/>
    <w:rsid w:val="0B8F617F"/>
    <w:rsid w:val="0B9E269F"/>
    <w:rsid w:val="0BDB4E3C"/>
    <w:rsid w:val="0C0C21B7"/>
    <w:rsid w:val="0C1A2993"/>
    <w:rsid w:val="0CE95576"/>
    <w:rsid w:val="0CFF50CF"/>
    <w:rsid w:val="0D0B3D64"/>
    <w:rsid w:val="0D1F511A"/>
    <w:rsid w:val="0D407866"/>
    <w:rsid w:val="0D781E29"/>
    <w:rsid w:val="0D904B48"/>
    <w:rsid w:val="0DBD3FA2"/>
    <w:rsid w:val="0DD84DFE"/>
    <w:rsid w:val="0DEC78CD"/>
    <w:rsid w:val="0E152FAC"/>
    <w:rsid w:val="0E320E7D"/>
    <w:rsid w:val="0EA8251A"/>
    <w:rsid w:val="0EBB4A47"/>
    <w:rsid w:val="0EDD5107"/>
    <w:rsid w:val="0F164D4D"/>
    <w:rsid w:val="0F467CF1"/>
    <w:rsid w:val="0F476BA1"/>
    <w:rsid w:val="0FB66BBB"/>
    <w:rsid w:val="0FE863E6"/>
    <w:rsid w:val="0FED4DB0"/>
    <w:rsid w:val="10B14AEE"/>
    <w:rsid w:val="10FA61E7"/>
    <w:rsid w:val="113450C7"/>
    <w:rsid w:val="11990174"/>
    <w:rsid w:val="11F428F3"/>
    <w:rsid w:val="11FA7F03"/>
    <w:rsid w:val="120B3EBE"/>
    <w:rsid w:val="120E5E65"/>
    <w:rsid w:val="127C300E"/>
    <w:rsid w:val="12B11C20"/>
    <w:rsid w:val="12E34E3B"/>
    <w:rsid w:val="131555DD"/>
    <w:rsid w:val="131B6178"/>
    <w:rsid w:val="131D046B"/>
    <w:rsid w:val="13337B71"/>
    <w:rsid w:val="133752AE"/>
    <w:rsid w:val="13453BAE"/>
    <w:rsid w:val="13AC7EF0"/>
    <w:rsid w:val="13DB629F"/>
    <w:rsid w:val="13DD2D88"/>
    <w:rsid w:val="143C503F"/>
    <w:rsid w:val="148D47B9"/>
    <w:rsid w:val="14DF2FD3"/>
    <w:rsid w:val="14E9250C"/>
    <w:rsid w:val="14F421F0"/>
    <w:rsid w:val="150D3199"/>
    <w:rsid w:val="15196FAC"/>
    <w:rsid w:val="153B29E4"/>
    <w:rsid w:val="15A1796A"/>
    <w:rsid w:val="15AC6074"/>
    <w:rsid w:val="15C9134E"/>
    <w:rsid w:val="162219DC"/>
    <w:rsid w:val="16F10DB0"/>
    <w:rsid w:val="17A32DEB"/>
    <w:rsid w:val="17CC0594"/>
    <w:rsid w:val="17E603C4"/>
    <w:rsid w:val="18550EF6"/>
    <w:rsid w:val="185760AF"/>
    <w:rsid w:val="185C3885"/>
    <w:rsid w:val="186D15A1"/>
    <w:rsid w:val="18787ADF"/>
    <w:rsid w:val="18C131AB"/>
    <w:rsid w:val="19553A9D"/>
    <w:rsid w:val="198B35AC"/>
    <w:rsid w:val="19A54BF8"/>
    <w:rsid w:val="19B923D5"/>
    <w:rsid w:val="19BE7C49"/>
    <w:rsid w:val="19C679E0"/>
    <w:rsid w:val="19C80559"/>
    <w:rsid w:val="19DB757A"/>
    <w:rsid w:val="19E73463"/>
    <w:rsid w:val="19F15D46"/>
    <w:rsid w:val="1A027439"/>
    <w:rsid w:val="1A1E557F"/>
    <w:rsid w:val="1A5905CD"/>
    <w:rsid w:val="1A8C5A32"/>
    <w:rsid w:val="1A9557B6"/>
    <w:rsid w:val="1AF220BF"/>
    <w:rsid w:val="1B4C5AF8"/>
    <w:rsid w:val="1B5508A0"/>
    <w:rsid w:val="1B7903B5"/>
    <w:rsid w:val="1B7D2083"/>
    <w:rsid w:val="1B8340B2"/>
    <w:rsid w:val="1BA60BBF"/>
    <w:rsid w:val="1BB2184F"/>
    <w:rsid w:val="1BB8267A"/>
    <w:rsid w:val="1BD47334"/>
    <w:rsid w:val="1BDB3120"/>
    <w:rsid w:val="1C092910"/>
    <w:rsid w:val="1C340653"/>
    <w:rsid w:val="1C6E7533"/>
    <w:rsid w:val="1C9B12FC"/>
    <w:rsid w:val="1CE617B0"/>
    <w:rsid w:val="1D145C5F"/>
    <w:rsid w:val="1D34536A"/>
    <w:rsid w:val="1D376F7C"/>
    <w:rsid w:val="1D870000"/>
    <w:rsid w:val="1D99379D"/>
    <w:rsid w:val="1DB033C2"/>
    <w:rsid w:val="1DD46AD2"/>
    <w:rsid w:val="1DF35130"/>
    <w:rsid w:val="1E4922BC"/>
    <w:rsid w:val="1E9811D0"/>
    <w:rsid w:val="1EA44F54"/>
    <w:rsid w:val="1EA57699"/>
    <w:rsid w:val="1EDA01AA"/>
    <w:rsid w:val="1F040613"/>
    <w:rsid w:val="1F1C659B"/>
    <w:rsid w:val="1F1D5B17"/>
    <w:rsid w:val="1F412DA5"/>
    <w:rsid w:val="1F47475D"/>
    <w:rsid w:val="1F542020"/>
    <w:rsid w:val="1F5F4111"/>
    <w:rsid w:val="1F953961"/>
    <w:rsid w:val="20475A9E"/>
    <w:rsid w:val="20702F46"/>
    <w:rsid w:val="20B45481"/>
    <w:rsid w:val="20BA674D"/>
    <w:rsid w:val="20C4005A"/>
    <w:rsid w:val="20CF69FF"/>
    <w:rsid w:val="210A56C3"/>
    <w:rsid w:val="21465528"/>
    <w:rsid w:val="216834DE"/>
    <w:rsid w:val="219E0135"/>
    <w:rsid w:val="21B05C47"/>
    <w:rsid w:val="21B522AE"/>
    <w:rsid w:val="21DB2198"/>
    <w:rsid w:val="21FF4672"/>
    <w:rsid w:val="22106F3E"/>
    <w:rsid w:val="223D0F38"/>
    <w:rsid w:val="2260049A"/>
    <w:rsid w:val="226D64CF"/>
    <w:rsid w:val="22714212"/>
    <w:rsid w:val="227B20A1"/>
    <w:rsid w:val="22A719E1"/>
    <w:rsid w:val="22D401B1"/>
    <w:rsid w:val="22EF3388"/>
    <w:rsid w:val="231879A1"/>
    <w:rsid w:val="23337719"/>
    <w:rsid w:val="23935FE5"/>
    <w:rsid w:val="23AB3BDD"/>
    <w:rsid w:val="23DE18AD"/>
    <w:rsid w:val="23DF51AB"/>
    <w:rsid w:val="23ED78C8"/>
    <w:rsid w:val="240750AB"/>
    <w:rsid w:val="24102138"/>
    <w:rsid w:val="241476FA"/>
    <w:rsid w:val="242E465A"/>
    <w:rsid w:val="24346E74"/>
    <w:rsid w:val="24347C44"/>
    <w:rsid w:val="243C5F02"/>
    <w:rsid w:val="244C41F3"/>
    <w:rsid w:val="24634140"/>
    <w:rsid w:val="248F3BA6"/>
    <w:rsid w:val="249E0AA2"/>
    <w:rsid w:val="24A106B2"/>
    <w:rsid w:val="24B65F0C"/>
    <w:rsid w:val="25313225"/>
    <w:rsid w:val="255B1288"/>
    <w:rsid w:val="256517BD"/>
    <w:rsid w:val="25780405"/>
    <w:rsid w:val="25B2747A"/>
    <w:rsid w:val="25DB004C"/>
    <w:rsid w:val="25DC5E46"/>
    <w:rsid w:val="25E5790C"/>
    <w:rsid w:val="25E60A73"/>
    <w:rsid w:val="25E81A23"/>
    <w:rsid w:val="260C2351"/>
    <w:rsid w:val="261A1293"/>
    <w:rsid w:val="263F01CE"/>
    <w:rsid w:val="26B15C64"/>
    <w:rsid w:val="26DD6DD3"/>
    <w:rsid w:val="27050E90"/>
    <w:rsid w:val="271A7B0E"/>
    <w:rsid w:val="274E77C5"/>
    <w:rsid w:val="27A2302A"/>
    <w:rsid w:val="27BE1DE5"/>
    <w:rsid w:val="27D43C48"/>
    <w:rsid w:val="27DE43F7"/>
    <w:rsid w:val="27E64D5A"/>
    <w:rsid w:val="27F31225"/>
    <w:rsid w:val="280C22E7"/>
    <w:rsid w:val="280D4F46"/>
    <w:rsid w:val="281477E5"/>
    <w:rsid w:val="282E01F3"/>
    <w:rsid w:val="28823561"/>
    <w:rsid w:val="28AD3976"/>
    <w:rsid w:val="28EC1992"/>
    <w:rsid w:val="29214C42"/>
    <w:rsid w:val="292C1B1A"/>
    <w:rsid w:val="29474AEB"/>
    <w:rsid w:val="299F1E59"/>
    <w:rsid w:val="29AA1C13"/>
    <w:rsid w:val="2A895E70"/>
    <w:rsid w:val="2A9226E6"/>
    <w:rsid w:val="2AA2107B"/>
    <w:rsid w:val="2B0E58B3"/>
    <w:rsid w:val="2B1240B8"/>
    <w:rsid w:val="2B401585"/>
    <w:rsid w:val="2B5711AB"/>
    <w:rsid w:val="2B623D8D"/>
    <w:rsid w:val="2B7816DF"/>
    <w:rsid w:val="2B8B43D2"/>
    <w:rsid w:val="2BC96E6C"/>
    <w:rsid w:val="2C1A3467"/>
    <w:rsid w:val="2C293467"/>
    <w:rsid w:val="2C38629A"/>
    <w:rsid w:val="2C7211DD"/>
    <w:rsid w:val="2C9C273B"/>
    <w:rsid w:val="2CB5119F"/>
    <w:rsid w:val="2CCC10DC"/>
    <w:rsid w:val="2CDE5F11"/>
    <w:rsid w:val="2DAC5BF8"/>
    <w:rsid w:val="2DDE4807"/>
    <w:rsid w:val="2DFB7200"/>
    <w:rsid w:val="2E092640"/>
    <w:rsid w:val="2E103922"/>
    <w:rsid w:val="2E462777"/>
    <w:rsid w:val="2E70537D"/>
    <w:rsid w:val="2EEA298A"/>
    <w:rsid w:val="2F02092C"/>
    <w:rsid w:val="2F46489B"/>
    <w:rsid w:val="2FC96724"/>
    <w:rsid w:val="2FCD70FB"/>
    <w:rsid w:val="2FE46D20"/>
    <w:rsid w:val="300C2463"/>
    <w:rsid w:val="30731155"/>
    <w:rsid w:val="309114BF"/>
    <w:rsid w:val="30B20672"/>
    <w:rsid w:val="30DE49BA"/>
    <w:rsid w:val="30F00157"/>
    <w:rsid w:val="310E5794"/>
    <w:rsid w:val="315536FF"/>
    <w:rsid w:val="315B7806"/>
    <w:rsid w:val="315D04A6"/>
    <w:rsid w:val="31713AE0"/>
    <w:rsid w:val="31762896"/>
    <w:rsid w:val="319A2B6E"/>
    <w:rsid w:val="31B27E05"/>
    <w:rsid w:val="31D03048"/>
    <w:rsid w:val="31DE1DEB"/>
    <w:rsid w:val="31E85B72"/>
    <w:rsid w:val="3217438D"/>
    <w:rsid w:val="321A4360"/>
    <w:rsid w:val="32393971"/>
    <w:rsid w:val="325C64B0"/>
    <w:rsid w:val="326064D2"/>
    <w:rsid w:val="32C600DD"/>
    <w:rsid w:val="32EC5E34"/>
    <w:rsid w:val="33226E62"/>
    <w:rsid w:val="33C54FC4"/>
    <w:rsid w:val="343706EB"/>
    <w:rsid w:val="349873DC"/>
    <w:rsid w:val="34BB24A6"/>
    <w:rsid w:val="34BF7E98"/>
    <w:rsid w:val="34D00132"/>
    <w:rsid w:val="34DB1F03"/>
    <w:rsid w:val="34E622D6"/>
    <w:rsid w:val="34E73738"/>
    <w:rsid w:val="35026383"/>
    <w:rsid w:val="351333BE"/>
    <w:rsid w:val="35352E7D"/>
    <w:rsid w:val="359D711A"/>
    <w:rsid w:val="35C87421"/>
    <w:rsid w:val="360F4820"/>
    <w:rsid w:val="361B0154"/>
    <w:rsid w:val="36687282"/>
    <w:rsid w:val="36A743DD"/>
    <w:rsid w:val="36BF604D"/>
    <w:rsid w:val="37433B9D"/>
    <w:rsid w:val="378B382E"/>
    <w:rsid w:val="37D56B99"/>
    <w:rsid w:val="37F457DC"/>
    <w:rsid w:val="38080440"/>
    <w:rsid w:val="381C311D"/>
    <w:rsid w:val="381E1A51"/>
    <w:rsid w:val="385E26EA"/>
    <w:rsid w:val="387371E8"/>
    <w:rsid w:val="38F90BC9"/>
    <w:rsid w:val="38FF4436"/>
    <w:rsid w:val="39006C13"/>
    <w:rsid w:val="394E0F10"/>
    <w:rsid w:val="39736E9C"/>
    <w:rsid w:val="39CA62DC"/>
    <w:rsid w:val="39CB75E0"/>
    <w:rsid w:val="3A0F6DD0"/>
    <w:rsid w:val="3A2636DC"/>
    <w:rsid w:val="3A8A671A"/>
    <w:rsid w:val="3ACA7503"/>
    <w:rsid w:val="3AF173C3"/>
    <w:rsid w:val="3B0357CB"/>
    <w:rsid w:val="3B251BE5"/>
    <w:rsid w:val="3B384904"/>
    <w:rsid w:val="3B494C8F"/>
    <w:rsid w:val="3B6D478E"/>
    <w:rsid w:val="3BCB0EEE"/>
    <w:rsid w:val="3BD41BB4"/>
    <w:rsid w:val="3C103F97"/>
    <w:rsid w:val="3C326368"/>
    <w:rsid w:val="3C8D6DE4"/>
    <w:rsid w:val="3C9C66C4"/>
    <w:rsid w:val="3D2B3E51"/>
    <w:rsid w:val="3D3659E4"/>
    <w:rsid w:val="3D6435C4"/>
    <w:rsid w:val="3D6C4254"/>
    <w:rsid w:val="3D7604D6"/>
    <w:rsid w:val="3D8A7087"/>
    <w:rsid w:val="3DBA6551"/>
    <w:rsid w:val="3DC67DE5"/>
    <w:rsid w:val="3DE96EE1"/>
    <w:rsid w:val="3E133F77"/>
    <w:rsid w:val="3E65226D"/>
    <w:rsid w:val="3E8A2015"/>
    <w:rsid w:val="3EA70758"/>
    <w:rsid w:val="3EB62F71"/>
    <w:rsid w:val="3EBD00BB"/>
    <w:rsid w:val="3EF416A3"/>
    <w:rsid w:val="3F3A29A8"/>
    <w:rsid w:val="3F4C5993"/>
    <w:rsid w:val="3F656A54"/>
    <w:rsid w:val="3F6619C5"/>
    <w:rsid w:val="3F8139FC"/>
    <w:rsid w:val="3F965E62"/>
    <w:rsid w:val="3FE326DE"/>
    <w:rsid w:val="403F0DD0"/>
    <w:rsid w:val="408966EF"/>
    <w:rsid w:val="409C408B"/>
    <w:rsid w:val="40C571E7"/>
    <w:rsid w:val="40D54E75"/>
    <w:rsid w:val="40E90629"/>
    <w:rsid w:val="40ED6414"/>
    <w:rsid w:val="415442A5"/>
    <w:rsid w:val="41780576"/>
    <w:rsid w:val="417F6E70"/>
    <w:rsid w:val="41AF045B"/>
    <w:rsid w:val="41CC5A82"/>
    <w:rsid w:val="41D81760"/>
    <w:rsid w:val="41FC2EA7"/>
    <w:rsid w:val="421E2009"/>
    <w:rsid w:val="427C23A2"/>
    <w:rsid w:val="42C50218"/>
    <w:rsid w:val="42D77239"/>
    <w:rsid w:val="42F52F66"/>
    <w:rsid w:val="432B3B11"/>
    <w:rsid w:val="434D56FC"/>
    <w:rsid w:val="435D4F14"/>
    <w:rsid w:val="43896F34"/>
    <w:rsid w:val="43C03933"/>
    <w:rsid w:val="44235BD6"/>
    <w:rsid w:val="447F62F0"/>
    <w:rsid w:val="44900E56"/>
    <w:rsid w:val="454669E0"/>
    <w:rsid w:val="454E153E"/>
    <w:rsid w:val="45B95404"/>
    <w:rsid w:val="45DE30BD"/>
    <w:rsid w:val="46027484"/>
    <w:rsid w:val="46326F64"/>
    <w:rsid w:val="464078D3"/>
    <w:rsid w:val="46521A6E"/>
    <w:rsid w:val="4668490E"/>
    <w:rsid w:val="467D2532"/>
    <w:rsid w:val="467F03FC"/>
    <w:rsid w:val="468269BA"/>
    <w:rsid w:val="46A4144B"/>
    <w:rsid w:val="46A460B4"/>
    <w:rsid w:val="46EA50E5"/>
    <w:rsid w:val="470D43A0"/>
    <w:rsid w:val="47D44777"/>
    <w:rsid w:val="47EE4D13"/>
    <w:rsid w:val="48112BAA"/>
    <w:rsid w:val="48174852"/>
    <w:rsid w:val="485B1AC3"/>
    <w:rsid w:val="48693111"/>
    <w:rsid w:val="487D7A79"/>
    <w:rsid w:val="49516B58"/>
    <w:rsid w:val="49A62143"/>
    <w:rsid w:val="49B74350"/>
    <w:rsid w:val="49EE0ABB"/>
    <w:rsid w:val="4A702F34"/>
    <w:rsid w:val="4A804742"/>
    <w:rsid w:val="4AF02D81"/>
    <w:rsid w:val="4B0613F2"/>
    <w:rsid w:val="4B3348D0"/>
    <w:rsid w:val="4B3B40FA"/>
    <w:rsid w:val="4B3F6383"/>
    <w:rsid w:val="4B5D4A84"/>
    <w:rsid w:val="4B63653E"/>
    <w:rsid w:val="4B836DB8"/>
    <w:rsid w:val="4BE435FE"/>
    <w:rsid w:val="4BF91492"/>
    <w:rsid w:val="4C031945"/>
    <w:rsid w:val="4C0A4C0B"/>
    <w:rsid w:val="4C1208DA"/>
    <w:rsid w:val="4C1F59F2"/>
    <w:rsid w:val="4C207BF0"/>
    <w:rsid w:val="4C8147A2"/>
    <w:rsid w:val="4CB613E8"/>
    <w:rsid w:val="4D344A7D"/>
    <w:rsid w:val="4D477169"/>
    <w:rsid w:val="4D681722"/>
    <w:rsid w:val="4D6D3115"/>
    <w:rsid w:val="4DA1466C"/>
    <w:rsid w:val="4DD672C1"/>
    <w:rsid w:val="4E2C224E"/>
    <w:rsid w:val="4E376061"/>
    <w:rsid w:val="4E4759F1"/>
    <w:rsid w:val="4E6D2CB8"/>
    <w:rsid w:val="4E834E5B"/>
    <w:rsid w:val="4E93713A"/>
    <w:rsid w:val="4EBB06B4"/>
    <w:rsid w:val="4F171DF0"/>
    <w:rsid w:val="4F255C0E"/>
    <w:rsid w:val="4F5167AE"/>
    <w:rsid w:val="4F53779D"/>
    <w:rsid w:val="4F6273C0"/>
    <w:rsid w:val="50011267"/>
    <w:rsid w:val="50130C0F"/>
    <w:rsid w:val="50151D6F"/>
    <w:rsid w:val="50212524"/>
    <w:rsid w:val="502A158D"/>
    <w:rsid w:val="506503BB"/>
    <w:rsid w:val="50680222"/>
    <w:rsid w:val="5075308D"/>
    <w:rsid w:val="50CA6717"/>
    <w:rsid w:val="51110D0D"/>
    <w:rsid w:val="511F5AA4"/>
    <w:rsid w:val="512C1180"/>
    <w:rsid w:val="51326CC3"/>
    <w:rsid w:val="51527191"/>
    <w:rsid w:val="51C20B31"/>
    <w:rsid w:val="51D13349"/>
    <w:rsid w:val="51EF28F9"/>
    <w:rsid w:val="522B58DB"/>
    <w:rsid w:val="52484A83"/>
    <w:rsid w:val="52635035"/>
    <w:rsid w:val="527618D9"/>
    <w:rsid w:val="52854FEC"/>
    <w:rsid w:val="52B00AE6"/>
    <w:rsid w:val="52D74DF5"/>
    <w:rsid w:val="52ED4D9B"/>
    <w:rsid w:val="52FE4D9E"/>
    <w:rsid w:val="532A0CDB"/>
    <w:rsid w:val="5371346F"/>
    <w:rsid w:val="537D60B6"/>
    <w:rsid w:val="5381780D"/>
    <w:rsid w:val="53994EB3"/>
    <w:rsid w:val="53BB67EB"/>
    <w:rsid w:val="54210D44"/>
    <w:rsid w:val="544C3A5E"/>
    <w:rsid w:val="544C7EE0"/>
    <w:rsid w:val="548553F0"/>
    <w:rsid w:val="54B86B3E"/>
    <w:rsid w:val="54C14C69"/>
    <w:rsid w:val="551B1C37"/>
    <w:rsid w:val="551F1837"/>
    <w:rsid w:val="55746D43"/>
    <w:rsid w:val="55B95219"/>
    <w:rsid w:val="55EB4403"/>
    <w:rsid w:val="560E36BE"/>
    <w:rsid w:val="5613290E"/>
    <w:rsid w:val="564D4072"/>
    <w:rsid w:val="571C2419"/>
    <w:rsid w:val="57435CBA"/>
    <w:rsid w:val="5767596D"/>
    <w:rsid w:val="5774428A"/>
    <w:rsid w:val="5793283F"/>
    <w:rsid w:val="57B059F8"/>
    <w:rsid w:val="57CB57BA"/>
    <w:rsid w:val="580759F7"/>
    <w:rsid w:val="583169AF"/>
    <w:rsid w:val="58337298"/>
    <w:rsid w:val="58690763"/>
    <w:rsid w:val="58D6064E"/>
    <w:rsid w:val="591A203C"/>
    <w:rsid w:val="592A2449"/>
    <w:rsid w:val="59391FA1"/>
    <w:rsid w:val="594D25DB"/>
    <w:rsid w:val="594E3790"/>
    <w:rsid w:val="59622AE1"/>
    <w:rsid w:val="59701E26"/>
    <w:rsid w:val="59B04427"/>
    <w:rsid w:val="59C13ACF"/>
    <w:rsid w:val="59D46859"/>
    <w:rsid w:val="59F62CA4"/>
    <w:rsid w:val="5A025412"/>
    <w:rsid w:val="5A3E3CD2"/>
    <w:rsid w:val="5A576F72"/>
    <w:rsid w:val="5A637F6F"/>
    <w:rsid w:val="5A72006F"/>
    <w:rsid w:val="5A74453C"/>
    <w:rsid w:val="5AB029EC"/>
    <w:rsid w:val="5AB360B1"/>
    <w:rsid w:val="5ADB3CBD"/>
    <w:rsid w:val="5B157129"/>
    <w:rsid w:val="5B771B00"/>
    <w:rsid w:val="5B780C22"/>
    <w:rsid w:val="5B900D83"/>
    <w:rsid w:val="5BB9247F"/>
    <w:rsid w:val="5BDF0A14"/>
    <w:rsid w:val="5C0B238F"/>
    <w:rsid w:val="5C3A25B5"/>
    <w:rsid w:val="5C471564"/>
    <w:rsid w:val="5C4821F4"/>
    <w:rsid w:val="5C580290"/>
    <w:rsid w:val="5C9003EA"/>
    <w:rsid w:val="5CD34356"/>
    <w:rsid w:val="5CD526CC"/>
    <w:rsid w:val="5CF63611"/>
    <w:rsid w:val="5D2A4D65"/>
    <w:rsid w:val="5D464695"/>
    <w:rsid w:val="5D4B2D1B"/>
    <w:rsid w:val="5D4D4958"/>
    <w:rsid w:val="5D72779D"/>
    <w:rsid w:val="5DA44981"/>
    <w:rsid w:val="5DD17A54"/>
    <w:rsid w:val="5DD75377"/>
    <w:rsid w:val="5DF70C36"/>
    <w:rsid w:val="5E082F75"/>
    <w:rsid w:val="5E316028"/>
    <w:rsid w:val="5E56680D"/>
    <w:rsid w:val="5E5879D5"/>
    <w:rsid w:val="5EB9022B"/>
    <w:rsid w:val="5EE92725"/>
    <w:rsid w:val="5EF50B59"/>
    <w:rsid w:val="5F164C85"/>
    <w:rsid w:val="5F267129"/>
    <w:rsid w:val="5F5875E4"/>
    <w:rsid w:val="5F5D7283"/>
    <w:rsid w:val="5FBC509E"/>
    <w:rsid w:val="5FEC2A61"/>
    <w:rsid w:val="60002310"/>
    <w:rsid w:val="600956D4"/>
    <w:rsid w:val="60251BBC"/>
    <w:rsid w:val="607C217C"/>
    <w:rsid w:val="6142619F"/>
    <w:rsid w:val="615074AC"/>
    <w:rsid w:val="61682821"/>
    <w:rsid w:val="61954B1F"/>
    <w:rsid w:val="61A50442"/>
    <w:rsid w:val="61F50A90"/>
    <w:rsid w:val="620A1105"/>
    <w:rsid w:val="621464F7"/>
    <w:rsid w:val="62AA3BC1"/>
    <w:rsid w:val="630D3D17"/>
    <w:rsid w:val="63164E21"/>
    <w:rsid w:val="6318012F"/>
    <w:rsid w:val="63371AD2"/>
    <w:rsid w:val="633D71BB"/>
    <w:rsid w:val="63D44B84"/>
    <w:rsid w:val="642A1C4A"/>
    <w:rsid w:val="646F5052"/>
    <w:rsid w:val="64733A58"/>
    <w:rsid w:val="648107EF"/>
    <w:rsid w:val="64970BAF"/>
    <w:rsid w:val="64A864B1"/>
    <w:rsid w:val="64CD1CA4"/>
    <w:rsid w:val="64D24668"/>
    <w:rsid w:val="64FF0A2F"/>
    <w:rsid w:val="650B58DD"/>
    <w:rsid w:val="654266AF"/>
    <w:rsid w:val="656C52F5"/>
    <w:rsid w:val="657447EF"/>
    <w:rsid w:val="65834F1A"/>
    <w:rsid w:val="658713A2"/>
    <w:rsid w:val="65923EB0"/>
    <w:rsid w:val="659F7D1B"/>
    <w:rsid w:val="65A86053"/>
    <w:rsid w:val="65A90B99"/>
    <w:rsid w:val="65B21C6C"/>
    <w:rsid w:val="65D8322D"/>
    <w:rsid w:val="65E252B4"/>
    <w:rsid w:val="665C6DFC"/>
    <w:rsid w:val="66A065EB"/>
    <w:rsid w:val="66B83C92"/>
    <w:rsid w:val="66E520A5"/>
    <w:rsid w:val="676365AF"/>
    <w:rsid w:val="67673A79"/>
    <w:rsid w:val="6780215A"/>
    <w:rsid w:val="678D429A"/>
    <w:rsid w:val="6793017D"/>
    <w:rsid w:val="67E62186"/>
    <w:rsid w:val="67EA0B8C"/>
    <w:rsid w:val="68785E71"/>
    <w:rsid w:val="68F32BC0"/>
    <w:rsid w:val="68FD3ECC"/>
    <w:rsid w:val="6942304B"/>
    <w:rsid w:val="69486D80"/>
    <w:rsid w:val="694B04B6"/>
    <w:rsid w:val="698520BF"/>
    <w:rsid w:val="69A81DE6"/>
    <w:rsid w:val="69B01E79"/>
    <w:rsid w:val="69C67F6C"/>
    <w:rsid w:val="69CC61E8"/>
    <w:rsid w:val="69CE67A3"/>
    <w:rsid w:val="6A2E6E71"/>
    <w:rsid w:val="6A8B7E5B"/>
    <w:rsid w:val="6AA81989"/>
    <w:rsid w:val="6B2028CD"/>
    <w:rsid w:val="6B32606A"/>
    <w:rsid w:val="6B653436"/>
    <w:rsid w:val="6B6669BA"/>
    <w:rsid w:val="6B770D5D"/>
    <w:rsid w:val="6B794260"/>
    <w:rsid w:val="6B802775"/>
    <w:rsid w:val="6B9D2F4E"/>
    <w:rsid w:val="6BD623FB"/>
    <w:rsid w:val="6C5549B4"/>
    <w:rsid w:val="6C871AB5"/>
    <w:rsid w:val="6CA86ED0"/>
    <w:rsid w:val="6CB40765"/>
    <w:rsid w:val="6CC91389"/>
    <w:rsid w:val="6D0265D8"/>
    <w:rsid w:val="6D565D6F"/>
    <w:rsid w:val="6D611149"/>
    <w:rsid w:val="6DAB79F8"/>
    <w:rsid w:val="6E334459"/>
    <w:rsid w:val="6E503A09"/>
    <w:rsid w:val="6E535698"/>
    <w:rsid w:val="6E621725"/>
    <w:rsid w:val="6F072C88"/>
    <w:rsid w:val="6F11681F"/>
    <w:rsid w:val="6F223CBA"/>
    <w:rsid w:val="6F254514"/>
    <w:rsid w:val="6F5E62B5"/>
    <w:rsid w:val="6F635E50"/>
    <w:rsid w:val="6F94661F"/>
    <w:rsid w:val="6FB67229"/>
    <w:rsid w:val="6FF3296D"/>
    <w:rsid w:val="70E70404"/>
    <w:rsid w:val="712E093E"/>
    <w:rsid w:val="71303A3D"/>
    <w:rsid w:val="714C1B10"/>
    <w:rsid w:val="716952A0"/>
    <w:rsid w:val="71874850"/>
    <w:rsid w:val="71C650B7"/>
    <w:rsid w:val="71E857EE"/>
    <w:rsid w:val="720E0702"/>
    <w:rsid w:val="722E2B52"/>
    <w:rsid w:val="726A16B0"/>
    <w:rsid w:val="728E17FF"/>
    <w:rsid w:val="72A615BC"/>
    <w:rsid w:val="72AB6BB1"/>
    <w:rsid w:val="72B33057"/>
    <w:rsid w:val="72EF2B1D"/>
    <w:rsid w:val="731E2BC7"/>
    <w:rsid w:val="7347064A"/>
    <w:rsid w:val="73B2330F"/>
    <w:rsid w:val="73BA34EB"/>
    <w:rsid w:val="73C550FF"/>
    <w:rsid w:val="73D74B24"/>
    <w:rsid w:val="740A3C13"/>
    <w:rsid w:val="742F6D2D"/>
    <w:rsid w:val="743069AD"/>
    <w:rsid w:val="74987F0D"/>
    <w:rsid w:val="74A4476D"/>
    <w:rsid w:val="74CB6BAB"/>
    <w:rsid w:val="755A5A0C"/>
    <w:rsid w:val="756338A7"/>
    <w:rsid w:val="75687D2E"/>
    <w:rsid w:val="757B56CA"/>
    <w:rsid w:val="7580558E"/>
    <w:rsid w:val="75A63F90"/>
    <w:rsid w:val="75CE2F56"/>
    <w:rsid w:val="75EE2AFF"/>
    <w:rsid w:val="75F57592"/>
    <w:rsid w:val="762C1346"/>
    <w:rsid w:val="7649701C"/>
    <w:rsid w:val="767A306F"/>
    <w:rsid w:val="767C19B2"/>
    <w:rsid w:val="768076F4"/>
    <w:rsid w:val="768C460E"/>
    <w:rsid w:val="76987ECA"/>
    <w:rsid w:val="76B72ED4"/>
    <w:rsid w:val="76CA40F3"/>
    <w:rsid w:val="771D4F43"/>
    <w:rsid w:val="77565351"/>
    <w:rsid w:val="776A3FFF"/>
    <w:rsid w:val="778979A9"/>
    <w:rsid w:val="77D47E28"/>
    <w:rsid w:val="77D62CF0"/>
    <w:rsid w:val="77F42148"/>
    <w:rsid w:val="77FA7033"/>
    <w:rsid w:val="78045370"/>
    <w:rsid w:val="783A77CC"/>
    <w:rsid w:val="784561DA"/>
    <w:rsid w:val="78487861"/>
    <w:rsid w:val="78777631"/>
    <w:rsid w:val="78A1562B"/>
    <w:rsid w:val="78B72619"/>
    <w:rsid w:val="78D45DD0"/>
    <w:rsid w:val="79507314"/>
    <w:rsid w:val="79C54D55"/>
    <w:rsid w:val="79D02741"/>
    <w:rsid w:val="7A2250EE"/>
    <w:rsid w:val="7A676904"/>
    <w:rsid w:val="7AC2652D"/>
    <w:rsid w:val="7AC92660"/>
    <w:rsid w:val="7AD02C89"/>
    <w:rsid w:val="7B034767"/>
    <w:rsid w:val="7B050F64"/>
    <w:rsid w:val="7B1227F8"/>
    <w:rsid w:val="7B246171"/>
    <w:rsid w:val="7B3F45C1"/>
    <w:rsid w:val="7B4414B7"/>
    <w:rsid w:val="7B500EA2"/>
    <w:rsid w:val="7B8A4479"/>
    <w:rsid w:val="7B9642BA"/>
    <w:rsid w:val="7C4F208D"/>
    <w:rsid w:val="7C7A678A"/>
    <w:rsid w:val="7C7B5A7C"/>
    <w:rsid w:val="7CAF7C9B"/>
    <w:rsid w:val="7CE03CED"/>
    <w:rsid w:val="7D000522"/>
    <w:rsid w:val="7D152EC3"/>
    <w:rsid w:val="7D264462"/>
    <w:rsid w:val="7D3A6542"/>
    <w:rsid w:val="7D5316BF"/>
    <w:rsid w:val="7D5D253D"/>
    <w:rsid w:val="7D792BE7"/>
    <w:rsid w:val="7DAA5437"/>
    <w:rsid w:val="7DC50AE8"/>
    <w:rsid w:val="7DD31FFC"/>
    <w:rsid w:val="7DEF3EAB"/>
    <w:rsid w:val="7E0427CB"/>
    <w:rsid w:val="7E9C52C8"/>
    <w:rsid w:val="7E9E07CB"/>
    <w:rsid w:val="7F0569E9"/>
    <w:rsid w:val="7F315A30"/>
    <w:rsid w:val="7F8E22D2"/>
    <w:rsid w:val="7F934D2E"/>
    <w:rsid w:val="7F9D4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alloon Text"/>
    <w:basedOn w:val="1"/>
    <w:link w:val="16"/>
    <w:qFormat/>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qFormat/>
    <w:uiPriority w:val="0"/>
    <w:pPr>
      <w:snapToGrid w:val="0"/>
      <w:jc w:val="left"/>
    </w:pPr>
    <w:rPr>
      <w:sz w:val="18"/>
    </w:rPr>
  </w:style>
  <w:style w:type="paragraph" w:styleId="8">
    <w:name w:val="Normal (Web)"/>
    <w:basedOn w:val="1"/>
    <w:qFormat/>
    <w:uiPriority w:val="0"/>
    <w:pPr>
      <w:spacing w:beforeAutospacing="1" w:afterAutospacing="1"/>
      <w:jc w:val="left"/>
    </w:pPr>
    <w:rPr>
      <w:rFonts w:cs="Times New Roman"/>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mphasis"/>
    <w:basedOn w:val="11"/>
    <w:qFormat/>
    <w:uiPriority w:val="0"/>
    <w:rPr>
      <w:i/>
    </w:rPr>
  </w:style>
  <w:style w:type="character" w:styleId="13">
    <w:name w:val="Hyperlink"/>
    <w:basedOn w:val="11"/>
    <w:qFormat/>
    <w:uiPriority w:val="0"/>
    <w:rPr>
      <w:color w:val="0000FF"/>
      <w:u w:val="single"/>
    </w:rPr>
  </w:style>
  <w:style w:type="character" w:styleId="14">
    <w:name w:val="annotation reference"/>
    <w:basedOn w:val="11"/>
    <w:qFormat/>
    <w:uiPriority w:val="0"/>
    <w:rPr>
      <w:sz w:val="21"/>
      <w:szCs w:val="21"/>
    </w:rPr>
  </w:style>
  <w:style w:type="character" w:styleId="15">
    <w:name w:val="footnote reference"/>
    <w:basedOn w:val="11"/>
    <w:qFormat/>
    <w:uiPriority w:val="0"/>
    <w:rPr>
      <w:vertAlign w:val="superscript"/>
    </w:rPr>
  </w:style>
  <w:style w:type="character" w:customStyle="1" w:styleId="16">
    <w:name w:val="批注框文本 字符"/>
    <w:basedOn w:val="11"/>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中国电信股份有限公司研究院</Company>
  <Pages>7</Pages>
  <Words>3641</Words>
  <Characters>3893</Characters>
  <Lines>25</Lines>
  <Paragraphs>7</Paragraphs>
  <TotalTime>6</TotalTime>
  <ScaleCrop>false</ScaleCrop>
  <LinksUpToDate>false</LinksUpToDate>
  <CharactersWithSpaces>3906</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2024-09-24T00:49:00Z</dcterms:created>
  <dc:creator>HP</dc:creator>
  <cp:lastModifiedBy>HP</cp:lastModifiedBy>
  <dcterms:modified xsi:type="dcterms:W3CDTF">2025-01-17T02:15:18Z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518826D20CED4CF8936018200F0F684A_13</vt:lpwstr>
  </property>
  <property fmtid="{D5CDD505-2E9C-101B-9397-08002B2CF9AE}" pid="4" name="KSOTemplateDocerSaveRecord">
    <vt:lpwstr>eyJoZGlkIjoiMWMzNzFhYmJjM2ZjMTM5MDMyN2Y4ZjhiMjNmYzQ5N2EiLCJ1c2VySWQiOiI0NDY4OTExNjAifQ==</vt:lpwstr>
  </property>
</Properties>
</file>