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BF595">
      <w:pPr>
        <w:jc w:val="center"/>
        <w:rPr>
          <w:rFonts w:hint="eastAsia" w:ascii="宋体" w:hAnsi="宋体" w:eastAsia="宋体" w:cs="宋体"/>
          <w:b/>
          <w:bCs/>
          <w:spacing w:val="5"/>
          <w:sz w:val="28"/>
          <w:szCs w:val="28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spacing w:val="5"/>
          <w:sz w:val="28"/>
          <w:szCs w:val="28"/>
          <w:shd w:val="clear" w:color="auto" w:fill="FFFFFF"/>
        </w:rPr>
        <w:t>从2024珠海航展及低空经济大会看产业发展趋势</w:t>
      </w:r>
    </w:p>
    <w:p w14:paraId="71AE7851">
      <w:pPr>
        <w:jc w:val="center"/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</w:pPr>
    </w:p>
    <w:p w14:paraId="5A236C92">
      <w:pPr>
        <w:ind w:firstLine="580" w:firstLineChars="200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11月，第十五届中国国际航空航天博览会（简称“珠海航展”）圆满落幕。作为全球五大航展之一以及中国最大航展，本届航展的最大亮点是首次设立了低空经济馆。几乎同期，包括全国低空经济年会在内的多场低空经济论坛在各地召开，众多院士专家齐聚，证实了在政策与产业的同频共振下，2024已成为低空经济发展元年。本文结合近期大会热点，总结了当前低空经济发展的三大趋势及两大挑战。</w:t>
      </w:r>
    </w:p>
    <w:p w14:paraId="56DBF554">
      <w:pPr>
        <w:ind w:firstLine="580" w:firstLineChars="200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</w:p>
    <w:p w14:paraId="614BD932"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发展趋势</w:t>
      </w:r>
    </w:p>
    <w:p w14:paraId="19E519F2">
      <w:pPr>
        <w:ind w:firstLine="582" w:firstLineChars="200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趋势一：政策驱动效果显著，多方资本加速涌入将引爆市场潜力。一是中央政策辐射全国，各地加速推动产业落地。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2021年2月“低空经济”概念首次被写入国家规划；2023年中央经济工作会议强调打造低空经济等若干战略性新兴产业；2024年低空经济首次写入《政府工作报告》，此后低空经济被视为新质生产力的代表之一，带动30个省份将发展低空经济写入地方政府工作报告或出台相关政策。珠海航展后，西安、苏州、北京等地相继举行低空经济产业交流大会，共商产业发展蓝图，推进产业加速发展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二是多方资本加速汇聚，市场潜力亟待爆发。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随航展同期举办的“2024第七届无人系统大会暨粤港澳大湾区低空经济产业大会”上，珠海宣布组建目标规模100亿元的低空经济基金群，首期规模15亿元。同时，由于低空经济相关产业在航空业中进入门槛相对较低，正吸引大量民营资本涌入。目前，我国无人机企业过万家，规模以上的无人机企业超过2000多家。</w:t>
      </w:r>
    </w:p>
    <w:p w14:paraId="485EC95E">
      <w:pPr>
        <w:ind w:firstLine="582" w:firstLineChars="200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趋势二：飞行汽车加速向商业化迈进，低空经济已从概念走向落地应用。一是国内外车企争相布局，未来三年飞行汽车有望进入规模化生产阶段。</w:t>
      </w:r>
      <w:r>
        <w:rPr>
          <w:rFonts w:hint="eastAsia" w:ascii="仿宋" w:hAnsi="仿宋" w:eastAsia="仿宋" w:cs="仿宋"/>
          <w:bCs/>
          <w:spacing w:val="5"/>
          <w:sz w:val="28"/>
          <w:szCs w:val="28"/>
          <w:shd w:val="clear" w:color="auto" w:fill="FFFFFF"/>
        </w:rPr>
        <w:t>国内方面，如小鹏汇天、吉利旗下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沃飞长空等均在本次航展展示了其飞行汽车产品，其中小鹏汇天完成了分体式飞行汽车“陆地航母”的全球首次公开飞行；国外方面，丰田汽车11月初宣布已在日本进行了首次飞行汽车的试飞。飞行汽车商业化的前提之一是需要完成适航取证，小鹏汇天、沃飞长空、广汽等均计划于2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025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年底或2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026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年完成型号合格证（TC）等适航证取证。随着主机厂完成取证，未来两到三年，飞行汽车有望迈向量产阶段。</w:t>
      </w:r>
      <w:r>
        <w:rPr>
          <w:rFonts w:hint="eastAsia" w:ascii="仿宋" w:hAnsi="仿宋" w:eastAsia="仿宋" w:cs="仿宋"/>
          <w:b/>
          <w:spacing w:val="5"/>
          <w:sz w:val="28"/>
          <w:szCs w:val="28"/>
          <w:shd w:val="clear" w:color="auto" w:fill="FFFFFF"/>
        </w:rPr>
        <w:t>二是应用场景建设持续推进，飞行汽车加速由探索期进入培育期。</w:t>
      </w:r>
      <w:r>
        <w:rPr>
          <w:rFonts w:hint="eastAsia" w:ascii="仿宋" w:hAnsi="仿宋" w:eastAsia="仿宋" w:cs="仿宋"/>
          <w:bCs/>
          <w:spacing w:val="5"/>
          <w:sz w:val="28"/>
          <w:szCs w:val="28"/>
          <w:shd w:val="clear" w:color="auto" w:fill="FFFFFF"/>
        </w:rPr>
        <w:t>从航展来看，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珠海正规划出更多低空应用场景，如海岛紧急物资配送、跨境无人机运输等。同时，小鹏汇天已完成超110个飞行营地的合作签约，并计划到年底前完成超200个飞行营地的布局，为用户提供限定场景的飞行体验，此外，还持续开发“低空+文旅”等创新应用场景，并与海南省发改委达成深度战略合作，共同打造“飞行汽车应用示范岛”。</w:t>
      </w:r>
    </w:p>
    <w:p w14:paraId="4BBBF89C">
      <w:pPr>
        <w:ind w:firstLine="582" w:firstLineChars="200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趋势三：电子信息制造业发展受益，低空经济有望增强我国产业链话语权。一方面，低空经济有望延伸我国在新能源汽车领域的优势。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我国有望借助完整、成熟、高效的新能源汽车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产业链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推动低空飞行器等终端规模商用。硬件方面，电池、电机、电控占电动航空器成本约50%，新能源汽车三电系统升级后可直接在eVTOL应用。技术方面，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自动驾驶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、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感知算法等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可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为无人机和自动驾驶飞行器提供技术基础。制造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方面，成熟的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汽车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生产和管理体系可有效提高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低空飞行器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生产效率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另一方面，低空经济有望构筑我全球产业链新话语权。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电池性能是制约eVTOL发展的核心因素，我国在高能量密度电池技术方面实现国际领先。当前eVTOL电池能量密度可达285Wh/kg，宁德时代2023年4月发布的凝聚态电池，单体能量密度可高达500Wh/kg，代表国际企业电池水平的新加坡企业麻省固能电芯能量密度400Wh/kg。在商用方面，本次参展的美国企业Joby（全球领先电动垂直起降飞机制造商），其动力电池就由我国企业孚能科技供应。</w:t>
      </w:r>
    </w:p>
    <w:p w14:paraId="2A65458B">
      <w:pPr>
        <w:ind w:firstLine="580" w:firstLineChars="200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</w:p>
    <w:p w14:paraId="23511959"/>
    <w:p w14:paraId="61F2EC39">
      <w:pP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二、重要挑战</w:t>
      </w:r>
    </w:p>
    <w:p w14:paraId="4BCDE7ED">
      <w:pPr>
        <w:ind w:firstLine="582" w:firstLineChars="200"/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挑战一：产业发展碎片化，亟需顶层设计和系统规划。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自低空经济首次提出后，虽然地方政府和产学研各界积极响应，但尚未有系统的规划设计，导致产业发展碎片化。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基础设施方面，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由于各地自行建设充电桩、换电站及其他地面保障设施，导致建设标准不统一、投入进度不一致。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终端应用方面，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为满足不同场景需求、适配不同区域政策，不同厂商研发了各种型号的低空飞行器，导致缺少完整、统一的技术和产品标准，不同飞行器零部件之间难以兼容适配，加大了生产资源浪费和质量管理风险。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政策及法律机制方面，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一方面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我国低空空域管理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起步较晚，缺少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空中交通管理系统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、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冲突避免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机制、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应急救援机制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等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。</w:t>
      </w:r>
      <w:r>
        <w:rPr>
          <w:rFonts w:ascii="Calibri" w:hAnsi="Calibri" w:eastAsia="仿宋" w:cs="Calibri"/>
          <w:spacing w:val="5"/>
          <w:sz w:val="28"/>
          <w:szCs w:val="28"/>
          <w:shd w:val="clear" w:color="auto" w:fill="FFFFFF"/>
        </w:rPr>
        <w:t> 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另一方面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事故发生后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的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责任认定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、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保险机制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、社会认知机制等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相关法律法规还不完善。</w:t>
      </w:r>
    </w:p>
    <w:p w14:paraId="2C51FDD1">
      <w:pPr>
        <w:ind w:firstLine="602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挑战二：部分核心技术突破不足，国产化水平仍待提升。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我国在操作系统、芯片等高端制造领域存在较大挑战。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操作系统方面，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欧美已在高精定位领域具备成熟的产品化能力，可量产生产小型化、高精度的定位、定资系统。由于我国在此领域仍存在技术瓶颈，并受西方国家严密技术封锁影响，导致惯性测量单元（IMU）等性能距国际领先水平差距较大，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部分高端传感器如高精度陀螺仪、磁力计等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国产化率仍处于较低水平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芯片方面，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随着低空经济场景的扩展及与人工智能、自动驾驶等技术的融合应用，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民用无人机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对抗干扰性</w:t>
      </w:r>
      <w:r>
        <w:rPr>
          <w:rFonts w:ascii="仿宋" w:hAnsi="仿宋" w:eastAsia="仿宋" w:cs="仿宋"/>
          <w:spacing w:val="5"/>
          <w:sz w:val="28"/>
          <w:szCs w:val="28"/>
          <w:shd w:val="clear" w:color="auto" w:fill="FFFFFF"/>
        </w:rPr>
        <w:t>、小体积、低功耗</w:t>
      </w:r>
      <w:r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  <w:t>、实时数据处理等的需求日益高涨，对芯片性能提出更高要求。例如无人机通信芯片需具备更高宽带与更低时延，同时需配有AI处理芯片等才能完成智能分析、自动驾驶等任务。然而我国在高端芯片制造领域长期受卡脖子影响，或将影响低空经济高水平发展。</w:t>
      </w:r>
    </w:p>
    <w:p w14:paraId="2E5A830F">
      <w:pPr>
        <w:ind w:firstLine="602"/>
        <w:rPr>
          <w:rFonts w:hint="eastAsia" w:ascii="仿宋" w:hAnsi="仿宋" w:eastAsia="仿宋" w:cs="仿宋"/>
          <w:spacing w:val="5"/>
          <w:sz w:val="28"/>
          <w:szCs w:val="28"/>
          <w:shd w:val="clear" w:color="auto" w:fill="FFFFFF"/>
        </w:rPr>
      </w:pPr>
    </w:p>
    <w:p w14:paraId="7ABFB682">
      <w:pPr>
        <w:rPr>
          <w:rFonts w:hint="eastAsia" w:ascii="仿宋" w:hAnsi="仿宋" w:eastAsia="仿宋" w:cs="仿宋"/>
          <w:b/>
          <w:bCs/>
          <w:color w:val="0000FF"/>
          <w:spacing w:val="5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三、运营商对策建议</w:t>
      </w:r>
    </w:p>
    <w:p w14:paraId="582E2CAA">
      <w:pPr>
        <w:ind w:firstLine="580" w:firstLineChars="200"/>
      </w:pP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运营商作为低空经济基础设施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的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提供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者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应积极承担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5"/>
          <w:sz w:val="28"/>
          <w:szCs w:val="28"/>
          <w:shd w:val="clear" w:color="auto" w:fill="FFFFFF"/>
        </w:rPr>
        <w:t>基础设施建设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5"/>
          <w:sz w:val="28"/>
          <w:szCs w:val="28"/>
          <w:shd w:val="clear" w:color="auto" w:fill="FFFFFF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5"/>
          <w:sz w:val="28"/>
          <w:szCs w:val="28"/>
          <w:shd w:val="clear" w:color="auto" w:fill="FFFFFF"/>
        </w:rPr>
        <w:t>数据服务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5"/>
          <w:sz w:val="28"/>
          <w:szCs w:val="28"/>
          <w:shd w:val="clear" w:color="auto" w:fill="FFFFFF"/>
          <w:lang w:val="en-US" w:eastAsia="zh-CN"/>
        </w:rPr>
        <w:t>保障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5"/>
          <w:sz w:val="28"/>
          <w:szCs w:val="28"/>
          <w:shd w:val="clear" w:color="auto" w:fill="FFFFFF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5"/>
          <w:sz w:val="28"/>
          <w:szCs w:val="28"/>
          <w:shd w:val="clear" w:color="auto" w:fill="FFFFFF"/>
        </w:rPr>
        <w:t>技术创新推动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5"/>
          <w:sz w:val="28"/>
          <w:szCs w:val="28"/>
          <w:shd w:val="clear" w:color="auto" w:fill="FFFFFF"/>
          <w:lang w:val="en-US" w:eastAsia="zh-CN"/>
        </w:rPr>
        <w:t>等责任。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一是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  <w:lang w:val="en-US" w:eastAsia="zh-CN"/>
        </w:rPr>
        <w:t>优化低空智联网基础设施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  <w:lang w:val="en-US" w:eastAsia="zh-CN"/>
        </w:rPr>
        <w:t>一方面</w:t>
      </w:r>
      <w:r>
        <w:rPr>
          <w:rFonts w:hint="eastAsia" w:ascii="仿宋" w:hAnsi="仿宋" w:eastAsia="仿宋" w:cs="仿宋"/>
          <w:b w:val="0"/>
          <w:bCs w:val="0"/>
          <w:spacing w:val="5"/>
          <w:sz w:val="28"/>
          <w:szCs w:val="28"/>
          <w:shd w:val="clear" w:color="auto" w:fill="FFFFFF"/>
          <w:lang w:val="en-US" w:eastAsia="zh-CN"/>
        </w:rPr>
        <w:t>加快 5G、卫星互联网等融合应用，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同时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利用基站建设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及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网络优化经验，针对低空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活动频繁的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区域进行信号覆盖增强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确保上层应用的繁荣发展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  <w:lang w:val="en-US" w:eastAsia="zh-CN"/>
        </w:rPr>
        <w:t>另一方面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积极采用软件定义网络（SDN）、网络功能虚拟化（NFV）等技术，对现有网络进行优化升级，保障智能化空域管理等对低延迟、高带宽的通信需求。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  <w:lang w:val="en-US" w:eastAsia="zh-CN"/>
        </w:rPr>
        <w:t>二是建立安全可靠的低空数据管理系统。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研发先进的数据管理技术，对低空经济数据进行分类存储、备份、维护，为后续数据训练及应用提供保障。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</w:rPr>
        <w:t>是推动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  <w:lang w:val="en-US" w:eastAsia="zh-CN"/>
        </w:rPr>
        <w:t>相关技术创新。一方面</w:t>
      </w:r>
      <w:r>
        <w:rPr>
          <w:rFonts w:hint="eastAsia" w:ascii="仿宋" w:hAnsi="仿宋" w:eastAsia="仿宋" w:cs="仿宋"/>
          <w:b w:val="0"/>
          <w:bCs w:val="0"/>
          <w:spacing w:val="5"/>
          <w:sz w:val="28"/>
          <w:szCs w:val="28"/>
          <w:shd w:val="clear" w:color="auto" w:fill="FFFFFF"/>
          <w:lang w:val="en-US" w:eastAsia="zh-CN"/>
        </w:rPr>
        <w:t>支持空天地设施互联、信息互通的低空智联网技术和标准探索，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与行业内</w:t>
      </w:r>
      <w:bookmarkStart w:id="0" w:name="_GoBack"/>
      <w:bookmarkEnd w:id="0"/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</w:rPr>
        <w:t>企业、科研机构、高校等共同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推动</w:t>
      </w:r>
      <w:r>
        <w:rPr>
          <w:rFonts w:hint="eastAsia" w:ascii="仿宋" w:hAnsi="仿宋" w:eastAsia="仿宋" w:cs="仿宋"/>
          <w:b w:val="0"/>
          <w:bCs w:val="0"/>
          <w:spacing w:val="5"/>
          <w:sz w:val="28"/>
          <w:szCs w:val="28"/>
          <w:shd w:val="clear" w:color="auto" w:fill="FFFFFF"/>
          <w:lang w:val="en-US" w:eastAsia="zh-CN"/>
        </w:rPr>
        <w:t>技术</w:t>
      </w:r>
      <w:r>
        <w:rPr>
          <w:rFonts w:hint="eastAsia" w:ascii="仿宋" w:hAnsi="仿宋" w:eastAsia="仿宋" w:cs="仿宋"/>
          <w:b w:val="0"/>
          <w:bCs w:val="0"/>
          <w:spacing w:val="5"/>
          <w:sz w:val="28"/>
          <w:szCs w:val="28"/>
          <w:shd w:val="clear" w:color="auto" w:fill="FFFFFF"/>
        </w:rPr>
        <w:t>标准</w:t>
      </w:r>
      <w:r>
        <w:rPr>
          <w:rFonts w:hint="eastAsia" w:ascii="仿宋" w:hAnsi="仿宋" w:eastAsia="仿宋" w:cs="仿宋"/>
          <w:b w:val="0"/>
          <w:bCs w:val="0"/>
          <w:spacing w:val="5"/>
          <w:sz w:val="28"/>
          <w:szCs w:val="28"/>
          <w:shd w:val="clear" w:color="auto" w:fill="FFFFFF"/>
          <w:lang w:val="en-US" w:eastAsia="zh-CN"/>
        </w:rPr>
        <w:t>的</w:t>
      </w:r>
      <w:r>
        <w:rPr>
          <w:rFonts w:hint="eastAsia" w:ascii="仿宋" w:hAnsi="仿宋" w:eastAsia="仿宋" w:cs="仿宋"/>
          <w:b w:val="0"/>
          <w:bCs w:val="0"/>
          <w:spacing w:val="5"/>
          <w:sz w:val="28"/>
          <w:szCs w:val="28"/>
          <w:shd w:val="clear" w:color="auto" w:fill="FFFFFF"/>
        </w:rPr>
        <w:t>统一</w:t>
      </w:r>
      <w:r>
        <w:rPr>
          <w:rFonts w:hint="eastAsia" w:ascii="仿宋" w:hAnsi="仿宋" w:eastAsia="仿宋" w:cs="仿宋"/>
          <w:b w:val="0"/>
          <w:bCs w:val="0"/>
          <w:spacing w:val="5"/>
          <w:sz w:val="28"/>
          <w:szCs w:val="28"/>
          <w:shd w:val="clear" w:color="auto" w:fill="FFFFFF"/>
          <w:lang w:val="en-US" w:eastAsia="zh-CN"/>
        </w:rPr>
        <w:t>建设。</w:t>
      </w:r>
      <w:r>
        <w:rPr>
          <w:rFonts w:hint="eastAsia" w:ascii="仿宋" w:hAnsi="仿宋" w:eastAsia="仿宋" w:cs="仿宋"/>
          <w:b/>
          <w:bCs/>
          <w:spacing w:val="5"/>
          <w:sz w:val="28"/>
          <w:szCs w:val="28"/>
          <w:shd w:val="clear" w:color="auto" w:fill="FFFFFF"/>
          <w:lang w:val="en-US" w:eastAsia="zh-CN"/>
        </w:rPr>
        <w:t>另一方面</w:t>
      </w:r>
      <w:r>
        <w:rPr>
          <w:rFonts w:hint="eastAsia" w:ascii="仿宋" w:hAnsi="仿宋" w:eastAsia="仿宋" w:cs="仿宋"/>
          <w:b w:val="0"/>
          <w:spacing w:val="5"/>
          <w:sz w:val="28"/>
          <w:szCs w:val="28"/>
          <w:shd w:val="clear" w:color="auto" w:fill="FFFFFF"/>
          <w:lang w:val="en-US" w:eastAsia="zh-CN"/>
        </w:rPr>
        <w:t>积极探索低空通信技术与人工智能等前沿技术的融合应用，如利用人工智能技术实现自动故障诊断和优化等。</w:t>
      </w:r>
    </w:p>
    <w:p w14:paraId="748A82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0913F"/>
    <w:multiLevelType w:val="singleLevel"/>
    <w:tmpl w:val="A940913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56CBE"/>
    <w:rsid w:val="00140CDB"/>
    <w:rsid w:val="00431CB8"/>
    <w:rsid w:val="004A78E1"/>
    <w:rsid w:val="006206E7"/>
    <w:rsid w:val="006477EA"/>
    <w:rsid w:val="0065107F"/>
    <w:rsid w:val="00731180"/>
    <w:rsid w:val="00926907"/>
    <w:rsid w:val="00E5268A"/>
    <w:rsid w:val="04CB2483"/>
    <w:rsid w:val="110E0ED5"/>
    <w:rsid w:val="13711CAC"/>
    <w:rsid w:val="23B3470E"/>
    <w:rsid w:val="2F456CBE"/>
    <w:rsid w:val="315A546E"/>
    <w:rsid w:val="53F57FE3"/>
    <w:rsid w:val="5E42674A"/>
    <w:rsid w:val="640F3EAC"/>
    <w:rsid w:val="67EE682E"/>
    <w:rsid w:val="6E03785F"/>
    <w:rsid w:val="79C12579"/>
    <w:rsid w:val="7F7A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8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2413</Words>
  <Characters>2499</Characters>
  <Lines>19</Lines>
  <Paragraphs>5</Paragraphs>
  <TotalTime>17</TotalTime>
  <ScaleCrop>false</ScaleCrop>
  <LinksUpToDate>false</LinksUpToDate>
  <CharactersWithSpaces>2500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2024-12-09T07:05:00Z</dcterms:created>
  <dc:creator>赴yue</dc:creator>
  <cp:lastModifiedBy>赴yue</cp:lastModifiedBy>
  <dcterms:modified xsi:type="dcterms:W3CDTF">2024-12-18T09:20:39Z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6CA688D01DDD4589875A50DD15C5BE20_13</vt:lpwstr>
  </property>
</Properties>
</file>