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pPr>
      <w:r>
        <w:rPr>
          <w:rFonts w:hint="eastAsia" w:cs="宋体"/>
          <w:b/>
          <w:bCs/>
          <w:color w:val="auto"/>
          <w:kern w:val="2"/>
          <w:sz w:val="32"/>
          <w:szCs w:val="32"/>
          <w:u w:val="none"/>
          <w:lang w:val="en-US" w:eastAsia="zh-CN" w:bidi="ar-SA"/>
        </w:rPr>
        <w:t>从</w:t>
      </w:r>
      <w:r>
        <w:rPr>
          <w:rFonts w:hint="eastAsia" w:ascii="Times New Roman" w:hAnsi="Times New Roman" w:eastAsia="宋体" w:cs="宋体"/>
          <w:b/>
          <w:bCs/>
          <w:color w:val="auto"/>
          <w:kern w:val="2"/>
          <w:sz w:val="32"/>
          <w:szCs w:val="32"/>
          <w:u w:val="none"/>
          <w:lang w:val="en-US" w:eastAsia="zh-CN" w:bidi="ar-SA"/>
        </w:rPr>
        <w:t>2025年上半年</w:t>
      </w:r>
      <w:r>
        <w:rPr>
          <w:rFonts w:hint="eastAsia" w:cs="宋体"/>
          <w:b/>
          <w:bCs/>
          <w:color w:val="auto"/>
          <w:kern w:val="2"/>
          <w:sz w:val="32"/>
          <w:szCs w:val="32"/>
          <w:u w:val="none"/>
          <w:lang w:val="en-US" w:eastAsia="zh-CN" w:bidi="ar-SA"/>
        </w:rPr>
        <w:t>数据看大模型招投标市场四大特征</w:t>
      </w:r>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r>
        <w:rPr>
          <w:rFonts w:hint="eastAsia" w:ascii="宋体" w:hAnsi="宋体" w:eastAsia="宋体" w:cs="宋体"/>
          <w:b w:val="0"/>
          <w:color w:val="auto"/>
          <w:kern w:val="2"/>
          <w:sz w:val="28"/>
          <w:szCs w:val="28"/>
          <w:u w:val="none"/>
          <w:shd w:val="clear" w:color="auto" w:fill="FFFFFF"/>
          <w:lang w:val="en-US" w:eastAsia="zh-CN" w:bidi="ar"/>
        </w:rPr>
        <w:t>随着国家人工智能发展战略深化落地及大模型技术商用进程加速，大模型招投标市场呈现高速增长。本文</w:t>
      </w:r>
      <w:r>
        <w:rPr>
          <w:rFonts w:hint="eastAsia" w:ascii="宋体" w:hAnsi="宋体" w:cs="宋体"/>
          <w:b w:val="0"/>
          <w:color w:val="auto"/>
          <w:kern w:val="2"/>
          <w:sz w:val="28"/>
          <w:szCs w:val="28"/>
          <w:u w:val="none"/>
          <w:shd w:val="clear" w:color="auto" w:fill="FFFFFF"/>
          <w:lang w:val="en-US" w:eastAsia="zh-CN" w:bidi="ar"/>
        </w:rPr>
        <w:t>围绕</w:t>
      </w:r>
      <w:r>
        <w:rPr>
          <w:rFonts w:hint="eastAsia" w:ascii="宋体" w:hAnsi="宋体" w:eastAsia="宋体" w:cs="宋体"/>
          <w:b w:val="0"/>
          <w:color w:val="auto"/>
          <w:kern w:val="2"/>
          <w:sz w:val="28"/>
          <w:szCs w:val="28"/>
          <w:u w:val="none"/>
          <w:shd w:val="clear" w:color="auto" w:fill="FFFFFF"/>
          <w:lang w:val="en-US" w:eastAsia="zh-CN" w:bidi="ar"/>
        </w:rPr>
        <w:t>2025年上半年大模型相关项目总量、</w:t>
      </w:r>
      <w:r>
        <w:rPr>
          <w:rFonts w:hint="eastAsia" w:ascii="宋体" w:hAnsi="宋体" w:cs="宋体"/>
          <w:b w:val="0"/>
          <w:color w:val="auto"/>
          <w:kern w:val="2"/>
          <w:sz w:val="28"/>
          <w:szCs w:val="28"/>
          <w:u w:val="none"/>
          <w:shd w:val="clear" w:color="auto" w:fill="FFFFFF"/>
          <w:lang w:val="en-US" w:eastAsia="zh-CN" w:bidi="ar"/>
        </w:rPr>
        <w:t>项目金额、</w:t>
      </w:r>
      <w:r>
        <w:rPr>
          <w:rFonts w:hint="eastAsia" w:ascii="宋体" w:hAnsi="宋体" w:eastAsia="宋体" w:cs="宋体"/>
          <w:b w:val="0"/>
          <w:color w:val="auto"/>
          <w:kern w:val="2"/>
          <w:sz w:val="28"/>
          <w:szCs w:val="28"/>
          <w:u w:val="none"/>
          <w:shd w:val="clear" w:color="auto" w:fill="FFFFFF"/>
          <w:lang w:val="en-US" w:eastAsia="zh-CN" w:bidi="ar"/>
        </w:rPr>
        <w:t>行业分布、项目类型、中标厂商等多维度深入研究，给出大模型招投标市场供需两侧的</w:t>
      </w:r>
      <w:r>
        <w:rPr>
          <w:rFonts w:hint="eastAsia" w:ascii="宋体" w:hAnsi="宋体" w:cs="宋体"/>
          <w:b w:val="0"/>
          <w:color w:val="auto"/>
          <w:kern w:val="2"/>
          <w:sz w:val="28"/>
          <w:szCs w:val="28"/>
          <w:u w:val="none"/>
          <w:shd w:val="clear" w:color="auto" w:fill="FFFFFF"/>
          <w:lang w:val="en-US" w:eastAsia="zh-CN" w:bidi="ar"/>
        </w:rPr>
        <w:t>特征分析</w:t>
      </w:r>
      <w:r>
        <w:rPr>
          <w:rFonts w:hint="eastAsia" w:ascii="宋体" w:hAnsi="宋体" w:eastAsia="宋体" w:cs="宋体"/>
          <w:b w:val="0"/>
          <w:color w:val="auto"/>
          <w:kern w:val="2"/>
          <w:sz w:val="28"/>
          <w:szCs w:val="28"/>
          <w:u w:val="none"/>
          <w:shd w:val="clear" w:color="auto" w:fill="FFFFFF"/>
          <w:lang w:val="en-US" w:eastAsia="zh-CN" w:bidi="ar"/>
        </w:rPr>
        <w:t>。</w:t>
      </w:r>
    </w:p>
    <w:p>
      <w:pPr>
        <w:pStyle w:val="2"/>
        <w:keepNext/>
        <w:keepLines/>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（一）需求侧角度</w:t>
      </w:r>
    </w:p>
    <w:p>
      <w:pPr>
        <w:pStyle w:val="3"/>
        <w:pageBreakBefore w:val="0"/>
        <w:widowControl/>
        <w:numPr>
          <w:ilvl w:val="255"/>
          <w:numId w:val="0"/>
        </w:numPr>
        <w:pBdr>
          <w:bottom w:val="none" w:color="auto" w:sz="0" w:space="0"/>
        </w:pBdr>
        <w:kinsoku/>
        <w:wordWrap/>
        <w:overflowPunct/>
        <w:topLinePunct w:val="0"/>
        <w:autoSpaceDE/>
        <w:autoSpaceDN/>
        <w:bidi w:val="0"/>
        <w:adjustRightInd/>
        <w:snapToGrid w:val="0"/>
        <w:spacing w:before="0" w:after="0" w:line="360" w:lineRule="auto"/>
        <w:jc w:val="both"/>
        <w:textAlignment w:val="auto"/>
        <w:rPr>
          <w:rFonts w:hint="eastAsia" w:ascii="宋体" w:hAnsi="宋体" w:eastAsia="宋体" w:cs="宋体"/>
          <w:color w:val="auto"/>
          <w:kern w:val="2"/>
          <w:szCs w:val="22"/>
          <w:highlight w:val="none"/>
          <w:u w:val="none"/>
          <w:lang w:val="en-US" w:eastAsia="zh-CN" w:bidi="ar-SA"/>
        </w:rPr>
      </w:pPr>
      <w:bookmarkStart w:id="0" w:name="heading_0"/>
      <w:r>
        <w:rPr>
          <w:rFonts w:hint="eastAsia" w:ascii="宋体" w:hAnsi="宋体" w:cs="宋体"/>
          <w:color w:val="auto"/>
          <w:kern w:val="2"/>
          <w:szCs w:val="22"/>
          <w:u w:val="none"/>
          <w:lang w:val="en-US" w:eastAsia="zh-CN" w:bidi="ar-SA"/>
        </w:rPr>
        <w:t>特征</w:t>
      </w:r>
      <w:r>
        <w:rPr>
          <w:rFonts w:hint="eastAsia" w:ascii="宋体" w:hAnsi="宋体" w:eastAsia="宋体" w:cs="宋体"/>
          <w:color w:val="auto"/>
          <w:kern w:val="2"/>
          <w:szCs w:val="22"/>
          <w:u w:val="none"/>
          <w:lang w:val="en-US" w:eastAsia="zh-CN" w:bidi="ar-SA"/>
        </w:rPr>
        <w:t>一：大模型招标市场总量跃升，</w:t>
      </w:r>
      <w:r>
        <w:rPr>
          <w:rFonts w:hint="eastAsia" w:ascii="宋体" w:hAnsi="宋体" w:eastAsia="宋体" w:cs="宋体"/>
          <w:color w:val="auto"/>
          <w:kern w:val="2"/>
          <w:szCs w:val="22"/>
          <w:highlight w:val="none"/>
          <w:u w:val="none"/>
          <w:lang w:val="en-US" w:eastAsia="zh-CN" w:bidi="ar-SA"/>
        </w:rPr>
        <w:t>小单项目占比增多</w:t>
      </w:r>
      <w:bookmarkEnd w:id="0"/>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r>
        <w:rPr>
          <w:rFonts w:hint="eastAsia" w:ascii="宋体" w:hAnsi="宋体" w:eastAsia="宋体" w:cs="宋体"/>
          <w:b w:val="0"/>
          <w:color w:val="auto"/>
          <w:kern w:val="2"/>
          <w:sz w:val="28"/>
          <w:szCs w:val="28"/>
          <w:u w:val="none"/>
          <w:shd w:val="clear" w:color="auto" w:fill="FFFFFF"/>
          <w:lang w:val="en-US" w:eastAsia="zh-CN" w:bidi="ar"/>
        </w:rPr>
        <w:t>据统计，2025年上半年招标项目总量达1343个，披露预算金额达36</w:t>
      </w:r>
      <w:r>
        <w:rPr>
          <w:rFonts w:hint="eastAsia" w:ascii="宋体" w:hAnsi="宋体" w:cs="宋体"/>
          <w:b w:val="0"/>
          <w:color w:val="auto"/>
          <w:kern w:val="2"/>
          <w:sz w:val="28"/>
          <w:szCs w:val="28"/>
          <w:u w:val="none"/>
          <w:shd w:val="clear" w:color="auto" w:fill="FFFFFF"/>
          <w:lang w:val="en-US" w:eastAsia="zh-CN" w:bidi="ar"/>
        </w:rPr>
        <w:t>.0亿元</w:t>
      </w:r>
      <w:r>
        <w:rPr>
          <w:rFonts w:hint="eastAsia" w:ascii="宋体" w:hAnsi="宋体" w:eastAsia="宋体" w:cs="宋体"/>
          <w:b w:val="0"/>
          <w:color w:val="auto"/>
          <w:kern w:val="2"/>
          <w:sz w:val="28"/>
          <w:szCs w:val="28"/>
          <w:u w:val="none"/>
          <w:shd w:val="clear" w:color="auto" w:fill="FFFFFF"/>
          <w:lang w:val="en-US" w:eastAsia="zh-CN" w:bidi="ar"/>
        </w:rPr>
        <w:t>，项目规模已达2024年全年89.9%。相较于2024年同期，项目数量激增</w:t>
      </w:r>
      <w:r>
        <w:rPr>
          <w:rFonts w:hint="eastAsia" w:ascii="宋体" w:hAnsi="宋体" w:cs="宋体"/>
          <w:b w:val="0"/>
          <w:color w:val="auto"/>
          <w:kern w:val="2"/>
          <w:sz w:val="28"/>
          <w:szCs w:val="28"/>
          <w:u w:val="none"/>
          <w:shd w:val="clear" w:color="auto" w:fill="FFFFFF"/>
          <w:lang w:val="en-US" w:eastAsia="zh-CN" w:bidi="ar"/>
        </w:rPr>
        <w:t>3.9倍</w:t>
      </w:r>
      <w:r>
        <w:rPr>
          <w:rFonts w:hint="eastAsia" w:ascii="宋体" w:hAnsi="宋体" w:eastAsia="宋体" w:cs="宋体"/>
          <w:b w:val="0"/>
          <w:color w:val="auto"/>
          <w:kern w:val="2"/>
          <w:sz w:val="28"/>
          <w:szCs w:val="28"/>
          <w:u w:val="none"/>
          <w:shd w:val="clear" w:color="auto" w:fill="FFFFFF"/>
          <w:lang w:val="en-US" w:eastAsia="zh-CN" w:bidi="ar"/>
        </w:rPr>
        <w:t>，预算金额增长</w:t>
      </w:r>
      <w:r>
        <w:rPr>
          <w:rFonts w:hint="eastAsia" w:ascii="宋体" w:hAnsi="宋体" w:cs="宋体"/>
          <w:b w:val="0"/>
          <w:color w:val="auto"/>
          <w:kern w:val="2"/>
          <w:sz w:val="28"/>
          <w:szCs w:val="28"/>
          <w:u w:val="none"/>
          <w:shd w:val="clear" w:color="auto" w:fill="FFFFFF"/>
          <w:lang w:val="en-US" w:eastAsia="zh-CN" w:bidi="ar"/>
        </w:rPr>
        <w:t>1.9倍</w:t>
      </w:r>
      <w:r>
        <w:rPr>
          <w:rFonts w:hint="eastAsia" w:ascii="宋体" w:hAnsi="宋体" w:eastAsia="宋体" w:cs="宋体"/>
          <w:b w:val="0"/>
          <w:color w:val="auto"/>
          <w:kern w:val="2"/>
          <w:sz w:val="28"/>
          <w:szCs w:val="28"/>
          <w:u w:val="none"/>
          <w:shd w:val="clear" w:color="auto" w:fill="FFFFFF"/>
          <w:lang w:val="en-US" w:eastAsia="zh-CN" w:bidi="ar"/>
        </w:rPr>
        <w:t>，显示市场实现跨越式扩张</w:t>
      </w:r>
      <w:r>
        <w:rPr>
          <w:rFonts w:hint="eastAsia" w:ascii="宋体" w:hAnsi="宋体" w:cs="宋体"/>
          <w:b w:val="0"/>
          <w:color w:val="auto"/>
          <w:kern w:val="2"/>
          <w:sz w:val="28"/>
          <w:szCs w:val="28"/>
          <w:u w:val="none"/>
          <w:shd w:val="clear" w:color="auto" w:fill="FFFFFF"/>
          <w:lang w:val="en-US" w:eastAsia="zh-CN" w:bidi="ar"/>
        </w:rPr>
        <w:t>。从项目金额区间来看，披露预算金额在100万元及以内的小额项目占据市场主导地位，总占比高达47.5%，且此类项目数量占比呈现上升趋势，从1月31.0%逐步攀升至6月55.1%，反映出大模型招标市场小型项目加速涌现，随着DeepSeek等开源大模型普及，大模型应用技术门槛降低，企业无需千万级预算采购整套解决方案，仅需数十万购买算力或微调服务即可应用，买方市场转向“轻启动”，更多大模型应用场景下沉，推动市场结构从“大额集中”转向“小额广布”。</w:t>
      </w:r>
      <w:r>
        <w:rPr>
          <w:rFonts w:hint="eastAsia" w:ascii="宋体" w:hAnsi="宋体" w:eastAsia="宋体" w:cs="宋体"/>
          <w:b w:val="0"/>
          <w:color w:val="auto"/>
          <w:kern w:val="2"/>
          <w:sz w:val="28"/>
          <w:szCs w:val="28"/>
          <w:u w:val="none"/>
          <w:shd w:val="clear" w:color="auto" w:fill="FFFFFF"/>
          <w:lang w:val="en-US" w:eastAsia="zh-CN" w:bidi="ar"/>
        </w:rPr>
        <w:t>从整体趋势来看，2025年上半年大模型招标市场保持较高活跃度，延续上半年趋势，2025全年招标项目规模有望突破2600个，预算金额</w:t>
      </w:r>
      <w:r>
        <w:rPr>
          <w:rFonts w:hint="eastAsia" w:ascii="宋体" w:hAnsi="宋体" w:cs="宋体"/>
          <w:b w:val="0"/>
          <w:color w:val="auto"/>
          <w:kern w:val="2"/>
          <w:sz w:val="28"/>
          <w:szCs w:val="28"/>
          <w:u w:val="none"/>
          <w:shd w:val="clear" w:color="auto" w:fill="FFFFFF"/>
          <w:lang w:val="en-US" w:eastAsia="zh-CN" w:bidi="ar"/>
        </w:rPr>
        <w:t>有望</w:t>
      </w:r>
      <w:r>
        <w:rPr>
          <w:rFonts w:hint="eastAsia" w:ascii="宋体" w:hAnsi="宋体" w:eastAsia="宋体" w:cs="宋体"/>
          <w:b w:val="0"/>
          <w:color w:val="auto"/>
          <w:kern w:val="2"/>
          <w:sz w:val="28"/>
          <w:szCs w:val="28"/>
          <w:u w:val="none"/>
          <w:shd w:val="clear" w:color="auto" w:fill="FFFFFF"/>
          <w:lang w:val="en-US" w:eastAsia="zh-CN" w:bidi="ar"/>
        </w:rPr>
        <w:t>突破7</w:t>
      </w:r>
      <w:r>
        <w:rPr>
          <w:rFonts w:hint="eastAsia" w:ascii="宋体" w:hAnsi="宋体" w:cs="宋体"/>
          <w:b w:val="0"/>
          <w:color w:val="auto"/>
          <w:kern w:val="2"/>
          <w:sz w:val="28"/>
          <w:szCs w:val="28"/>
          <w:u w:val="none"/>
          <w:shd w:val="clear" w:color="auto" w:fill="FFFFFF"/>
          <w:lang w:val="en-US" w:eastAsia="zh-CN" w:bidi="ar"/>
        </w:rPr>
        <w:t>0</w:t>
      </w:r>
      <w:r>
        <w:rPr>
          <w:rFonts w:hint="eastAsia" w:ascii="宋体" w:hAnsi="宋体" w:eastAsia="宋体" w:cs="宋体"/>
          <w:b w:val="0"/>
          <w:color w:val="auto"/>
          <w:kern w:val="2"/>
          <w:sz w:val="28"/>
          <w:szCs w:val="28"/>
          <w:u w:val="none"/>
          <w:shd w:val="clear" w:color="auto" w:fill="FFFFFF"/>
          <w:lang w:val="en-US" w:eastAsia="zh-CN" w:bidi="ar"/>
        </w:rPr>
        <w:t>亿元。</w:t>
      </w:r>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p>
    <w:p>
      <w:pPr>
        <w:spacing w:before="120" w:after="120" w:line="288" w:lineRule="auto"/>
        <w:ind w:left="0"/>
        <w:jc w:val="center"/>
        <w:rPr>
          <w:rFonts w:hint="eastAsia"/>
        </w:rPr>
      </w:pPr>
      <w:r>
        <w:rPr>
          <w:rFonts w:hint="eastAsia"/>
        </w:rPr>
        <w:t>图1 2024年1月-2025年6月大模型项目招标情况</w:t>
      </w:r>
    </w:p>
    <w:p>
      <w:pPr>
        <w:spacing w:before="0" w:after="0" w:line="240" w:lineRule="auto"/>
        <w:ind w:left="0"/>
        <w:jc w:val="center"/>
        <w:rPr>
          <w:rFonts w:hint="eastAsia"/>
        </w:rPr>
      </w:pPr>
      <w:r>
        <w:drawing>
          <wp:inline distT="0" distB="0" distL="0" distR="0">
            <wp:extent cx="5426075" cy="3067050"/>
            <wp:effectExtent l="0" t="0" r="9525" b="6350"/>
            <wp:docPr id="3"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pic:cNvPicPr>
                      <a:picLocks noChangeAspect="1"/>
                    </pic:cNvPicPr>
                  </pic:nvPicPr>
                  <pic:blipFill>
                    <a:blip r:embed="rId6"/>
                    <a:stretch>
                      <a:fillRect/>
                    </a:stretch>
                  </pic:blipFill>
                  <pic:spPr>
                    <a:xfrm>
                      <a:off x="0" y="0"/>
                      <a:ext cx="5426075" cy="3067050"/>
                    </a:xfrm>
                    <a:prstGeom prst="rect">
                      <a:avLst/>
                    </a:prstGeom>
                  </pic:spPr>
                </pic:pic>
              </a:graphicData>
            </a:graphic>
          </wp:inline>
        </w:drawing>
      </w:r>
    </w:p>
    <w:p>
      <w:pPr>
        <w:pStyle w:val="3"/>
        <w:pageBreakBefore w:val="0"/>
        <w:widowControl/>
        <w:numPr>
          <w:ilvl w:val="255"/>
          <w:numId w:val="0"/>
        </w:numPr>
        <w:pBdr>
          <w:bottom w:val="none" w:color="auto" w:sz="0" w:space="0"/>
        </w:pBdr>
        <w:kinsoku/>
        <w:wordWrap/>
        <w:overflowPunct/>
        <w:topLinePunct w:val="0"/>
        <w:autoSpaceDE/>
        <w:autoSpaceDN/>
        <w:bidi w:val="0"/>
        <w:adjustRightInd/>
        <w:snapToGrid w:val="0"/>
        <w:spacing w:before="0" w:beforeLines="50" w:after="0" w:line="360" w:lineRule="auto"/>
        <w:jc w:val="both"/>
        <w:textAlignment w:val="auto"/>
        <w:rPr>
          <w:rFonts w:hint="eastAsia" w:ascii="宋体" w:hAnsi="宋体" w:eastAsia="宋体" w:cs="宋体"/>
          <w:color w:val="auto"/>
          <w:kern w:val="2"/>
          <w:szCs w:val="22"/>
          <w:u w:val="none"/>
          <w:lang w:val="en-US" w:eastAsia="zh-CN" w:bidi="ar-SA"/>
        </w:rPr>
      </w:pPr>
      <w:bookmarkStart w:id="1" w:name="heading_1"/>
      <w:r>
        <w:rPr>
          <w:rFonts w:hint="eastAsia" w:ascii="宋体" w:hAnsi="宋体" w:cs="宋体"/>
          <w:color w:val="auto"/>
          <w:kern w:val="2"/>
          <w:szCs w:val="22"/>
          <w:u w:val="none"/>
          <w:lang w:val="en-US" w:eastAsia="zh-CN" w:bidi="ar-SA"/>
        </w:rPr>
        <w:t>特征</w:t>
      </w:r>
      <w:r>
        <w:rPr>
          <w:rFonts w:hint="eastAsia" w:ascii="宋体" w:hAnsi="宋体" w:eastAsia="宋体" w:cs="宋体"/>
          <w:color w:val="auto"/>
          <w:kern w:val="2"/>
          <w:szCs w:val="22"/>
          <w:u w:val="none"/>
          <w:lang w:val="en-US" w:eastAsia="zh-CN" w:bidi="ar-SA"/>
        </w:rPr>
        <w:t>二：大模型需求率先在政务等行业爆发，卫健等行业有望加速释放</w:t>
      </w:r>
      <w:bookmarkEnd w:id="1"/>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r>
        <w:rPr>
          <w:rFonts w:hint="eastAsia" w:ascii="宋体" w:hAnsi="宋体" w:eastAsia="宋体" w:cs="宋体"/>
          <w:b w:val="0"/>
          <w:color w:val="auto"/>
          <w:kern w:val="2"/>
          <w:sz w:val="28"/>
          <w:szCs w:val="28"/>
          <w:u w:val="none"/>
          <w:shd w:val="clear" w:color="auto" w:fill="FFFFFF"/>
          <w:lang w:val="en-US" w:eastAsia="zh-CN" w:bidi="ar"/>
        </w:rPr>
        <w:t>政务、金融、教育行业成为大模型需求最为旺盛的三大领域。一方面，顶层政策牵引下，央国企（各地政府机构、大型银行等）率先行动，开展大规模投入加速企业数智化转型，推动2025年上半年政务、金融行业大单频发，项目披露预算金额占比分别位列</w:t>
      </w:r>
      <w:r>
        <w:rPr>
          <w:rFonts w:hint="eastAsia" w:ascii="宋体" w:hAnsi="宋体" w:cs="宋体"/>
          <w:b w:val="0"/>
          <w:color w:val="auto"/>
          <w:kern w:val="2"/>
          <w:sz w:val="28"/>
          <w:szCs w:val="28"/>
          <w:u w:val="none"/>
          <w:shd w:val="clear" w:color="auto" w:fill="FFFFFF"/>
          <w:lang w:val="en-US" w:eastAsia="zh-CN" w:bidi="ar"/>
        </w:rPr>
        <w:t>T</w:t>
      </w:r>
      <w:r>
        <w:rPr>
          <w:rFonts w:hint="eastAsia" w:ascii="宋体" w:hAnsi="宋体" w:eastAsia="宋体" w:cs="宋体"/>
          <w:b w:val="0"/>
          <w:color w:val="auto"/>
          <w:kern w:val="2"/>
          <w:sz w:val="28"/>
          <w:szCs w:val="28"/>
          <w:u w:val="none"/>
          <w:shd w:val="clear" w:color="auto" w:fill="FFFFFF"/>
          <w:lang w:val="en-US" w:eastAsia="zh-CN" w:bidi="ar"/>
        </w:rPr>
        <w:t>op1（17.3%）和</w:t>
      </w:r>
      <w:r>
        <w:rPr>
          <w:rFonts w:hint="eastAsia" w:ascii="宋体" w:hAnsi="宋体" w:cs="宋体"/>
          <w:b w:val="0"/>
          <w:color w:val="auto"/>
          <w:kern w:val="2"/>
          <w:sz w:val="28"/>
          <w:szCs w:val="28"/>
          <w:u w:val="none"/>
          <w:shd w:val="clear" w:color="auto" w:fill="FFFFFF"/>
          <w:lang w:val="en-US" w:eastAsia="zh-CN" w:bidi="ar"/>
        </w:rPr>
        <w:t>T</w:t>
      </w:r>
      <w:r>
        <w:rPr>
          <w:rFonts w:hint="eastAsia" w:ascii="宋体" w:hAnsi="宋体" w:eastAsia="宋体" w:cs="宋体"/>
          <w:b w:val="0"/>
          <w:color w:val="auto"/>
          <w:kern w:val="2"/>
          <w:sz w:val="28"/>
          <w:szCs w:val="28"/>
          <w:u w:val="none"/>
          <w:shd w:val="clear" w:color="auto" w:fill="FFFFFF"/>
          <w:lang w:val="en-US" w:eastAsia="zh-CN" w:bidi="ar"/>
        </w:rPr>
        <w:t>op2（15.6%），且明显超过项目数量占比（分别超出9.8个、4.8个pp）。如北京经开区营商环境建设局发布北京经开区政务大模型服务平台和重点应用场景建设项目（预算金额达4551.3万元）、上海浦发银行发布2025年大模型算力扩容及算力管控能力建设项目（预算金额达3.3亿元）。另一方面，教育行业是大模型项目最活跃的领域，项目数量占比达17.1%，各大高校积极借助大模型优化教学质量及管理水平，但行业需求场景分散，且智能题库、课堂答疑助手等工具无需深度定制，因此单个项目预算偏低，披露预算总金额占比约10.8%。卫健、能源、工业等高风险行业对于模型稳定性和安全性要求较高，项目投入持审慎态度，2025年上半年披露预算总金额占比均不足10%，未来随着大模型推理及多模态等能力持续跃升，模型准确率提升，行业需求有望加速释放。</w:t>
      </w:r>
    </w:p>
    <w:p>
      <w:pPr>
        <w:snapToGrid w:val="0"/>
        <w:spacing w:before="60" w:after="60" w:line="312" w:lineRule="auto"/>
        <w:jc w:val="center"/>
        <w:rPr>
          <w:rFonts w:hint="eastAsia" w:ascii="宋体" w:hAnsi="宋体" w:eastAsia="宋体" w:cs="宋体"/>
          <w:color w:val="auto"/>
          <w:kern w:val="0"/>
          <w:sz w:val="24"/>
          <w:szCs w:val="24"/>
          <w:u w:val="none"/>
          <w:lang w:val="en-US" w:eastAsia="zh-CN" w:bidi="ar-SA"/>
        </w:rPr>
      </w:pPr>
      <w:r>
        <w:rPr>
          <w:rFonts w:hint="eastAsia" w:ascii="宋体" w:hAnsi="宋体" w:eastAsia="宋体" w:cs="宋体"/>
          <w:color w:val="auto"/>
          <w:kern w:val="0"/>
          <w:sz w:val="24"/>
          <w:szCs w:val="24"/>
          <w:u w:val="none"/>
          <w:lang w:val="en-US" w:eastAsia="zh-CN" w:bidi="ar-SA"/>
        </w:rPr>
        <w:t>图2 2025年1-6月大模型累计招标项目行业分布情况</w:t>
      </w:r>
    </w:p>
    <w:p>
      <w:pPr>
        <w:spacing w:before="120" w:after="120" w:line="288" w:lineRule="auto"/>
        <w:ind w:left="0"/>
        <w:jc w:val="center"/>
      </w:pPr>
      <w:r>
        <w:drawing>
          <wp:inline distT="0" distB="0" distL="0" distR="0">
            <wp:extent cx="5257800" cy="3181350"/>
            <wp:effectExtent l="0" t="0" r="0" b="635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81350"/>
                    </a:xfrm>
                    <a:prstGeom prst="rect">
                      <a:avLst/>
                    </a:prstGeom>
                  </pic:spPr>
                </pic:pic>
              </a:graphicData>
            </a:graphic>
          </wp:inline>
        </w:drawing>
      </w:r>
    </w:p>
    <w:p>
      <w:pPr>
        <w:pStyle w:val="2"/>
        <w:keepNext/>
        <w:keepLines/>
        <w:pageBreakBefore w:val="0"/>
        <w:widowControl w:val="0"/>
        <w:kinsoku/>
        <w:wordWrap/>
        <w:overflowPunct/>
        <w:topLinePunct w:val="0"/>
        <w:autoSpaceDE/>
        <w:autoSpaceDN/>
        <w:bidi w:val="0"/>
        <w:adjustRightInd/>
        <w:snapToGrid/>
        <w:spacing w:beforeLines="100" w:line="360" w:lineRule="auto"/>
        <w:textAlignment w:val="auto"/>
        <w:rPr>
          <w:rFonts w:hint="default" w:ascii="宋体" w:hAnsi="宋体" w:eastAsia="宋体" w:cs="宋体"/>
          <w:color w:val="auto"/>
          <w:kern w:val="2"/>
          <w:szCs w:val="22"/>
          <w:u w:val="none"/>
          <w:lang w:val="en-US" w:eastAsia="zh-CN" w:bidi="ar-SA"/>
        </w:rPr>
      </w:pPr>
      <w:bookmarkStart w:id="2" w:name="heading_2"/>
      <w:r>
        <w:rPr>
          <w:rFonts w:hint="eastAsia"/>
          <w:lang w:val="en-US" w:eastAsia="zh-CN"/>
        </w:rPr>
        <w:t>（二）供给侧角度</w:t>
      </w:r>
    </w:p>
    <w:p>
      <w:pPr>
        <w:pStyle w:val="3"/>
        <w:pageBreakBefore w:val="0"/>
        <w:widowControl/>
        <w:numPr>
          <w:ilvl w:val="255"/>
          <w:numId w:val="0"/>
        </w:numPr>
        <w:pBdr>
          <w:bottom w:val="none" w:color="auto" w:sz="0" w:space="0"/>
        </w:pBdr>
        <w:kinsoku/>
        <w:wordWrap/>
        <w:overflowPunct/>
        <w:topLinePunct w:val="0"/>
        <w:autoSpaceDE/>
        <w:autoSpaceDN/>
        <w:bidi w:val="0"/>
        <w:adjustRightInd/>
        <w:snapToGrid w:val="0"/>
        <w:spacing w:before="0" w:after="0" w:line="360" w:lineRule="auto"/>
        <w:jc w:val="both"/>
        <w:textAlignment w:val="auto"/>
        <w:rPr>
          <w:rFonts w:hint="eastAsia" w:ascii="宋体" w:hAnsi="宋体" w:eastAsia="宋体" w:cs="宋体"/>
          <w:color w:val="auto"/>
          <w:kern w:val="2"/>
          <w:szCs w:val="22"/>
          <w:u w:val="none"/>
          <w:lang w:val="en-US" w:eastAsia="zh-CN" w:bidi="ar-SA"/>
        </w:rPr>
      </w:pPr>
      <w:r>
        <w:rPr>
          <w:rFonts w:hint="eastAsia" w:ascii="宋体" w:hAnsi="宋体" w:cs="宋体"/>
          <w:color w:val="auto"/>
          <w:kern w:val="2"/>
          <w:szCs w:val="22"/>
          <w:u w:val="none"/>
          <w:lang w:val="en-US" w:eastAsia="zh-CN" w:bidi="ar-SA"/>
        </w:rPr>
        <w:t>特征</w:t>
      </w:r>
      <w:r>
        <w:rPr>
          <w:rFonts w:hint="eastAsia" w:ascii="宋体" w:hAnsi="宋体" w:eastAsia="宋体" w:cs="宋体"/>
          <w:color w:val="auto"/>
          <w:kern w:val="2"/>
          <w:szCs w:val="22"/>
          <w:u w:val="none"/>
          <w:lang w:val="en-US" w:eastAsia="zh-CN" w:bidi="ar-SA"/>
        </w:rPr>
        <w:t>三：大模型市场重心由“技术竞赛”转向“场景深耕”，算力供给整体保持上行</w:t>
      </w:r>
      <w:bookmarkEnd w:id="2"/>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r>
        <w:rPr>
          <w:rFonts w:hint="eastAsia" w:ascii="宋体" w:hAnsi="宋体" w:eastAsia="宋体" w:cs="宋体"/>
          <w:b w:val="0"/>
          <w:color w:val="auto"/>
          <w:kern w:val="2"/>
          <w:sz w:val="28"/>
          <w:szCs w:val="28"/>
          <w:u w:val="none"/>
          <w:shd w:val="clear" w:color="auto" w:fill="FFFFFF"/>
          <w:lang w:val="en-US" w:eastAsia="zh-CN" w:bidi="ar"/>
        </w:rPr>
        <w:t>一是应用类项目占据主导地位，且将持续领跑中标市场。一方面，2025年上半年应用类项目数量占比维持在40%以上，</w:t>
      </w:r>
      <w:r>
        <w:rPr>
          <w:rFonts w:hint="eastAsia" w:ascii="宋体" w:hAnsi="宋体" w:cs="宋体"/>
          <w:b w:val="0"/>
          <w:color w:val="auto"/>
          <w:kern w:val="2"/>
          <w:sz w:val="28"/>
          <w:szCs w:val="28"/>
          <w:u w:val="none"/>
          <w:shd w:val="clear" w:color="auto" w:fill="FFFFFF"/>
          <w:lang w:val="en-US" w:eastAsia="zh-CN" w:bidi="ar"/>
        </w:rPr>
        <w:t>其中</w:t>
      </w:r>
      <w:r>
        <w:rPr>
          <w:rFonts w:hint="eastAsia" w:ascii="宋体" w:hAnsi="宋体" w:eastAsia="宋体" w:cs="宋体"/>
          <w:b w:val="0"/>
          <w:color w:val="auto"/>
          <w:kern w:val="2"/>
          <w:sz w:val="28"/>
          <w:szCs w:val="28"/>
          <w:u w:val="none"/>
          <w:shd w:val="clear" w:color="auto" w:fill="FFFFFF"/>
          <w:lang w:val="en-US" w:eastAsia="zh-CN" w:bidi="ar"/>
        </w:rPr>
        <w:t>5</w:t>
      </w:r>
      <w:r>
        <w:rPr>
          <w:rFonts w:hint="eastAsia" w:ascii="宋体" w:hAnsi="宋体" w:cs="宋体"/>
          <w:b w:val="0"/>
          <w:color w:val="auto"/>
          <w:kern w:val="2"/>
          <w:sz w:val="28"/>
          <w:szCs w:val="28"/>
          <w:u w:val="none"/>
          <w:shd w:val="clear" w:color="auto" w:fill="FFFFFF"/>
          <w:lang w:val="en-US" w:eastAsia="zh-CN" w:bidi="ar"/>
        </w:rPr>
        <w:t>、</w:t>
      </w:r>
      <w:r>
        <w:rPr>
          <w:rFonts w:hint="eastAsia" w:ascii="宋体" w:hAnsi="宋体" w:eastAsia="宋体" w:cs="宋体"/>
          <w:b w:val="0"/>
          <w:color w:val="auto"/>
          <w:kern w:val="2"/>
          <w:sz w:val="28"/>
          <w:szCs w:val="28"/>
          <w:u w:val="none"/>
          <w:shd w:val="clear" w:color="auto" w:fill="FFFFFF"/>
          <w:lang w:val="en-US" w:eastAsia="zh-CN" w:bidi="ar"/>
        </w:rPr>
        <w:t>6月项目数量优势进一步拉大，占比超过总中标项目数一半。据“智能超参数”统计，具体应用中，知识问答&amp;知识平台、智能审核&amp;决策、智能客服&amp;数字人等满足企业降本增效刚性需求的场景，成为大模型落地最集中的领域。另一方面，大模型类项目进入第二季度以来持续低迷，2025Q2</w:t>
      </w:r>
      <w:r>
        <w:rPr>
          <w:rFonts w:hint="eastAsia" w:ascii="宋体" w:hAnsi="宋体" w:cs="宋体"/>
          <w:b w:val="0"/>
          <w:color w:val="auto"/>
          <w:kern w:val="2"/>
          <w:sz w:val="28"/>
          <w:szCs w:val="28"/>
          <w:u w:val="none"/>
          <w:shd w:val="clear" w:color="auto" w:fill="FFFFFF"/>
          <w:lang w:val="en-US" w:eastAsia="zh-CN" w:bidi="ar"/>
        </w:rPr>
        <w:t>该类</w:t>
      </w:r>
      <w:r>
        <w:rPr>
          <w:rFonts w:hint="eastAsia" w:ascii="宋体" w:hAnsi="宋体" w:eastAsia="宋体" w:cs="宋体"/>
          <w:b w:val="0"/>
          <w:color w:val="auto"/>
          <w:kern w:val="2"/>
          <w:sz w:val="28"/>
          <w:szCs w:val="28"/>
          <w:u w:val="none"/>
          <w:shd w:val="clear" w:color="auto" w:fill="FFFFFF"/>
          <w:lang w:val="en-US" w:eastAsia="zh-CN" w:bidi="ar"/>
        </w:rPr>
        <w:t>项目月均数量占比相比Q1下降14.1个pp，反映出大模型的高研发门槛导致供给侧出现收缩，下半年或将仅少数头部厂商如阿里、字节、腾讯等维持研发。二是算力类项目数量短期内激增，长期将有所回落但整体仍保持上行。DeepSeek、通义千问Qwen等性能领先模型的开源，触发大量算力类采购项目，导致2025年3、4月算力类项目数量激增，占比分别达39.4%和43.1%，随着企业算力资源配置的逐渐完善，5、6月算力类项目增长放缓。未来，伴随应用场景的不断深化，推理侧算力有望进入“常态化消耗”阶段，算力类项目数量占比将维持约30%高位水平。</w:t>
      </w:r>
    </w:p>
    <w:p>
      <w:pPr>
        <w:snapToGrid w:val="0"/>
        <w:spacing w:before="60" w:after="60" w:line="312" w:lineRule="auto"/>
        <w:ind w:left="0"/>
        <w:jc w:val="center"/>
      </w:pPr>
      <w:r>
        <w:rPr>
          <w:rFonts w:hint="eastAsia" w:ascii="宋体" w:hAnsi="宋体" w:eastAsia="宋体" w:cs="宋体"/>
          <w:color w:val="auto"/>
          <w:kern w:val="0"/>
          <w:sz w:val="24"/>
          <w:szCs w:val="24"/>
          <w:u w:val="none"/>
          <w:lang w:val="en-US" w:eastAsia="zh-CN" w:bidi="ar-SA"/>
        </w:rPr>
        <w:t>图3 2025年1-6月大模型中标项目细分类型数量占比</w:t>
      </w:r>
    </w:p>
    <w:p>
      <w:pPr>
        <w:spacing w:before="120" w:after="120" w:line="288" w:lineRule="auto"/>
        <w:ind w:left="0"/>
        <w:jc w:val="center"/>
        <w:rPr>
          <w:rFonts w:hint="eastAsia" w:eastAsia="宋体"/>
          <w:lang w:eastAsia="zh-CN"/>
        </w:rPr>
      </w:pPr>
      <w:r>
        <w:drawing>
          <wp:inline distT="0" distB="0" distL="0" distR="0">
            <wp:extent cx="4296410" cy="3158490"/>
            <wp:effectExtent l="0" t="0" r="8890" b="3810"/>
            <wp:docPr id="8"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2"/>
                    <pic:cNvPicPr>
                      <a:picLocks noChangeAspect="1"/>
                    </pic:cNvPicPr>
                  </pic:nvPicPr>
                  <pic:blipFill>
                    <a:blip r:embed="rId8"/>
                    <a:stretch>
                      <a:fillRect/>
                    </a:stretch>
                  </pic:blipFill>
                  <pic:spPr>
                    <a:xfrm>
                      <a:off x="0" y="0"/>
                      <a:ext cx="4296410" cy="3158490"/>
                    </a:xfrm>
                    <a:prstGeom prst="rect">
                      <a:avLst/>
                    </a:prstGeom>
                  </pic:spPr>
                </pic:pic>
              </a:graphicData>
            </a:graphic>
          </wp:inline>
        </w:drawing>
      </w:r>
    </w:p>
    <w:p>
      <w:pPr>
        <w:pStyle w:val="3"/>
        <w:pageBreakBefore w:val="0"/>
        <w:widowControl/>
        <w:numPr>
          <w:ilvl w:val="255"/>
          <w:numId w:val="0"/>
        </w:numPr>
        <w:pBdr>
          <w:bottom w:val="none" w:color="auto" w:sz="0" w:space="0"/>
        </w:pBdr>
        <w:kinsoku/>
        <w:wordWrap/>
        <w:overflowPunct/>
        <w:topLinePunct w:val="0"/>
        <w:autoSpaceDE/>
        <w:autoSpaceDN/>
        <w:bidi w:val="0"/>
        <w:adjustRightInd/>
        <w:snapToGrid w:val="0"/>
        <w:spacing w:before="0" w:beforeLines="50" w:after="0" w:line="360" w:lineRule="auto"/>
        <w:jc w:val="both"/>
        <w:textAlignment w:val="auto"/>
        <w:rPr>
          <w:rFonts w:hint="eastAsia" w:ascii="宋体" w:hAnsi="宋体" w:eastAsia="宋体" w:cs="宋体"/>
          <w:color w:val="auto"/>
          <w:kern w:val="2"/>
          <w:szCs w:val="22"/>
          <w:u w:val="none"/>
          <w:lang w:val="en-US" w:eastAsia="zh-CN" w:bidi="ar-SA"/>
        </w:rPr>
      </w:pPr>
      <w:bookmarkStart w:id="3" w:name="heading_3"/>
      <w:r>
        <w:rPr>
          <w:rFonts w:hint="eastAsia" w:ascii="宋体" w:hAnsi="宋体" w:cs="宋体"/>
          <w:color w:val="auto"/>
          <w:kern w:val="2"/>
          <w:szCs w:val="22"/>
          <w:u w:val="none"/>
          <w:lang w:val="en-US" w:eastAsia="zh-CN" w:bidi="ar-SA"/>
        </w:rPr>
        <w:t>特征</w:t>
      </w:r>
      <w:r>
        <w:rPr>
          <w:rFonts w:hint="eastAsia" w:ascii="宋体" w:hAnsi="宋体" w:eastAsia="宋体" w:cs="宋体"/>
          <w:color w:val="auto"/>
          <w:kern w:val="2"/>
          <w:szCs w:val="22"/>
          <w:u w:val="none"/>
          <w:lang w:val="en-US" w:eastAsia="zh-CN" w:bidi="ar-SA"/>
        </w:rPr>
        <w:t>四：</w:t>
      </w:r>
      <w:r>
        <w:rPr>
          <w:rFonts w:hint="eastAsia" w:ascii="宋体" w:hAnsi="宋体" w:cs="宋体"/>
          <w:color w:val="auto"/>
          <w:kern w:val="2"/>
          <w:u w:val="none"/>
          <w:lang w:val="en-US" w:eastAsia="zh-CN" w:bidi="ar-SA"/>
        </w:rPr>
        <w:t>运营商依托政企资源实现全域渗透，垂直龙头凭借专业深耕抢占细分高地</w:t>
      </w:r>
      <w:bookmarkEnd w:id="3"/>
    </w:p>
    <w:p>
      <w:pPr>
        <w:keepNext w:val="0"/>
        <w:keepLines w:val="0"/>
        <w:pageBreakBefore w:val="0"/>
        <w:widowControl/>
        <w:pBdr>
          <w:bottom w:val="none" w:color="auto" w:sz="0" w:space="0"/>
        </w:pBdr>
        <w:kinsoku/>
        <w:wordWrap/>
        <w:overflowPunct/>
        <w:topLinePunct w:val="0"/>
        <w:autoSpaceDE/>
        <w:autoSpaceDN/>
        <w:bidi w:val="0"/>
        <w:adjustRightInd/>
        <w:snapToGrid w:val="0"/>
        <w:spacing w:before="60" w:after="60" w:line="360" w:lineRule="auto"/>
        <w:ind w:firstLineChars="200"/>
        <w:jc w:val="both"/>
        <w:textAlignment w:val="auto"/>
        <w:rPr>
          <w:rFonts w:hint="eastAsia" w:ascii="宋体" w:hAnsi="宋体" w:eastAsia="宋体" w:cs="宋体"/>
          <w:b w:val="0"/>
          <w:color w:val="auto"/>
          <w:kern w:val="2"/>
          <w:sz w:val="28"/>
          <w:szCs w:val="28"/>
          <w:u w:val="none"/>
          <w:shd w:val="clear" w:color="auto" w:fill="FFFFFF"/>
          <w:lang w:val="en-US" w:eastAsia="zh-CN" w:bidi="ar"/>
        </w:rPr>
      </w:pPr>
      <w:r>
        <w:rPr>
          <w:rFonts w:hint="eastAsia" w:ascii="宋体" w:hAnsi="宋体" w:eastAsia="宋体" w:cs="宋体"/>
          <w:b w:val="0"/>
          <w:color w:val="auto"/>
          <w:kern w:val="2"/>
          <w:sz w:val="28"/>
          <w:szCs w:val="28"/>
          <w:u w:val="none"/>
          <w:shd w:val="clear" w:color="auto" w:fill="FFFFFF"/>
          <w:lang w:val="en-US" w:eastAsia="zh-CN" w:bidi="ar"/>
        </w:rPr>
        <w:t>一是运营商阵营依托政企资源整合能力与技术积淀，在多个领域展现强参与度。中</w:t>
      </w:r>
      <w:bookmarkStart w:id="4" w:name="_GoBack"/>
      <w:bookmarkEnd w:id="4"/>
      <w:r>
        <w:rPr>
          <w:rFonts w:hint="eastAsia" w:ascii="宋体" w:hAnsi="宋体" w:eastAsia="宋体" w:cs="宋体"/>
          <w:b w:val="0"/>
          <w:color w:val="auto"/>
          <w:kern w:val="2"/>
          <w:sz w:val="28"/>
          <w:szCs w:val="28"/>
          <w:u w:val="none"/>
          <w:shd w:val="clear" w:color="auto" w:fill="FFFFFF"/>
          <w:lang w:val="en-US" w:eastAsia="zh-CN" w:bidi="ar"/>
        </w:rPr>
        <w:t>国电信、中国移动、中国联通合计中标数量占市场总量13.7%，中标金额</w:t>
      </w:r>
      <w:r>
        <w:rPr>
          <w:rFonts w:hint="eastAsia" w:ascii="宋体" w:hAnsi="宋体" w:cs="宋体"/>
          <w:b w:val="0"/>
          <w:color w:val="auto"/>
          <w:kern w:val="2"/>
          <w:sz w:val="28"/>
          <w:szCs w:val="28"/>
          <w:u w:val="none"/>
          <w:shd w:val="clear" w:color="auto" w:fill="FFFFFF"/>
          <w:lang w:val="en-US" w:eastAsia="zh-CN" w:bidi="ar"/>
        </w:rPr>
        <w:t>占比</w:t>
      </w:r>
      <w:r>
        <w:rPr>
          <w:rFonts w:hint="eastAsia" w:ascii="宋体" w:hAnsi="宋体" w:eastAsia="宋体" w:cs="宋体"/>
          <w:b w:val="0"/>
          <w:color w:val="auto"/>
          <w:kern w:val="2"/>
          <w:sz w:val="28"/>
          <w:szCs w:val="28"/>
          <w:u w:val="none"/>
          <w:shd w:val="clear" w:color="auto" w:fill="FFFFFF"/>
          <w:lang w:val="en-US" w:eastAsia="zh-CN" w:bidi="ar"/>
        </w:rPr>
        <w:t>13.4%，其中中国电信</w:t>
      </w:r>
      <w:r>
        <w:rPr>
          <w:rFonts w:hint="eastAsia" w:ascii="宋体" w:hAnsi="宋体" w:cs="宋体"/>
          <w:b w:val="0"/>
          <w:color w:val="auto"/>
          <w:kern w:val="2"/>
          <w:sz w:val="28"/>
          <w:szCs w:val="28"/>
          <w:u w:val="none"/>
          <w:shd w:val="clear" w:color="auto" w:fill="FFFFFF"/>
          <w:lang w:val="en-US" w:eastAsia="zh-CN" w:bidi="ar"/>
        </w:rPr>
        <w:t>主要</w:t>
      </w:r>
      <w:r>
        <w:rPr>
          <w:rFonts w:hint="eastAsia" w:ascii="宋体" w:hAnsi="宋体" w:eastAsia="宋体" w:cs="宋体"/>
          <w:b w:val="0"/>
          <w:color w:val="auto"/>
          <w:kern w:val="2"/>
          <w:sz w:val="28"/>
          <w:szCs w:val="28"/>
          <w:u w:val="none"/>
          <w:shd w:val="clear" w:color="auto" w:fill="FFFFFF"/>
          <w:lang w:val="en-US" w:eastAsia="zh-CN" w:bidi="ar"/>
        </w:rPr>
        <w:t>在要客、信息技术、通信、教育领域表现突出，中标金额位居行业前列</w:t>
      </w:r>
      <w:r>
        <w:rPr>
          <w:rFonts w:hint="eastAsia" w:ascii="宋体" w:hAnsi="宋体" w:cs="宋体"/>
          <w:b w:val="0"/>
          <w:color w:val="auto"/>
          <w:kern w:val="2"/>
          <w:sz w:val="28"/>
          <w:szCs w:val="28"/>
          <w:u w:val="none"/>
          <w:shd w:val="clear" w:color="auto" w:fill="FFFFFF"/>
          <w:lang w:val="en-US" w:eastAsia="zh-CN" w:bidi="ar"/>
        </w:rPr>
        <w:t>；</w:t>
      </w:r>
      <w:r>
        <w:rPr>
          <w:rFonts w:hint="eastAsia" w:ascii="宋体" w:hAnsi="宋体" w:eastAsia="宋体" w:cs="宋体"/>
          <w:b w:val="0"/>
          <w:color w:val="auto"/>
          <w:kern w:val="2"/>
          <w:sz w:val="28"/>
          <w:szCs w:val="28"/>
          <w:u w:val="none"/>
          <w:shd w:val="clear" w:color="auto" w:fill="FFFFFF"/>
          <w:lang w:val="en-US" w:eastAsia="zh-CN" w:bidi="ar"/>
        </w:rPr>
        <w:t>中国移动则在工业、交通物流、卫健、政法公安、政企、住建等领域多点开花</w:t>
      </w:r>
      <w:r>
        <w:rPr>
          <w:rFonts w:hint="eastAsia" w:ascii="宋体" w:hAnsi="宋体" w:cs="宋体"/>
          <w:b w:val="0"/>
          <w:color w:val="auto"/>
          <w:kern w:val="2"/>
          <w:sz w:val="28"/>
          <w:szCs w:val="28"/>
          <w:u w:val="none"/>
          <w:shd w:val="clear" w:color="auto" w:fill="FFFFFF"/>
          <w:lang w:val="en-US" w:eastAsia="zh-CN" w:bidi="ar"/>
        </w:rPr>
        <w:t>；</w:t>
      </w:r>
      <w:r>
        <w:rPr>
          <w:rFonts w:hint="eastAsia" w:ascii="宋体" w:hAnsi="宋体" w:eastAsia="宋体" w:cs="宋体"/>
          <w:b w:val="0"/>
          <w:color w:val="auto"/>
          <w:kern w:val="2"/>
          <w:sz w:val="28"/>
          <w:szCs w:val="28"/>
          <w:u w:val="none"/>
          <w:shd w:val="clear" w:color="auto" w:fill="FFFFFF"/>
          <w:lang w:val="en-US" w:eastAsia="zh-CN" w:bidi="ar"/>
        </w:rPr>
        <w:t>中国联通虽中标数量相对较少，但凭借政务领域1730万元订单强化政务市场渗透率。二是技术厂商及传统龙头企业通过垂直深耕实现专业化突围。中国能建以单一8.23亿元项目（人工智能大模型智算中心配套新能源基建）强势登顶</w:t>
      </w:r>
      <w:r>
        <w:rPr>
          <w:rFonts w:hint="eastAsia" w:ascii="宋体" w:hAnsi="宋体" w:cs="宋体"/>
          <w:b w:val="0"/>
          <w:color w:val="auto"/>
          <w:kern w:val="2"/>
          <w:sz w:val="28"/>
          <w:szCs w:val="28"/>
          <w:u w:val="none"/>
          <w:shd w:val="clear" w:color="auto" w:fill="FFFFFF"/>
          <w:lang w:val="en-US" w:eastAsia="zh-CN" w:bidi="ar"/>
        </w:rPr>
        <w:t>；</w:t>
      </w:r>
      <w:r>
        <w:rPr>
          <w:rFonts w:hint="eastAsia" w:ascii="宋体" w:hAnsi="宋体" w:eastAsia="宋体" w:cs="宋体"/>
          <w:b w:val="0"/>
          <w:color w:val="auto"/>
          <w:kern w:val="2"/>
          <w:sz w:val="28"/>
          <w:szCs w:val="28"/>
          <w:u w:val="none"/>
          <w:shd w:val="clear" w:color="auto" w:fill="FFFFFF"/>
          <w:lang w:val="en-US" w:eastAsia="zh-CN" w:bidi="ar"/>
        </w:rPr>
        <w:t>字节跳动以2708.8万中标金额领跑商客领域，智谱华章耕细互联网（占比67.8%）及住建领域（占比46.0%），阿里系在文宣（占比57.9%）、浪潮系在政法公安（占比33.8%）、科大讯飞在交通物流（占比18.7%）、华为在应急（占比12.6%）领域表现亮眼，形成差异化优势。未来运营商或将持续强化大模型服务能力，通过资源整合巩固全域覆盖优势，技术厂商和传统龙头企业则有望凭借其特定领域的专业优势，持续扩大细分市场份额。</w:t>
      </w:r>
    </w:p>
    <w:p>
      <w:pPr>
        <w:snapToGrid w:val="0"/>
        <w:spacing w:before="60" w:after="60" w:line="312" w:lineRule="auto"/>
        <w:ind w:left="0"/>
        <w:jc w:val="center"/>
      </w:pPr>
      <w:r>
        <w:rPr>
          <w:rFonts w:hint="eastAsia" w:ascii="宋体" w:hAnsi="宋体" w:cs="宋体"/>
          <w:color w:val="auto"/>
          <w:kern w:val="0"/>
          <w:sz w:val="24"/>
          <w:szCs w:val="24"/>
          <w:u w:val="none"/>
          <w:lang w:val="en-US" w:eastAsia="zh-CN" w:bidi="ar-SA"/>
        </w:rPr>
        <w:t>表1</w:t>
      </w:r>
      <w:r>
        <w:rPr>
          <w:rFonts w:hint="eastAsia" w:ascii="宋体" w:hAnsi="宋体" w:eastAsia="宋体" w:cs="宋体"/>
          <w:color w:val="auto"/>
          <w:kern w:val="0"/>
          <w:sz w:val="24"/>
          <w:szCs w:val="24"/>
          <w:u w:val="none"/>
          <w:lang w:val="en-US" w:eastAsia="zh-CN" w:bidi="ar-SA"/>
        </w:rPr>
        <w:t xml:space="preserve"> 2025年1-6月头部企业在不同行业中累计中标金额占比</w:t>
      </w:r>
    </w:p>
    <w:p>
      <w:pPr>
        <w:spacing w:before="120" w:after="120" w:line="288" w:lineRule="auto"/>
        <w:ind w:left="0"/>
        <w:jc w:val="center"/>
      </w:pPr>
      <w:r>
        <w:drawing>
          <wp:inline distT="0" distB="0" distL="0" distR="0">
            <wp:extent cx="5257800" cy="1828800"/>
            <wp:effectExtent l="0" t="0" r="0" b="0"/>
            <wp:docPr id="6"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3"/>
                    <pic:cNvPicPr>
                      <a:picLocks noChangeAspect="1"/>
                    </pic:cNvPicPr>
                  </pic:nvPicPr>
                  <pic:blipFill>
                    <a:blip r:embed="rId9"/>
                    <a:stretch>
                      <a:fillRect/>
                    </a:stretch>
                  </pic:blipFill>
                  <pic:spPr>
                    <a:xfrm>
                      <a:off x="0" y="0"/>
                      <a:ext cx="5257800" cy="1828800"/>
                    </a:xfrm>
                    <a:prstGeom prst="rect">
                      <a:avLst/>
                    </a:prstGeom>
                  </pic:spPr>
                </pic:pic>
              </a:graphicData>
            </a:graphic>
          </wp:inline>
        </w:draw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753AB"/>
    <w:rsid w:val="03E56E68"/>
    <w:rsid w:val="04282995"/>
    <w:rsid w:val="06E415DA"/>
    <w:rsid w:val="074D2A37"/>
    <w:rsid w:val="09DE2E28"/>
    <w:rsid w:val="108C3FFF"/>
    <w:rsid w:val="14784BD2"/>
    <w:rsid w:val="19353B15"/>
    <w:rsid w:val="1A4336F6"/>
    <w:rsid w:val="1DF64BBA"/>
    <w:rsid w:val="26ED3CAD"/>
    <w:rsid w:val="297A3E18"/>
    <w:rsid w:val="2CAA74D3"/>
    <w:rsid w:val="31280C7F"/>
    <w:rsid w:val="336A3C60"/>
    <w:rsid w:val="34235B30"/>
    <w:rsid w:val="351D66ED"/>
    <w:rsid w:val="377D0BF4"/>
    <w:rsid w:val="37C845F4"/>
    <w:rsid w:val="39484E4B"/>
    <w:rsid w:val="3BE53493"/>
    <w:rsid w:val="3D7D1F70"/>
    <w:rsid w:val="3D9A3B9C"/>
    <w:rsid w:val="3F9260E0"/>
    <w:rsid w:val="419A0182"/>
    <w:rsid w:val="41B6005B"/>
    <w:rsid w:val="433C7089"/>
    <w:rsid w:val="460F6777"/>
    <w:rsid w:val="463F5D86"/>
    <w:rsid w:val="46A0383F"/>
    <w:rsid w:val="482936BE"/>
    <w:rsid w:val="48FD1ECC"/>
    <w:rsid w:val="492D1203"/>
    <w:rsid w:val="49B35FB2"/>
    <w:rsid w:val="4DF24EDC"/>
    <w:rsid w:val="51FD6085"/>
    <w:rsid w:val="588562C6"/>
    <w:rsid w:val="5A804E07"/>
    <w:rsid w:val="5D224252"/>
    <w:rsid w:val="5E29091E"/>
    <w:rsid w:val="5F046370"/>
    <w:rsid w:val="5F944D4D"/>
    <w:rsid w:val="616B3D62"/>
    <w:rsid w:val="645F255C"/>
    <w:rsid w:val="65F30D23"/>
    <w:rsid w:val="6725048F"/>
    <w:rsid w:val="6B242CD7"/>
    <w:rsid w:val="6E2D263B"/>
    <w:rsid w:val="6F21085E"/>
    <w:rsid w:val="77E26BD5"/>
    <w:rsid w:val="79175EB6"/>
    <w:rsid w:val="7A8352FD"/>
    <w:rsid w:val="7B6C2B9A"/>
    <w:rsid w:val="7D7C51E2"/>
    <w:rsid w:val="7FEB59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unhideWhenUsed/>
    <w:qFormat/>
    <w:uiPriority w:val="9"/>
    <w:pPr>
      <w:keepNext/>
      <w:keepLines/>
      <w:spacing w:before="140" w:after="140" w:line="413" w:lineRule="auto"/>
      <w:outlineLvl w:val="1"/>
    </w:pPr>
    <w:rPr>
      <w:rFonts w:ascii="Arial" w:hAnsi="Arial"/>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note text"/>
    <w:basedOn w:val="1"/>
    <w:qFormat/>
    <w:uiPriority w:val="0"/>
    <w:pPr>
      <w:snapToGrid w:val="0"/>
      <w:jc w:val="left"/>
    </w:pPr>
    <w:rPr>
      <w:sz w:val="18"/>
    </w:rPr>
  </w:style>
  <w:style w:type="character" w:styleId="8">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1993</Words>
  <Characters>2201</Characters>
  <TotalTime>22</TotalTime>
  <ScaleCrop>false</ScaleCrop>
  <LinksUpToDate>false</LinksUpToDate>
  <CharactersWithSpaces>2205</CharactersWithSpaces>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2025-07-10T10:52:00Z</dcterms:created>
  <dc:creator>Apache POI</dc:creator>
  <cp:lastModifiedBy>13262</cp:lastModifiedBy>
  <dcterms:modified xsi:type="dcterms:W3CDTF">2025-07-28T09:43:29Z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1EC3BFB6B8A048008CD285F3B6B7EE7F_13</vt:lpwstr>
  </property>
</Properties>
</file>