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2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body>
    <w:p>
      <w:pPr>
        <w:ind w:left="1481" w:right="274" w:hanging="1304"/>
        <w:spacing w:before="209" w:line="238" w:lineRule="auto"/>
        <w:rPr>
          <w:rFonts w:ascii="Microsoft YaHei" w:hAnsi="Microsoft YaHei" w:eastAsia="Microsoft YaHei" w:cs="Microsoft YaHei"/>
          <w:sz w:val="43"/>
          <w:szCs w:val="43"/>
        </w:rPr>
      </w:pPr>
      <w:r>
        <w:rPr>
          <w:rFonts w:ascii="Microsoft YaHei" w:hAnsi="Microsoft YaHei" w:eastAsia="Microsoft YaHei" w:cs="Microsoft YaHei"/>
          <w:sz w:val="43"/>
          <w:szCs w:val="43"/>
          <w:b/>
          <w:bCs/>
          <w:spacing w:val="7"/>
        </w:rPr>
        <w:t>从 </w:t>
      </w:r>
      <w:r>
        <w:rPr>
          <w:rFonts w:ascii="Microsoft YaHei" w:hAnsi="Microsoft YaHei" w:eastAsia="Microsoft YaHei" w:cs="Microsoft YaHei"/>
          <w:sz w:val="43"/>
          <w:szCs w:val="43"/>
          <w:b/>
          <w:bCs/>
        </w:rPr>
        <w:t>DICT</w:t>
      </w:r>
      <w:r>
        <w:rPr>
          <w:rFonts w:ascii="Microsoft YaHei" w:hAnsi="Microsoft YaHei" w:eastAsia="Microsoft YaHei" w:cs="Microsoft YaHei"/>
          <w:sz w:val="43"/>
          <w:szCs w:val="43"/>
          <w:b/>
          <w:bCs/>
          <w:spacing w:val="7"/>
        </w:rPr>
        <w:t xml:space="preserve"> 客户感知角度分析 </w:t>
      </w:r>
      <w:r>
        <w:rPr>
          <w:rFonts w:ascii="Microsoft YaHei" w:hAnsi="Microsoft YaHei" w:eastAsia="Microsoft YaHei" w:cs="Microsoft YaHei"/>
          <w:sz w:val="43"/>
          <w:szCs w:val="43"/>
          <w:b/>
          <w:bCs/>
        </w:rPr>
        <w:t>PMO</w:t>
      </w:r>
      <w:r>
        <w:rPr>
          <w:rFonts w:ascii="Microsoft YaHei" w:hAnsi="Microsoft YaHei" w:eastAsia="Microsoft YaHei" w:cs="Microsoft YaHei"/>
          <w:sz w:val="43"/>
          <w:szCs w:val="43"/>
          <w:b/>
          <w:bCs/>
          <w:spacing w:val="7"/>
        </w:rPr>
        <w:t>/云中台</w:t>
      </w:r>
      <w:r>
        <w:rPr>
          <w:rFonts w:ascii="Microsoft YaHei" w:hAnsi="Microsoft YaHei" w:eastAsia="Microsoft YaHei" w:cs="Microsoft YaHei"/>
          <w:sz w:val="43"/>
          <w:szCs w:val="43"/>
          <w:b/>
          <w:bCs/>
          <w:spacing w:val="9"/>
        </w:rPr>
        <w:t>/</w:t>
      </w:r>
      <w:r>
        <w:rPr>
          <w:rFonts w:ascii="Microsoft YaHei" w:hAnsi="Microsoft YaHei" w:eastAsia="Microsoft YaHei" w:cs="Microsoft YaHei"/>
          <w:sz w:val="43"/>
          <w:szCs w:val="43"/>
          <w:b/>
          <w:bCs/>
        </w:rPr>
        <w:t>ISOC</w:t>
      </w:r>
      <w:r>
        <w:rPr>
          <w:rFonts w:ascii="Microsoft YaHei" w:hAnsi="Microsoft YaHei" w:eastAsia="Microsoft YaHei" w:cs="Microsoft YaHei"/>
          <w:sz w:val="43"/>
          <w:szCs w:val="43"/>
          <w:b/>
          <w:bCs/>
          <w:spacing w:val="9"/>
        </w:rPr>
        <w:t xml:space="preserve"> 等重大举措落地效果</w:t>
      </w:r>
    </w:p>
    <w:p>
      <w:pPr>
        <w:ind w:left="2706"/>
        <w:spacing w:before="174" w:line="205" w:lineRule="auto"/>
        <w:rPr>
          <w:rFonts w:ascii="STKaiti" w:hAnsi="STKaiti" w:eastAsia="STKaiti" w:cs="STKaiti"/>
          <w:sz w:val="30"/>
          <w:szCs w:val="30"/>
        </w:rPr>
      </w:pPr>
      <w:r>
        <w:rPr>
          <w:rFonts w:ascii="STKaiti" w:hAnsi="STKaiti" w:eastAsia="STKaiti" w:cs="STKaiti"/>
          <w:sz w:val="30"/>
          <w:szCs w:val="30"/>
          <w:spacing w:val="-14"/>
        </w:rPr>
        <w:t>文/   肖胜</w:t>
      </w:r>
      <w:r>
        <w:rPr>
          <w:rFonts w:ascii="STKaiti" w:hAnsi="STKaiti" w:eastAsia="STKaiti" w:cs="STKaiti"/>
          <w:sz w:val="30"/>
          <w:szCs w:val="30"/>
          <w:spacing w:val="22"/>
        </w:rPr>
        <w:t xml:space="preserve">  </w:t>
      </w:r>
      <w:r>
        <w:rPr>
          <w:rFonts w:ascii="STKaiti" w:hAnsi="STKaiti" w:eastAsia="STKaiti" w:cs="STKaiti"/>
          <w:sz w:val="30"/>
          <w:szCs w:val="30"/>
          <w:spacing w:val="-14"/>
        </w:rPr>
        <w:t>郭丽芳</w:t>
      </w:r>
      <w:r>
        <w:rPr>
          <w:rFonts w:ascii="STKaiti" w:hAnsi="STKaiti" w:eastAsia="STKaiti" w:cs="STKaiti"/>
          <w:sz w:val="30"/>
          <w:szCs w:val="30"/>
          <w:spacing w:val="7"/>
        </w:rPr>
        <w:t xml:space="preserve">  </w:t>
      </w:r>
      <w:r>
        <w:rPr>
          <w:rFonts w:ascii="STKaiti" w:hAnsi="STKaiti" w:eastAsia="STKaiti" w:cs="STKaiti"/>
          <w:sz w:val="30"/>
          <w:szCs w:val="30"/>
          <w:spacing w:val="-14"/>
        </w:rPr>
        <w:t>徐静</w:t>
      </w:r>
    </w:p>
    <w:p>
      <w:pPr>
        <w:spacing w:line="409" w:lineRule="auto"/>
        <w:rPr>
          <w:rFonts w:ascii="Arial"/>
          <w:sz w:val="21"/>
        </w:rPr>
      </w:pPr>
      <w:r/>
    </w:p>
    <w:p>
      <w:pPr>
        <w:pStyle w:val="BodyText"/>
        <w:ind w:left="33" w:firstLine="595"/>
        <w:spacing w:before="98" w:line="259" w:lineRule="auto"/>
        <w:rPr/>
      </w:pPr>
      <w:r>
        <w:rPr>
          <w:spacing w:val="-18"/>
        </w:rPr>
        <w:t>2022</w:t>
      </w:r>
      <w:r>
        <w:rPr>
          <w:spacing w:val="-48"/>
        </w:rPr>
        <w:t xml:space="preserve"> </w:t>
      </w:r>
      <w:r>
        <w:rPr>
          <w:spacing w:val="-18"/>
        </w:rPr>
        <w:t>年</w:t>
      </w:r>
      <w:r>
        <w:rPr>
          <w:spacing w:val="-59"/>
        </w:rPr>
        <w:t xml:space="preserve"> </w:t>
      </w:r>
      <w:r>
        <w:rPr>
          <w:spacing w:val="-18"/>
        </w:rPr>
        <w:t>5</w:t>
      </w:r>
      <w:r>
        <w:rPr>
          <w:spacing w:val="-43"/>
        </w:rPr>
        <w:t xml:space="preserve"> </w:t>
      </w:r>
      <w:r>
        <w:rPr>
          <w:spacing w:val="-18"/>
        </w:rPr>
        <w:t>月开始，集团陆续出台了</w:t>
      </w:r>
      <w:r>
        <w:rPr>
          <w:spacing w:val="-67"/>
        </w:rPr>
        <w:t xml:space="preserve"> </w:t>
      </w:r>
      <w:r>
        <w:rPr>
          <w:spacing w:val="-18"/>
        </w:rPr>
        <w:t>PMO（项目管理办公室）、</w:t>
      </w:r>
      <w:r>
        <w:rPr>
          <w:spacing w:val="-7"/>
        </w:rPr>
        <w:t>云中台和</w:t>
      </w:r>
      <w:r>
        <w:rPr>
          <w:spacing w:val="-46"/>
        </w:rPr>
        <w:t xml:space="preserve"> </w:t>
      </w:r>
      <w:r>
        <w:rPr>
          <w:spacing w:val="-7"/>
        </w:rPr>
        <w:t>ISOC（政企智能服务运营体系）等系</w:t>
      </w:r>
      <w:r>
        <w:rPr>
          <w:spacing w:val="-8"/>
        </w:rPr>
        <w:t>列措施，目的是提</w:t>
      </w:r>
      <w:r>
        <w:rPr>
          <w:spacing w:val="-2"/>
        </w:rPr>
        <w:t>升</w:t>
      </w:r>
      <w:r>
        <w:rPr>
          <w:spacing w:val="-30"/>
        </w:rPr>
        <w:t xml:space="preserve"> </w:t>
      </w:r>
      <w:r>
        <w:rPr>
          <w:spacing w:val="-2"/>
        </w:rPr>
        <w:t>DICT</w:t>
      </w:r>
      <w:r>
        <w:rPr>
          <w:spacing w:val="-26"/>
        </w:rPr>
        <w:t xml:space="preserve"> </w:t>
      </w:r>
      <w:r>
        <w:rPr>
          <w:spacing w:val="-2"/>
        </w:rPr>
        <w:t>项目的咨询规划及解决方案水平、项目实施交付统筹能</w:t>
      </w:r>
      <w:r>
        <w:rPr>
          <w:spacing w:val="-8"/>
        </w:rPr>
        <w:t>力和智能服务运营能力。在上述举措实施前夕及</w:t>
      </w:r>
      <w:r>
        <w:rPr>
          <w:spacing w:val="-9"/>
        </w:rPr>
        <w:t>落地之后，</w:t>
      </w:r>
      <w:r>
        <w:rPr>
          <w:spacing w:val="-35"/>
        </w:rPr>
        <w:t xml:space="preserve"> </w:t>
      </w:r>
      <w:r>
        <w:rPr>
          <w:spacing w:val="-9"/>
        </w:rPr>
        <w:t>项目</w:t>
      </w:r>
      <w:r>
        <w:rPr>
          <w:spacing w:val="-8"/>
        </w:rPr>
        <w:t>组分别于</w:t>
      </w:r>
      <w:r>
        <w:rPr>
          <w:spacing w:val="-46"/>
        </w:rPr>
        <w:t xml:space="preserve"> </w:t>
      </w:r>
      <w:r>
        <w:rPr>
          <w:spacing w:val="-8"/>
        </w:rPr>
        <w:t>2022</w:t>
      </w:r>
      <w:r>
        <w:rPr>
          <w:spacing w:val="-42"/>
        </w:rPr>
        <w:t xml:space="preserve"> </w:t>
      </w:r>
      <w:r>
        <w:rPr>
          <w:spacing w:val="-8"/>
        </w:rPr>
        <w:t>年</w:t>
      </w:r>
      <w:r>
        <w:rPr>
          <w:spacing w:val="-52"/>
        </w:rPr>
        <w:t xml:space="preserve"> </w:t>
      </w:r>
      <w:r>
        <w:rPr>
          <w:spacing w:val="-8"/>
        </w:rPr>
        <w:t>5</w:t>
      </w:r>
      <w:r>
        <w:rPr>
          <w:spacing w:val="-36"/>
        </w:rPr>
        <w:t xml:space="preserve"> </w:t>
      </w:r>
      <w:r>
        <w:rPr>
          <w:spacing w:val="-8"/>
        </w:rPr>
        <w:t>月和</w:t>
      </w:r>
      <w:r>
        <w:rPr>
          <w:spacing w:val="-54"/>
        </w:rPr>
        <w:t xml:space="preserve"> </w:t>
      </w:r>
      <w:r>
        <w:rPr>
          <w:spacing w:val="-8"/>
        </w:rPr>
        <w:t>2023</w:t>
      </w:r>
      <w:r>
        <w:rPr>
          <w:spacing w:val="-44"/>
        </w:rPr>
        <w:t xml:space="preserve"> </w:t>
      </w:r>
      <w:r>
        <w:rPr>
          <w:spacing w:val="-8"/>
        </w:rPr>
        <w:t>年</w:t>
      </w:r>
      <w:r>
        <w:rPr>
          <w:spacing w:val="-36"/>
        </w:rPr>
        <w:t xml:space="preserve"> </w:t>
      </w:r>
      <w:r>
        <w:rPr>
          <w:spacing w:val="-8"/>
        </w:rPr>
        <w:t>1</w:t>
      </w:r>
      <w:r>
        <w:rPr>
          <w:spacing w:val="-35"/>
        </w:rPr>
        <w:t xml:space="preserve"> </w:t>
      </w:r>
      <w:r>
        <w:rPr>
          <w:spacing w:val="-8"/>
        </w:rPr>
        <w:t>月开展了</w:t>
      </w:r>
      <w:r>
        <w:rPr>
          <w:spacing w:val="-63"/>
        </w:rPr>
        <w:t xml:space="preserve"> </w:t>
      </w:r>
      <w:r>
        <w:rPr>
          <w:spacing w:val="-8"/>
        </w:rPr>
        <w:t>DICT</w:t>
      </w:r>
      <w:r>
        <w:rPr>
          <w:spacing w:val="-49"/>
        </w:rPr>
        <w:t xml:space="preserve"> </w:t>
      </w:r>
      <w:r>
        <w:rPr>
          <w:spacing w:val="-8"/>
        </w:rPr>
        <w:t>项目客户感知</w:t>
      </w:r>
      <w:r>
        <w:rPr>
          <w:spacing w:val="-2"/>
        </w:rPr>
        <w:t>调研，希望通过对</w:t>
      </w:r>
      <w:r>
        <w:rPr>
          <w:spacing w:val="-28"/>
        </w:rPr>
        <w:t xml:space="preserve"> </w:t>
      </w:r>
      <w:r>
        <w:rPr>
          <w:spacing w:val="-2"/>
        </w:rPr>
        <w:t>DICT</w:t>
      </w:r>
      <w:r>
        <w:rPr>
          <w:spacing w:val="-27"/>
        </w:rPr>
        <w:t xml:space="preserve"> </w:t>
      </w:r>
      <w:r>
        <w:rPr>
          <w:spacing w:val="-2"/>
        </w:rPr>
        <w:t>项目客户感知的对比变化和主要问题剖</w:t>
      </w:r>
      <w:r>
        <w:rPr>
          <w:spacing w:val="-11"/>
        </w:rPr>
        <w:t>析，评估系列举措为客户感知带来的作用，对举措优化提出建议。</w:t>
      </w:r>
    </w:p>
    <w:p>
      <w:pPr>
        <w:spacing w:line="347" w:lineRule="auto"/>
        <w:rPr>
          <w:rFonts w:ascii="Arial"/>
          <w:sz w:val="21"/>
        </w:rPr>
      </w:pPr>
      <w:r/>
    </w:p>
    <w:p>
      <w:pPr>
        <w:ind w:left="35" w:right="112" w:firstLine="639"/>
        <w:spacing w:before="101" w:line="237" w:lineRule="auto"/>
        <w:outlineLvl w:val="0"/>
        <w:rPr>
          <w:rFonts w:ascii="SimHei" w:hAnsi="SimHei" w:eastAsia="SimHei" w:cs="SimHei"/>
          <w:sz w:val="31"/>
          <w:szCs w:val="31"/>
        </w:rPr>
      </w:pPr>
      <w:r>
        <w:rPr>
          <w:rFonts w:ascii="SimHei" w:hAnsi="SimHei" w:eastAsia="SimHei" w:cs="SimHei"/>
          <w:sz w:val="31"/>
          <w:szCs w:val="31"/>
          <w:b/>
          <w:bCs/>
          <w:spacing w:val="1"/>
        </w:rPr>
        <w:t>一、客户感知对比变化：</w:t>
      </w:r>
      <w:r>
        <w:rPr>
          <w:rFonts w:ascii="SimHei" w:hAnsi="SimHei" w:eastAsia="SimHei" w:cs="SimHei"/>
          <w:sz w:val="31"/>
          <w:szCs w:val="31"/>
          <w:spacing w:val="-53"/>
        </w:rPr>
        <w:t xml:space="preserve"> </w:t>
      </w:r>
      <w:r>
        <w:rPr>
          <w:rFonts w:ascii="SimHei" w:hAnsi="SimHei" w:eastAsia="SimHei" w:cs="SimHei"/>
          <w:sz w:val="31"/>
          <w:szCs w:val="31"/>
          <w:b/>
          <w:bCs/>
          <w:spacing w:val="1"/>
        </w:rPr>
        <w:t>总体上客户感知改善明显，但</w:t>
      </w:r>
      <w:r>
        <w:rPr>
          <w:rFonts w:ascii="SimHei" w:hAnsi="SimHei" w:eastAsia="SimHei" w:cs="SimHei"/>
          <w:sz w:val="31"/>
          <w:szCs w:val="31"/>
          <w:b/>
          <w:bCs/>
          <w:spacing w:val="4"/>
        </w:rPr>
        <w:t>高端项目不升反降</w:t>
      </w:r>
    </w:p>
    <w:p>
      <w:pPr>
        <w:spacing w:line="256" w:lineRule="auto"/>
        <w:rPr>
          <w:rFonts w:ascii="Arial"/>
          <w:sz w:val="21"/>
        </w:rPr>
      </w:pPr>
      <w:r/>
    </w:p>
    <w:p>
      <w:pPr>
        <w:ind w:left="2371"/>
        <w:spacing w:before="98" w:line="209" w:lineRule="auto"/>
        <w:outlineLvl w:val="1"/>
        <w:rPr>
          <w:rFonts w:ascii="KaiTi" w:hAnsi="KaiTi" w:eastAsia="KaiTi" w:cs="KaiTi"/>
          <w:sz w:val="30"/>
          <w:szCs w:val="30"/>
        </w:rPr>
      </w:pPr>
      <w:r>
        <w:rPr>
          <w:rFonts w:ascii="KaiTi" w:hAnsi="KaiTi" w:eastAsia="KaiTi" w:cs="KaiTi"/>
          <w:sz w:val="30"/>
          <w:szCs w:val="30"/>
          <w:spacing w:val="-3"/>
        </w:rPr>
        <w:t>表</w:t>
      </w:r>
      <w:r>
        <w:rPr>
          <w:rFonts w:ascii="KaiTi" w:hAnsi="KaiTi" w:eastAsia="KaiTi" w:cs="KaiTi"/>
          <w:sz w:val="30"/>
          <w:szCs w:val="30"/>
          <w:spacing w:val="-47"/>
        </w:rPr>
        <w:t xml:space="preserve"> </w:t>
      </w:r>
      <w:r>
        <w:rPr>
          <w:rFonts w:ascii="KaiTi" w:hAnsi="KaiTi" w:eastAsia="KaiTi" w:cs="KaiTi"/>
          <w:sz w:val="30"/>
          <w:szCs w:val="30"/>
          <w:spacing w:val="-3"/>
        </w:rPr>
        <w:t>1</w:t>
      </w:r>
      <w:r>
        <w:rPr>
          <w:rFonts w:ascii="KaiTi" w:hAnsi="KaiTi" w:eastAsia="KaiTi" w:cs="KaiTi"/>
          <w:sz w:val="30"/>
          <w:szCs w:val="30"/>
          <w:spacing w:val="-3"/>
        </w:rPr>
        <w:t xml:space="preserve">  </w:t>
      </w:r>
      <w:r>
        <w:rPr>
          <w:rFonts w:ascii="KaiTi" w:hAnsi="KaiTi" w:eastAsia="KaiTi" w:cs="KaiTi"/>
          <w:sz w:val="30"/>
          <w:szCs w:val="30"/>
          <w:spacing w:val="-3"/>
        </w:rPr>
        <w:t>DICT</w:t>
      </w:r>
      <w:r>
        <w:rPr>
          <w:rFonts w:ascii="KaiTi" w:hAnsi="KaiTi" w:eastAsia="KaiTi" w:cs="KaiTi"/>
          <w:sz w:val="30"/>
          <w:szCs w:val="30"/>
          <w:spacing w:val="-62"/>
        </w:rPr>
        <w:t xml:space="preserve"> </w:t>
      </w:r>
      <w:r>
        <w:rPr>
          <w:rFonts w:ascii="KaiTi" w:hAnsi="KaiTi" w:eastAsia="KaiTi" w:cs="KaiTi"/>
          <w:sz w:val="30"/>
          <w:szCs w:val="30"/>
          <w:spacing w:val="-3"/>
        </w:rPr>
        <w:t>项目调研样本量</w:t>
      </w:r>
    </w:p>
    <w:tbl>
      <w:tblPr>
        <w:tblStyle w:val="TableNormal"/>
        <w:tblW w:w="7583" w:type="dxa"/>
        <w:tblInd w:w="530" w:type="dxa"/>
        <w:tblLayout w:type="fixed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</w:tblPr>
      <w:tblGrid>
        <w:gridCol w:w="2591"/>
        <w:gridCol w:w="2461"/>
        <w:gridCol w:w="2531"/>
      </w:tblGrid>
      <w:tr>
        <w:trPr>
          <w:trHeight w:val="319" w:hRule="atLeast"/>
        </w:trPr>
        <w:tc>
          <w:tcPr>
            <w:tcW w:w="2591" w:type="dxa"/>
            <w:vAlign w:val="top"/>
          </w:tcPr>
          <w:p>
            <w:pPr>
              <w:pStyle w:val="TableText"/>
              <w:ind w:left="862"/>
              <w:spacing w:before="46" w:line="211" w:lineRule="auto"/>
              <w:rPr/>
            </w:pPr>
            <w:r>
              <w:rPr>
                <w:spacing w:val="-2"/>
              </w:rPr>
              <w:t>调研时间</w:t>
            </w:r>
          </w:p>
        </w:tc>
        <w:tc>
          <w:tcPr>
            <w:tcW w:w="2461" w:type="dxa"/>
            <w:vAlign w:val="top"/>
          </w:tcPr>
          <w:p>
            <w:pPr>
              <w:pStyle w:val="TableText"/>
              <w:ind w:left="363"/>
              <w:spacing w:before="46" w:line="211" w:lineRule="auto"/>
              <w:rPr/>
            </w:pPr>
            <w:r>
              <w:rPr>
                <w:spacing w:val="-2"/>
              </w:rPr>
              <w:t>总体样本数（个）</w:t>
            </w:r>
          </w:p>
        </w:tc>
        <w:tc>
          <w:tcPr>
            <w:tcW w:w="2531" w:type="dxa"/>
            <w:vAlign w:val="top"/>
          </w:tcPr>
          <w:p>
            <w:pPr>
              <w:pStyle w:val="TableText"/>
              <w:ind w:left="342"/>
              <w:spacing w:before="46" w:line="211" w:lineRule="auto"/>
              <w:rPr/>
            </w:pPr>
            <w:r>
              <w:rPr>
                <w:spacing w:val="-4"/>
              </w:rPr>
              <w:t>其中：S/A/B（个）</w:t>
            </w:r>
          </w:p>
        </w:tc>
      </w:tr>
      <w:tr>
        <w:trPr>
          <w:trHeight w:val="315" w:hRule="atLeast"/>
        </w:trPr>
        <w:tc>
          <w:tcPr>
            <w:tcW w:w="2591" w:type="dxa"/>
            <w:vAlign w:val="top"/>
          </w:tcPr>
          <w:p>
            <w:pPr>
              <w:pStyle w:val="TableText"/>
              <w:ind w:left="712"/>
              <w:spacing w:before="44" w:line="210" w:lineRule="auto"/>
              <w:rPr/>
            </w:pPr>
            <w:r>
              <w:rPr>
                <w:spacing w:val="-4"/>
              </w:rPr>
              <w:t>2022 年</w:t>
            </w:r>
            <w:r>
              <w:rPr>
                <w:spacing w:val="8"/>
              </w:rPr>
              <w:t xml:space="preserve"> </w:t>
            </w:r>
            <w:r>
              <w:rPr>
                <w:spacing w:val="-4"/>
              </w:rPr>
              <w:t>5</w:t>
            </w:r>
            <w:r>
              <w:rPr>
                <w:spacing w:val="6"/>
              </w:rPr>
              <w:t xml:space="preserve"> </w:t>
            </w:r>
            <w:r>
              <w:rPr>
                <w:spacing w:val="-4"/>
              </w:rPr>
              <w:t>月</w:t>
            </w:r>
          </w:p>
        </w:tc>
        <w:tc>
          <w:tcPr>
            <w:tcW w:w="2461" w:type="dxa"/>
            <w:vAlign w:val="top"/>
          </w:tcPr>
          <w:p>
            <w:pPr>
              <w:pStyle w:val="TableText"/>
              <w:ind w:left="1064"/>
              <w:spacing w:before="44" w:line="210" w:lineRule="auto"/>
              <w:rPr/>
            </w:pPr>
            <w:r>
              <w:rPr>
                <w:spacing w:val="-3"/>
              </w:rPr>
              <w:t>754</w:t>
            </w:r>
          </w:p>
        </w:tc>
        <w:tc>
          <w:tcPr>
            <w:tcW w:w="2531" w:type="dxa"/>
            <w:vAlign w:val="top"/>
          </w:tcPr>
          <w:p>
            <w:pPr>
              <w:pStyle w:val="TableText"/>
              <w:ind w:left="1152"/>
              <w:spacing w:before="44" w:line="210" w:lineRule="auto"/>
              <w:rPr/>
            </w:pPr>
            <w:r>
              <w:rPr>
                <w:spacing w:val="-3"/>
              </w:rPr>
              <w:t>35</w:t>
            </w:r>
          </w:p>
        </w:tc>
      </w:tr>
      <w:tr>
        <w:trPr>
          <w:trHeight w:val="322" w:hRule="atLeast"/>
        </w:trPr>
        <w:tc>
          <w:tcPr>
            <w:tcW w:w="2591" w:type="dxa"/>
            <w:vAlign w:val="top"/>
          </w:tcPr>
          <w:p>
            <w:pPr>
              <w:pStyle w:val="TableText"/>
              <w:ind w:left="712"/>
              <w:spacing w:before="46" w:line="214" w:lineRule="auto"/>
              <w:rPr/>
            </w:pPr>
            <w:r>
              <w:rPr>
                <w:spacing w:val="-5"/>
              </w:rPr>
              <w:t>2023 年</w:t>
            </w:r>
            <w:r>
              <w:rPr>
                <w:spacing w:val="15"/>
                <w:w w:val="101"/>
              </w:rPr>
              <w:t xml:space="preserve"> </w:t>
            </w:r>
            <w:r>
              <w:rPr>
                <w:spacing w:val="-5"/>
              </w:rPr>
              <w:t>1</w:t>
            </w:r>
            <w:r>
              <w:rPr>
                <w:spacing w:val="7"/>
              </w:rPr>
              <w:t xml:space="preserve"> </w:t>
            </w:r>
            <w:r>
              <w:rPr>
                <w:spacing w:val="-5"/>
              </w:rPr>
              <w:t>月</w:t>
            </w:r>
          </w:p>
        </w:tc>
        <w:tc>
          <w:tcPr>
            <w:tcW w:w="2461" w:type="dxa"/>
            <w:vAlign w:val="top"/>
          </w:tcPr>
          <w:p>
            <w:pPr>
              <w:pStyle w:val="TableText"/>
              <w:ind w:left="1064"/>
              <w:spacing w:before="46" w:line="214" w:lineRule="auto"/>
              <w:rPr/>
            </w:pPr>
            <w:r>
              <w:rPr>
                <w:spacing w:val="-3"/>
              </w:rPr>
              <w:t>742</w:t>
            </w:r>
          </w:p>
        </w:tc>
        <w:tc>
          <w:tcPr>
            <w:tcW w:w="2531" w:type="dxa"/>
            <w:vAlign w:val="top"/>
          </w:tcPr>
          <w:p>
            <w:pPr>
              <w:pStyle w:val="TableText"/>
              <w:ind w:left="1148"/>
              <w:spacing w:before="46" w:line="214" w:lineRule="auto"/>
              <w:rPr/>
            </w:pPr>
            <w:r>
              <w:rPr>
                <w:spacing w:val="-2"/>
              </w:rPr>
              <w:t>46</w:t>
            </w:r>
          </w:p>
        </w:tc>
      </w:tr>
    </w:tbl>
    <w:p>
      <w:pPr>
        <w:spacing w:line="259" w:lineRule="auto"/>
        <w:rPr>
          <w:rFonts w:ascii="Arial"/>
          <w:sz w:val="21"/>
        </w:rPr>
      </w:pPr>
      <w:r/>
    </w:p>
    <w:p>
      <w:pPr>
        <w:ind w:left="19" w:right="110" w:firstLine="606"/>
        <w:spacing w:before="98" w:line="257" w:lineRule="auto"/>
        <w:jc w:val="both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2"/>
        </w:rPr>
        <w:t>针对</w:t>
      </w:r>
      <w:r>
        <w:rPr>
          <w:rFonts w:ascii="SimSun" w:hAnsi="SimSun" w:eastAsia="SimSun" w:cs="SimSun"/>
          <w:sz w:val="30"/>
          <w:szCs w:val="30"/>
          <w:spacing w:val="-70"/>
        </w:rPr>
        <w:t xml:space="preserve"> </w:t>
      </w:r>
      <w:r>
        <w:rPr>
          <w:rFonts w:ascii="Times New Roman" w:hAnsi="Times New Roman" w:eastAsia="Times New Roman" w:cs="Times New Roman"/>
          <w:sz w:val="30"/>
          <w:szCs w:val="30"/>
          <w:spacing w:val="-2"/>
        </w:rPr>
        <w:t>DICT </w:t>
      </w:r>
      <w:r>
        <w:rPr>
          <w:rFonts w:ascii="SimSun" w:hAnsi="SimSun" w:eastAsia="SimSun" w:cs="SimSun"/>
          <w:sz w:val="30"/>
          <w:szCs w:val="30"/>
          <w:spacing w:val="-2"/>
        </w:rPr>
        <w:t>项目调研，两次的问卷基本一致，均</w:t>
      </w:r>
      <w:r>
        <w:rPr>
          <w:rFonts w:ascii="SimSun" w:hAnsi="SimSun" w:eastAsia="SimSun" w:cs="SimSun"/>
          <w:sz w:val="30"/>
          <w:szCs w:val="30"/>
          <w:spacing w:val="-3"/>
        </w:rPr>
        <w:t>采用定量电</w:t>
      </w:r>
      <w:r>
        <w:rPr>
          <w:rFonts w:ascii="SimSun" w:hAnsi="SimSun" w:eastAsia="SimSun" w:cs="SimSun"/>
          <w:sz w:val="30"/>
          <w:szCs w:val="30"/>
          <w:spacing w:val="-6"/>
        </w:rPr>
        <w:t>话访问</w:t>
      </w:r>
      <w:r>
        <w:rPr>
          <w:rFonts w:ascii="Times New Roman" w:hAnsi="Times New Roman" w:eastAsia="Times New Roman" w:cs="Times New Roman"/>
          <w:sz w:val="30"/>
          <w:szCs w:val="30"/>
          <w:spacing w:val="-6"/>
        </w:rPr>
        <w:t>+</w:t>
      </w:r>
      <w:r>
        <w:rPr>
          <w:rFonts w:ascii="SimSun" w:hAnsi="SimSun" w:eastAsia="SimSun" w:cs="SimSun"/>
          <w:sz w:val="30"/>
          <w:szCs w:val="30"/>
          <w:spacing w:val="-6"/>
        </w:rPr>
        <w:t>定性深访，样本量如表</w:t>
      </w:r>
      <w:r>
        <w:rPr>
          <w:rFonts w:ascii="SimSun" w:hAnsi="SimSun" w:eastAsia="SimSun" w:cs="SimSun"/>
          <w:sz w:val="30"/>
          <w:szCs w:val="30"/>
          <w:spacing w:val="-37"/>
        </w:rPr>
        <w:t xml:space="preserve"> </w:t>
      </w:r>
      <w:r>
        <w:rPr>
          <w:rFonts w:ascii="Times New Roman" w:hAnsi="Times New Roman" w:eastAsia="Times New Roman" w:cs="Times New Roman"/>
          <w:sz w:val="30"/>
          <w:szCs w:val="30"/>
          <w:spacing w:val="-6"/>
        </w:rPr>
        <w:t>1</w:t>
      </w:r>
      <w:r>
        <w:rPr>
          <w:rFonts w:ascii="SimSun" w:hAnsi="SimSun" w:eastAsia="SimSun" w:cs="SimSun"/>
          <w:sz w:val="30"/>
          <w:szCs w:val="30"/>
          <w:spacing w:val="-6"/>
        </w:rPr>
        <w:t>。中国电信</w:t>
      </w:r>
      <w:r>
        <w:rPr>
          <w:rFonts w:ascii="SimSun" w:hAnsi="SimSun" w:eastAsia="SimSun" w:cs="SimSun"/>
          <w:sz w:val="30"/>
          <w:szCs w:val="30"/>
          <w:spacing w:val="-70"/>
        </w:rPr>
        <w:t xml:space="preserve"> </w:t>
      </w:r>
      <w:r>
        <w:rPr>
          <w:rFonts w:ascii="Times New Roman" w:hAnsi="Times New Roman" w:eastAsia="Times New Roman" w:cs="Times New Roman"/>
          <w:sz w:val="30"/>
          <w:szCs w:val="30"/>
          <w:spacing w:val="-6"/>
        </w:rPr>
        <w:t>DICT </w:t>
      </w:r>
      <w:r>
        <w:rPr>
          <w:rFonts w:ascii="SimSun" w:hAnsi="SimSun" w:eastAsia="SimSun" w:cs="SimSun"/>
          <w:sz w:val="30"/>
          <w:szCs w:val="30"/>
          <w:spacing w:val="-6"/>
        </w:rPr>
        <w:t>项目，按集团</w:t>
      </w:r>
      <w:r>
        <w:rPr>
          <w:rFonts w:ascii="SimSun" w:hAnsi="SimSun" w:eastAsia="SimSun" w:cs="SimSun"/>
          <w:sz w:val="30"/>
          <w:szCs w:val="30"/>
          <w:spacing w:val="-7"/>
        </w:rPr>
        <w:t>标准从高到低划分为</w:t>
      </w:r>
      <w:r>
        <w:rPr>
          <w:rFonts w:ascii="SimSun" w:hAnsi="SimSun" w:eastAsia="SimSun" w:cs="SimSun"/>
          <w:sz w:val="30"/>
          <w:szCs w:val="30"/>
          <w:spacing w:val="-47"/>
        </w:rPr>
        <w:t xml:space="preserve"> </w:t>
      </w:r>
      <w:r>
        <w:rPr>
          <w:rFonts w:ascii="Times New Roman" w:hAnsi="Times New Roman" w:eastAsia="Times New Roman" w:cs="Times New Roman"/>
          <w:sz w:val="30"/>
          <w:szCs w:val="30"/>
          <w:spacing w:val="-7"/>
        </w:rPr>
        <w:t>S</w:t>
      </w:r>
      <w:r>
        <w:rPr>
          <w:rFonts w:ascii="Times New Roman" w:hAnsi="Times New Roman" w:eastAsia="Times New Roman" w:cs="Times New Roman"/>
          <w:sz w:val="30"/>
          <w:szCs w:val="30"/>
          <w:spacing w:val="-41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7"/>
        </w:rPr>
        <w:t>、</w:t>
      </w:r>
      <w:r>
        <w:rPr>
          <w:rFonts w:ascii="Times New Roman" w:hAnsi="Times New Roman" w:eastAsia="Times New Roman" w:cs="Times New Roman"/>
          <w:sz w:val="30"/>
          <w:szCs w:val="30"/>
          <w:spacing w:val="-7"/>
        </w:rPr>
        <w:t>A</w:t>
      </w:r>
      <w:r>
        <w:rPr>
          <w:rFonts w:ascii="Times New Roman" w:hAnsi="Times New Roman" w:eastAsia="Times New Roman" w:cs="Times New Roman"/>
          <w:sz w:val="30"/>
          <w:szCs w:val="30"/>
          <w:spacing w:val="-43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7"/>
        </w:rPr>
        <w:t>、</w:t>
      </w:r>
      <w:r>
        <w:rPr>
          <w:rFonts w:ascii="Times New Roman" w:hAnsi="Times New Roman" w:eastAsia="Times New Roman" w:cs="Times New Roman"/>
          <w:sz w:val="30"/>
          <w:szCs w:val="30"/>
          <w:spacing w:val="-7"/>
        </w:rPr>
        <w:t>B</w:t>
      </w:r>
      <w:r>
        <w:rPr>
          <w:rFonts w:ascii="Times New Roman" w:hAnsi="Times New Roman" w:eastAsia="Times New Roman" w:cs="Times New Roman"/>
          <w:sz w:val="30"/>
          <w:szCs w:val="30"/>
          <w:spacing w:val="-41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7"/>
        </w:rPr>
        <w:t>、</w:t>
      </w:r>
      <w:r>
        <w:rPr>
          <w:rFonts w:ascii="Times New Roman" w:hAnsi="Times New Roman" w:eastAsia="Times New Roman" w:cs="Times New Roman"/>
          <w:sz w:val="30"/>
          <w:szCs w:val="30"/>
          <w:spacing w:val="-7"/>
        </w:rPr>
        <w:t>C</w:t>
      </w:r>
      <w:r>
        <w:rPr>
          <w:rFonts w:ascii="Times New Roman" w:hAnsi="Times New Roman" w:eastAsia="Times New Roman" w:cs="Times New Roman"/>
          <w:sz w:val="30"/>
          <w:szCs w:val="30"/>
          <w:spacing w:val="39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7"/>
        </w:rPr>
        <w:t>四级。</w:t>
      </w:r>
      <w:r>
        <w:rPr>
          <w:rFonts w:ascii="Times New Roman" w:hAnsi="Times New Roman" w:eastAsia="Times New Roman" w:cs="Times New Roman"/>
          <w:sz w:val="30"/>
          <w:szCs w:val="30"/>
          <w:spacing w:val="-7"/>
        </w:rPr>
        <w:t>S/A/B </w:t>
      </w:r>
      <w:r>
        <w:rPr>
          <w:rFonts w:ascii="SimSun" w:hAnsi="SimSun" w:eastAsia="SimSun" w:cs="SimSun"/>
          <w:sz w:val="30"/>
          <w:szCs w:val="30"/>
          <w:spacing w:val="-7"/>
        </w:rPr>
        <w:t>级项目数量只占</w:t>
      </w:r>
      <w:r>
        <w:rPr>
          <w:rFonts w:ascii="Times New Roman" w:hAnsi="Times New Roman" w:eastAsia="Times New Roman" w:cs="Times New Roman"/>
          <w:sz w:val="30"/>
          <w:szCs w:val="30"/>
        </w:rPr>
        <w:t>4%</w:t>
      </w:r>
      <w:r>
        <w:rPr>
          <w:rFonts w:ascii="SimSun" w:hAnsi="SimSun" w:eastAsia="SimSun" w:cs="SimSun"/>
          <w:sz w:val="30"/>
          <w:szCs w:val="30"/>
        </w:rPr>
        <w:t>，但收入占比超过 </w:t>
      </w:r>
      <w:r>
        <w:rPr>
          <w:rFonts w:ascii="Times New Roman" w:hAnsi="Times New Roman" w:eastAsia="Times New Roman" w:cs="Times New Roman"/>
          <w:sz w:val="30"/>
          <w:szCs w:val="30"/>
        </w:rPr>
        <w:t>70%</w:t>
      </w:r>
      <w:r>
        <w:rPr>
          <w:rFonts w:ascii="SimSun" w:hAnsi="SimSun" w:eastAsia="SimSun" w:cs="SimSun"/>
          <w:sz w:val="30"/>
          <w:szCs w:val="30"/>
        </w:rPr>
        <w:t>，是集团和省公司极其重视的高</w:t>
      </w:r>
      <w:r>
        <w:rPr>
          <w:rFonts w:ascii="SimSun" w:hAnsi="SimSun" w:eastAsia="SimSun" w:cs="SimSun"/>
          <w:sz w:val="30"/>
          <w:szCs w:val="30"/>
          <w:spacing w:val="-1"/>
        </w:rPr>
        <w:t>端项</w:t>
      </w:r>
      <w:r>
        <w:rPr>
          <w:rFonts w:ascii="SimSun" w:hAnsi="SimSun" w:eastAsia="SimSun" w:cs="SimSun"/>
          <w:sz w:val="30"/>
          <w:szCs w:val="30"/>
          <w:spacing w:val="-2"/>
        </w:rPr>
        <w:t>目。</w:t>
      </w:r>
      <w:r>
        <w:rPr>
          <w:rFonts w:ascii="Times New Roman" w:hAnsi="Times New Roman" w:eastAsia="Times New Roman" w:cs="Times New Roman"/>
          <w:sz w:val="30"/>
          <w:szCs w:val="30"/>
          <w:spacing w:val="-2"/>
        </w:rPr>
        <w:t>C </w:t>
      </w:r>
      <w:r>
        <w:rPr>
          <w:rFonts w:ascii="SimSun" w:hAnsi="SimSun" w:eastAsia="SimSun" w:cs="SimSun"/>
          <w:sz w:val="30"/>
          <w:szCs w:val="30"/>
          <w:spacing w:val="-2"/>
        </w:rPr>
        <w:t>级项目由于单体价值较低，视为低端项目。</w:t>
      </w:r>
    </w:p>
    <w:p>
      <w:pPr>
        <w:ind w:left="29" w:right="120" w:firstLine="606"/>
        <w:spacing w:before="287"/>
        <w:outlineLvl w:val="1"/>
        <w:rPr>
          <w:rFonts w:ascii="SimSun" w:hAnsi="SimSun" w:eastAsia="SimSun" w:cs="SimSun"/>
          <w:sz w:val="30"/>
          <w:szCs w:val="30"/>
        </w:rPr>
      </w:pPr>
      <w:r>
        <w:rPr>
          <w:rFonts w:ascii="Times New Roman" w:hAnsi="Times New Roman" w:eastAsia="Times New Roman" w:cs="Times New Roman"/>
          <w:sz w:val="30"/>
          <w:szCs w:val="30"/>
          <w:b/>
          <w:bCs/>
          <w:spacing w:val="-2"/>
        </w:rPr>
        <w:t>1</w:t>
      </w:r>
      <w:r>
        <w:rPr>
          <w:rFonts w:ascii="SimSun" w:hAnsi="SimSun" w:eastAsia="SimSun" w:cs="SimSun"/>
          <w:sz w:val="30"/>
          <w:szCs w:val="30"/>
          <w:b/>
          <w:bCs/>
          <w:spacing w:val="-2"/>
        </w:rPr>
        <w:t>．总体而言，客户满意度上升，不满提及率下降，</w:t>
      </w:r>
      <w:r>
        <w:rPr>
          <w:rFonts w:ascii="SimSun" w:hAnsi="SimSun" w:eastAsia="SimSun" w:cs="SimSun"/>
          <w:sz w:val="30"/>
          <w:szCs w:val="30"/>
          <w:b/>
          <w:bCs/>
          <w:spacing w:val="-3"/>
        </w:rPr>
        <w:t>感知要</w:t>
      </w:r>
      <w:r>
        <w:rPr>
          <w:rFonts w:ascii="SimSun" w:hAnsi="SimSun" w:eastAsia="SimSun" w:cs="SimSun"/>
          <w:sz w:val="30"/>
          <w:szCs w:val="30"/>
          <w:b/>
          <w:bCs/>
          <w:spacing w:val="-6"/>
        </w:rPr>
        <w:t>素全面改善</w:t>
      </w:r>
    </w:p>
    <w:p>
      <w:pPr>
        <w:spacing w:line="241" w:lineRule="auto"/>
        <w:rPr>
          <w:rFonts w:ascii="Arial"/>
          <w:sz w:val="21"/>
        </w:rPr>
      </w:pPr>
      <w:r/>
    </w:p>
    <w:p>
      <w:pPr>
        <w:ind w:left="29" w:right="108" w:firstLine="599"/>
        <w:spacing w:before="99" w:line="259" w:lineRule="auto"/>
        <w:jc w:val="both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5"/>
        </w:rPr>
        <w:t>从综合指标看，云中台落地和</w:t>
      </w:r>
      <w:r>
        <w:rPr>
          <w:rFonts w:ascii="SimSun" w:hAnsi="SimSun" w:eastAsia="SimSun" w:cs="SimSun"/>
          <w:sz w:val="30"/>
          <w:szCs w:val="30"/>
          <w:spacing w:val="-66"/>
        </w:rPr>
        <w:t xml:space="preserve"> </w:t>
      </w:r>
      <w:r>
        <w:rPr>
          <w:rFonts w:ascii="Times New Roman" w:hAnsi="Times New Roman" w:eastAsia="Times New Roman" w:cs="Times New Roman"/>
          <w:sz w:val="30"/>
          <w:szCs w:val="30"/>
          <w:spacing w:val="-5"/>
        </w:rPr>
        <w:t>ISOC </w:t>
      </w:r>
      <w:r>
        <w:rPr>
          <w:rFonts w:ascii="SimSun" w:hAnsi="SimSun" w:eastAsia="SimSun" w:cs="SimSun"/>
          <w:sz w:val="30"/>
          <w:szCs w:val="30"/>
          <w:spacing w:val="-5"/>
        </w:rPr>
        <w:t>转型升级半年后，</w:t>
      </w:r>
      <w:r>
        <w:rPr>
          <w:rFonts w:ascii="Times New Roman" w:hAnsi="Times New Roman" w:eastAsia="Times New Roman" w:cs="Times New Roman"/>
          <w:sz w:val="30"/>
          <w:szCs w:val="30"/>
          <w:spacing w:val="-5"/>
        </w:rPr>
        <w:t>DICT</w:t>
      </w:r>
      <w:r>
        <w:rPr>
          <w:rFonts w:ascii="SimSun" w:hAnsi="SimSun" w:eastAsia="SimSun" w:cs="SimSun"/>
          <w:sz w:val="30"/>
          <w:szCs w:val="30"/>
          <w:spacing w:val="-4"/>
        </w:rPr>
        <w:t>项目综合满意度提升，不满提及率下降，客户感知改善明显，但</w:t>
      </w:r>
      <w:r>
        <w:rPr>
          <w:rFonts w:ascii="SimSun" w:hAnsi="SimSun" w:eastAsia="SimSun" w:cs="SimSun"/>
          <w:sz w:val="30"/>
          <w:szCs w:val="30"/>
          <w:spacing w:val="-4"/>
        </w:rPr>
        <w:t>从数据分析看，改善主要来自低端项目。</w:t>
      </w:r>
    </w:p>
    <w:p>
      <w:pPr>
        <w:spacing w:line="259" w:lineRule="auto"/>
        <w:sectPr>
          <w:pgSz w:w="11907" w:h="16839"/>
          <w:pgMar w:top="1431" w:right="1687" w:bottom="0" w:left="1785" w:header="0" w:footer="0" w:gutter="0"/>
        </w:sectPr>
        <w:rPr>
          <w:rFonts w:ascii="SimSun" w:hAnsi="SimSun" w:eastAsia="SimSun" w:cs="SimSun"/>
          <w:sz w:val="30"/>
          <w:szCs w:val="30"/>
        </w:rPr>
      </w:pPr>
    </w:p>
    <w:p>
      <w:pPr>
        <w:ind w:firstLine="957"/>
        <w:spacing w:before="49" w:line="2414" w:lineRule="exact"/>
        <w:rPr/>
      </w:pPr>
      <w:r>
        <w:rPr>
          <w:position w:val="-48"/>
        </w:rPr>
        <w:drawing>
          <wp:inline distT="0" distB="0" distL="0" distR="0">
            <wp:extent cx="4067555" cy="1533143"/>
            <wp:effectExtent l="0" t="0" r="0" b="0"/>
            <wp:docPr id="2" name="IM 2"/>
            <wp:cNvGraphicFramePr/>
            <a:graphic>
              <a:graphicData uri="http://schemas.openxmlformats.org/drawingml/2006/picture">
                <pic:pic>
                  <pic:nvPicPr>
                    <pic:cNvPr id="2" name="IM 2"/>
                    <pic:cNvPicPr/>
                  </pic:nvPicPr>
                  <pic:blipFill>
                    <a:blip r:embed="rId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067555" cy="15331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left="1514"/>
        <w:spacing w:before="103" w:line="217" w:lineRule="auto"/>
        <w:outlineLvl w:val="2"/>
        <w:rPr>
          <w:rFonts w:ascii="KaiTi" w:hAnsi="KaiTi" w:eastAsia="KaiTi" w:cs="KaiTi"/>
          <w:sz w:val="30"/>
          <w:szCs w:val="30"/>
        </w:rPr>
      </w:pPr>
      <w:r>
        <w:rPr>
          <w:rFonts w:ascii="KaiTi" w:hAnsi="KaiTi" w:eastAsia="KaiTi" w:cs="KaiTi"/>
          <w:sz w:val="30"/>
          <w:szCs w:val="30"/>
          <w:spacing w:val="-5"/>
        </w:rPr>
        <w:t>图</w:t>
      </w:r>
      <w:r>
        <w:rPr>
          <w:rFonts w:ascii="KaiTi" w:hAnsi="KaiTi" w:eastAsia="KaiTi" w:cs="KaiTi"/>
          <w:sz w:val="30"/>
          <w:szCs w:val="30"/>
          <w:spacing w:val="-30"/>
        </w:rPr>
        <w:t xml:space="preserve"> </w:t>
      </w:r>
      <w:r>
        <w:rPr>
          <w:rFonts w:ascii="KaiTi" w:hAnsi="KaiTi" w:eastAsia="KaiTi" w:cs="KaiTi"/>
          <w:sz w:val="30"/>
          <w:szCs w:val="30"/>
          <w:spacing w:val="-5"/>
        </w:rPr>
        <w:t>1</w:t>
      </w:r>
      <w:r>
        <w:rPr>
          <w:rFonts w:ascii="KaiTi" w:hAnsi="KaiTi" w:eastAsia="KaiTi" w:cs="KaiTi"/>
          <w:sz w:val="30"/>
          <w:szCs w:val="30"/>
          <w:spacing w:val="-5"/>
        </w:rPr>
        <w:t xml:space="preserve">  </w:t>
      </w:r>
      <w:r>
        <w:rPr>
          <w:rFonts w:ascii="KaiTi" w:hAnsi="KaiTi" w:eastAsia="KaiTi" w:cs="KaiTi"/>
          <w:sz w:val="30"/>
          <w:szCs w:val="30"/>
          <w:spacing w:val="-5"/>
        </w:rPr>
        <w:t>DICT</w:t>
      </w:r>
      <w:r>
        <w:rPr>
          <w:rFonts w:ascii="KaiTi" w:hAnsi="KaiTi" w:eastAsia="KaiTi" w:cs="KaiTi"/>
          <w:sz w:val="30"/>
          <w:szCs w:val="30"/>
          <w:spacing w:val="-63"/>
        </w:rPr>
        <w:t xml:space="preserve"> </w:t>
      </w:r>
      <w:r>
        <w:rPr>
          <w:rFonts w:ascii="KaiTi" w:hAnsi="KaiTi" w:eastAsia="KaiTi" w:cs="KaiTi"/>
          <w:sz w:val="30"/>
          <w:szCs w:val="30"/>
          <w:spacing w:val="-5"/>
        </w:rPr>
        <w:t>项目综合满意度与不满提及率</w:t>
      </w:r>
    </w:p>
    <w:p>
      <w:pPr>
        <w:spacing w:line="245" w:lineRule="auto"/>
        <w:rPr>
          <w:rFonts w:ascii="Arial"/>
          <w:sz w:val="21"/>
        </w:rPr>
      </w:pPr>
      <w:r/>
    </w:p>
    <w:p>
      <w:pPr>
        <w:ind w:left="26" w:right="15" w:firstLine="603"/>
        <w:spacing w:before="98" w:line="256" w:lineRule="auto"/>
        <w:jc w:val="both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5"/>
        </w:rPr>
        <w:t>从细分感知要素看，不满意提及率指标均有改善，但各感知</w:t>
      </w:r>
      <w:r>
        <w:rPr>
          <w:rFonts w:ascii="SimSun" w:hAnsi="SimSun" w:eastAsia="SimSun" w:cs="SimSun"/>
          <w:sz w:val="30"/>
          <w:szCs w:val="30"/>
          <w:spacing w:val="-8"/>
        </w:rPr>
        <w:t>要素改善程度不同。售后运营维护不满提及率居高不下，</w:t>
      </w:r>
      <w:r>
        <w:rPr>
          <w:rFonts w:ascii="SimSun" w:hAnsi="SimSun" w:eastAsia="SimSun" w:cs="SimSun"/>
          <w:sz w:val="30"/>
          <w:szCs w:val="30"/>
          <w:spacing w:val="-33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8"/>
        </w:rPr>
        <w:t>实</w:t>
      </w:r>
      <w:r>
        <w:rPr>
          <w:rFonts w:ascii="SimSun" w:hAnsi="SimSun" w:eastAsia="SimSun" w:cs="SimSun"/>
          <w:sz w:val="30"/>
          <w:szCs w:val="30"/>
          <w:spacing w:val="-9"/>
        </w:rPr>
        <w:t>施交</w:t>
      </w:r>
      <w:r>
        <w:rPr>
          <w:rFonts w:ascii="SimSun" w:hAnsi="SimSun" w:eastAsia="SimSun" w:cs="SimSun"/>
          <w:sz w:val="30"/>
          <w:szCs w:val="30"/>
          <w:spacing w:val="-4"/>
        </w:rPr>
        <w:t>付的改善也略显不足，售前解决方案提升较多，项目运行质量提</w:t>
      </w:r>
      <w:r>
        <w:rPr>
          <w:rFonts w:ascii="SimSun" w:hAnsi="SimSun" w:eastAsia="SimSun" w:cs="SimSun"/>
          <w:sz w:val="30"/>
          <w:szCs w:val="30"/>
          <w:spacing w:val="-11"/>
        </w:rPr>
        <w:t>升明显。</w:t>
      </w:r>
    </w:p>
    <w:p>
      <w:pPr>
        <w:ind w:firstLine="846"/>
        <w:spacing w:line="2361" w:lineRule="exact"/>
        <w:rPr/>
      </w:pPr>
      <w:r>
        <w:rPr>
          <w:position w:val="-47"/>
        </w:rPr>
        <w:drawing>
          <wp:inline distT="0" distB="0" distL="0" distR="0">
            <wp:extent cx="4216907" cy="1499615"/>
            <wp:effectExtent l="0" t="0" r="0" b="0"/>
            <wp:docPr id="4" name="IM 4"/>
            <wp:cNvGraphicFramePr/>
            <a:graphic>
              <a:graphicData uri="http://schemas.openxmlformats.org/drawingml/2006/picture">
                <pic:pic>
                  <pic:nvPicPr>
                    <pic:cNvPr id="4" name="IM 4"/>
                    <pic:cNvPicPr/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216907" cy="1499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left="1665"/>
        <w:spacing w:before="133" w:line="217" w:lineRule="auto"/>
        <w:outlineLvl w:val="2"/>
        <w:rPr>
          <w:rFonts w:ascii="KaiTi" w:hAnsi="KaiTi" w:eastAsia="KaiTi" w:cs="KaiTi"/>
          <w:sz w:val="30"/>
          <w:szCs w:val="30"/>
        </w:rPr>
      </w:pPr>
      <w:r>
        <w:rPr>
          <w:rFonts w:ascii="KaiTi" w:hAnsi="KaiTi" w:eastAsia="KaiTi" w:cs="KaiTi"/>
          <w:sz w:val="30"/>
          <w:szCs w:val="30"/>
          <w:spacing w:val="-4"/>
        </w:rPr>
        <w:t>图</w:t>
      </w:r>
      <w:r>
        <w:rPr>
          <w:rFonts w:ascii="KaiTi" w:hAnsi="KaiTi" w:eastAsia="KaiTi" w:cs="KaiTi"/>
          <w:sz w:val="30"/>
          <w:szCs w:val="30"/>
          <w:spacing w:val="-55"/>
        </w:rPr>
        <w:t xml:space="preserve"> </w:t>
      </w:r>
      <w:r>
        <w:rPr>
          <w:rFonts w:ascii="KaiTi" w:hAnsi="KaiTi" w:eastAsia="KaiTi" w:cs="KaiTi"/>
          <w:sz w:val="30"/>
          <w:szCs w:val="30"/>
          <w:spacing w:val="-4"/>
        </w:rPr>
        <w:t>2</w:t>
      </w:r>
      <w:r>
        <w:rPr>
          <w:rFonts w:ascii="KaiTi" w:hAnsi="KaiTi" w:eastAsia="KaiTi" w:cs="KaiTi"/>
          <w:sz w:val="30"/>
          <w:szCs w:val="30"/>
          <w:spacing w:val="-4"/>
        </w:rPr>
        <w:t xml:space="preserve">  </w:t>
      </w:r>
      <w:r>
        <w:rPr>
          <w:rFonts w:ascii="KaiTi" w:hAnsi="KaiTi" w:eastAsia="KaiTi" w:cs="KaiTi"/>
          <w:sz w:val="30"/>
          <w:szCs w:val="30"/>
          <w:spacing w:val="-4"/>
        </w:rPr>
        <w:t>DICT</w:t>
      </w:r>
      <w:r>
        <w:rPr>
          <w:rFonts w:ascii="KaiTi" w:hAnsi="KaiTi" w:eastAsia="KaiTi" w:cs="KaiTi"/>
          <w:sz w:val="30"/>
          <w:szCs w:val="30"/>
          <w:spacing w:val="-63"/>
        </w:rPr>
        <w:t xml:space="preserve"> </w:t>
      </w:r>
      <w:r>
        <w:rPr>
          <w:rFonts w:ascii="KaiTi" w:hAnsi="KaiTi" w:eastAsia="KaiTi" w:cs="KaiTi"/>
          <w:sz w:val="30"/>
          <w:szCs w:val="30"/>
          <w:spacing w:val="-4"/>
        </w:rPr>
        <w:t>项目各感知要素不满提及率</w:t>
      </w:r>
    </w:p>
    <w:p>
      <w:pPr>
        <w:spacing w:line="246" w:lineRule="auto"/>
        <w:rPr>
          <w:rFonts w:ascii="Arial"/>
          <w:sz w:val="21"/>
        </w:rPr>
      </w:pPr>
      <w:r/>
    </w:p>
    <w:p>
      <w:pPr>
        <w:ind w:left="31" w:right="22" w:firstLine="593"/>
        <w:spacing w:before="97" w:line="239" w:lineRule="auto"/>
        <w:outlineLvl w:val="1"/>
        <w:rPr>
          <w:rFonts w:ascii="SimSun" w:hAnsi="SimSun" w:eastAsia="SimSun" w:cs="SimSun"/>
          <w:sz w:val="30"/>
          <w:szCs w:val="30"/>
        </w:rPr>
      </w:pPr>
      <w:r>
        <w:rPr>
          <w:rFonts w:ascii="Times New Roman" w:hAnsi="Times New Roman" w:eastAsia="Times New Roman" w:cs="Times New Roman"/>
          <w:sz w:val="30"/>
          <w:szCs w:val="30"/>
          <w:b/>
          <w:bCs/>
          <w:spacing w:val="-2"/>
        </w:rPr>
        <w:t>2</w:t>
      </w:r>
      <w:r>
        <w:rPr>
          <w:rFonts w:ascii="SimSun" w:hAnsi="SimSun" w:eastAsia="SimSun" w:cs="SimSun"/>
          <w:sz w:val="30"/>
          <w:szCs w:val="30"/>
          <w:b/>
          <w:bCs/>
          <w:spacing w:val="-2"/>
        </w:rPr>
        <w:t>．高端项目客户满意度下降，不满提及率上升，感知要素</w:t>
      </w:r>
      <w:r>
        <w:rPr>
          <w:rFonts w:ascii="SimSun" w:hAnsi="SimSun" w:eastAsia="SimSun" w:cs="SimSun"/>
          <w:sz w:val="30"/>
          <w:szCs w:val="30"/>
          <w:b/>
          <w:bCs/>
          <w:spacing w:val="-7"/>
        </w:rPr>
        <w:t>喜忧参半</w:t>
      </w:r>
    </w:p>
    <w:p>
      <w:pPr>
        <w:rPr>
          <w:rFonts w:ascii="Arial"/>
          <w:sz w:val="21"/>
        </w:rPr>
      </w:pPr>
      <w:r/>
    </w:p>
    <w:p>
      <w:pPr>
        <w:ind w:left="14" w:right="9" w:firstLine="618"/>
        <w:spacing w:before="98" w:line="258" w:lineRule="auto"/>
        <w:jc w:val="both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5"/>
        </w:rPr>
        <w:t>结果对比分析发现：与总体客户感知趋好相反，高端项目满</w:t>
      </w:r>
      <w:r>
        <w:rPr>
          <w:rFonts w:ascii="SimSun" w:hAnsi="SimSun" w:eastAsia="SimSun" w:cs="SimSun"/>
          <w:sz w:val="30"/>
          <w:szCs w:val="30"/>
          <w:spacing w:val="8"/>
        </w:rPr>
        <w:t>意度下降，不满提及率上升，说明中国电信设立 </w:t>
      </w:r>
      <w:r>
        <w:rPr>
          <w:rFonts w:ascii="Times New Roman" w:hAnsi="Times New Roman" w:eastAsia="Times New Roman" w:cs="Times New Roman"/>
          <w:sz w:val="30"/>
          <w:szCs w:val="30"/>
        </w:rPr>
        <w:t>PMO</w:t>
      </w:r>
      <w:r>
        <w:rPr>
          <w:rFonts w:ascii="Times New Roman" w:hAnsi="Times New Roman" w:eastAsia="Times New Roman" w:cs="Times New Roman"/>
          <w:sz w:val="30"/>
          <w:szCs w:val="30"/>
          <w:spacing w:val="8"/>
        </w:rPr>
        <w:t>/</w:t>
      </w:r>
      <w:r>
        <w:rPr>
          <w:rFonts w:ascii="SimSun" w:hAnsi="SimSun" w:eastAsia="SimSun" w:cs="SimSun"/>
          <w:sz w:val="30"/>
          <w:szCs w:val="30"/>
          <w:spacing w:val="8"/>
        </w:rPr>
        <w:t>云中台</w:t>
      </w:r>
      <w:r>
        <w:rPr>
          <w:rFonts w:ascii="Times New Roman" w:hAnsi="Times New Roman" w:eastAsia="Times New Roman" w:cs="Times New Roman"/>
          <w:sz w:val="30"/>
          <w:szCs w:val="30"/>
          <w:spacing w:val="-3"/>
        </w:rPr>
        <w:t>/ISOC</w:t>
      </w:r>
      <w:r>
        <w:rPr>
          <w:rFonts w:ascii="Times New Roman" w:hAnsi="Times New Roman" w:eastAsia="Times New Roman" w:cs="Times New Roman"/>
          <w:sz w:val="30"/>
          <w:szCs w:val="30"/>
          <w:spacing w:val="53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3"/>
        </w:rPr>
        <w:t>的初衷并没有得到充分体现。高端项目的客户感知不升反</w:t>
      </w:r>
      <w:r>
        <w:rPr>
          <w:rFonts w:ascii="SimSun" w:hAnsi="SimSun" w:eastAsia="SimSun" w:cs="SimSun"/>
          <w:sz w:val="30"/>
          <w:szCs w:val="30"/>
          <w:spacing w:val="-4"/>
        </w:rPr>
        <w:t>降，传递出危险信号，即中国电信在</w:t>
      </w:r>
      <w:r>
        <w:rPr>
          <w:rFonts w:ascii="SimSun" w:hAnsi="SimSun" w:eastAsia="SimSun" w:cs="SimSun"/>
          <w:sz w:val="30"/>
          <w:szCs w:val="30"/>
          <w:spacing w:val="-46"/>
        </w:rPr>
        <w:t xml:space="preserve"> </w:t>
      </w:r>
      <w:r>
        <w:rPr>
          <w:rFonts w:ascii="Times New Roman" w:hAnsi="Times New Roman" w:eastAsia="Times New Roman" w:cs="Times New Roman"/>
          <w:sz w:val="30"/>
          <w:szCs w:val="30"/>
          <w:spacing w:val="-4"/>
        </w:rPr>
        <w:t>S/A/B </w:t>
      </w:r>
      <w:r>
        <w:rPr>
          <w:rFonts w:ascii="SimSun" w:hAnsi="SimSun" w:eastAsia="SimSun" w:cs="SimSun"/>
          <w:sz w:val="30"/>
          <w:szCs w:val="30"/>
          <w:spacing w:val="-4"/>
        </w:rPr>
        <w:t>级市场的竞争力下降</w:t>
      </w:r>
      <w:r>
        <w:rPr>
          <w:rFonts w:ascii="SimSun" w:hAnsi="SimSun" w:eastAsia="SimSun" w:cs="SimSun"/>
          <w:sz w:val="30"/>
          <w:szCs w:val="30"/>
          <w:spacing w:val="-11"/>
        </w:rPr>
        <w:t>了。</w:t>
      </w:r>
    </w:p>
    <w:p>
      <w:pPr>
        <w:ind w:firstLine="923"/>
        <w:spacing w:before="35" w:line="2280" w:lineRule="exact"/>
        <w:rPr/>
      </w:pPr>
      <w:r>
        <w:rPr>
          <w:position w:val="-45"/>
        </w:rPr>
        <w:drawing>
          <wp:inline distT="0" distB="0" distL="0" distR="0">
            <wp:extent cx="4117848" cy="1447799"/>
            <wp:effectExtent l="0" t="0" r="0" b="0"/>
            <wp:docPr id="6" name="IM 6"/>
            <wp:cNvGraphicFramePr/>
            <a:graphic>
              <a:graphicData uri="http://schemas.openxmlformats.org/drawingml/2006/picture">
                <pic:pic>
                  <pic:nvPicPr>
                    <pic:cNvPr id="6" name="IM 6"/>
                    <pic:cNvPicPr/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117848" cy="14477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2280" w:lineRule="exact"/>
        <w:sectPr>
          <w:pgSz w:w="11907" w:h="16839"/>
          <w:pgMar w:top="1431" w:right="1785" w:bottom="0" w:left="1785" w:header="0" w:footer="0" w:gutter="0"/>
        </w:sectPr>
        <w:rPr/>
      </w:pPr>
    </w:p>
    <w:p>
      <w:pPr>
        <w:ind w:left="1740"/>
        <w:spacing w:before="71" w:line="217" w:lineRule="auto"/>
        <w:outlineLvl w:val="2"/>
        <w:rPr>
          <w:rFonts w:ascii="KaiTi" w:hAnsi="KaiTi" w:eastAsia="KaiTi" w:cs="KaiTi"/>
          <w:sz w:val="30"/>
          <w:szCs w:val="30"/>
        </w:rPr>
      </w:pPr>
      <w:r>
        <w:rPr>
          <w:rFonts w:ascii="KaiTi" w:hAnsi="KaiTi" w:eastAsia="KaiTi" w:cs="KaiTi"/>
          <w:sz w:val="30"/>
          <w:szCs w:val="30"/>
          <w:spacing w:val="-5"/>
        </w:rPr>
        <w:t>图</w:t>
      </w:r>
      <w:r>
        <w:rPr>
          <w:rFonts w:ascii="KaiTi" w:hAnsi="KaiTi" w:eastAsia="KaiTi" w:cs="KaiTi"/>
          <w:sz w:val="30"/>
          <w:szCs w:val="30"/>
          <w:spacing w:val="-46"/>
        </w:rPr>
        <w:t xml:space="preserve"> </w:t>
      </w:r>
      <w:r>
        <w:rPr>
          <w:rFonts w:ascii="KaiTi" w:hAnsi="KaiTi" w:eastAsia="KaiTi" w:cs="KaiTi"/>
          <w:sz w:val="30"/>
          <w:szCs w:val="30"/>
          <w:spacing w:val="-5"/>
        </w:rPr>
        <w:t>3</w:t>
      </w:r>
      <w:r>
        <w:rPr>
          <w:rFonts w:ascii="KaiTi" w:hAnsi="KaiTi" w:eastAsia="KaiTi" w:cs="KaiTi"/>
          <w:sz w:val="30"/>
          <w:szCs w:val="30"/>
          <w:spacing w:val="-5"/>
        </w:rPr>
        <w:t xml:space="preserve">  </w:t>
      </w:r>
      <w:r>
        <w:rPr>
          <w:rFonts w:ascii="KaiTi" w:hAnsi="KaiTi" w:eastAsia="KaiTi" w:cs="KaiTi"/>
          <w:sz w:val="30"/>
          <w:szCs w:val="30"/>
          <w:spacing w:val="-5"/>
        </w:rPr>
        <w:t>SAB</w:t>
      </w:r>
      <w:r>
        <w:rPr>
          <w:rFonts w:ascii="KaiTi" w:hAnsi="KaiTi" w:eastAsia="KaiTi" w:cs="KaiTi"/>
          <w:sz w:val="30"/>
          <w:szCs w:val="30"/>
          <w:spacing w:val="-55"/>
        </w:rPr>
        <w:t xml:space="preserve"> </w:t>
      </w:r>
      <w:r>
        <w:rPr>
          <w:rFonts w:ascii="KaiTi" w:hAnsi="KaiTi" w:eastAsia="KaiTi" w:cs="KaiTi"/>
          <w:sz w:val="30"/>
          <w:szCs w:val="30"/>
          <w:spacing w:val="-5"/>
        </w:rPr>
        <w:t>级项目满意度与不满提及率</w:t>
      </w:r>
    </w:p>
    <w:p>
      <w:pPr>
        <w:spacing w:line="242" w:lineRule="auto"/>
        <w:rPr>
          <w:rFonts w:ascii="Arial"/>
          <w:sz w:val="21"/>
        </w:rPr>
      </w:pPr>
      <w:r/>
    </w:p>
    <w:p>
      <w:pPr>
        <w:ind w:left="27" w:right="38" w:firstLine="602"/>
        <w:spacing w:before="97" w:line="261" w:lineRule="auto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5"/>
        </w:rPr>
        <w:t>从细分感知要素看，不满意提及率指标改善不一</w:t>
      </w:r>
      <w:r>
        <w:rPr>
          <w:rFonts w:ascii="SimSun" w:hAnsi="SimSun" w:eastAsia="SimSun" w:cs="SimSun"/>
          <w:sz w:val="30"/>
          <w:szCs w:val="30"/>
          <w:spacing w:val="-6"/>
        </w:rPr>
        <w:t>，运营维护</w:t>
      </w:r>
      <w:r>
        <w:rPr>
          <w:rFonts w:ascii="SimSun" w:hAnsi="SimSun" w:eastAsia="SimSun" w:cs="SimSun"/>
          <w:sz w:val="30"/>
          <w:szCs w:val="30"/>
          <w:spacing w:val="-2"/>
        </w:rPr>
        <w:t>和解决方案指标劣化严重，而实施交付和运行质量改善明</w:t>
      </w:r>
      <w:r>
        <w:rPr>
          <w:rFonts w:ascii="SimSun" w:hAnsi="SimSun" w:eastAsia="SimSun" w:cs="SimSun"/>
          <w:sz w:val="30"/>
          <w:szCs w:val="30"/>
          <w:spacing w:val="-3"/>
        </w:rPr>
        <w:t>显。</w:t>
      </w:r>
    </w:p>
    <w:p>
      <w:pPr>
        <w:ind w:firstLine="1103"/>
        <w:spacing w:before="214" w:line="2520" w:lineRule="exact"/>
        <w:rPr/>
      </w:pPr>
      <w:r>
        <w:rPr>
          <w:position w:val="-50"/>
        </w:rPr>
        <w:drawing>
          <wp:inline distT="0" distB="0" distL="0" distR="0">
            <wp:extent cx="3889248" cy="1600200"/>
            <wp:effectExtent l="0" t="0" r="0" b="0"/>
            <wp:docPr id="8" name="IM 8"/>
            <wp:cNvGraphicFramePr/>
            <a:graphic>
              <a:graphicData uri="http://schemas.openxmlformats.org/drawingml/2006/picture">
                <pic:pic>
                  <pic:nvPicPr>
                    <pic:cNvPr id="8" name="IM 8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889248" cy="1600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left="1740"/>
        <w:spacing w:before="207" w:line="217" w:lineRule="auto"/>
        <w:outlineLvl w:val="2"/>
        <w:rPr>
          <w:rFonts w:ascii="KaiTi" w:hAnsi="KaiTi" w:eastAsia="KaiTi" w:cs="KaiTi"/>
          <w:sz w:val="30"/>
          <w:szCs w:val="30"/>
        </w:rPr>
      </w:pPr>
      <w:r>
        <w:rPr>
          <w:rFonts w:ascii="KaiTi" w:hAnsi="KaiTi" w:eastAsia="KaiTi" w:cs="KaiTi"/>
          <w:sz w:val="30"/>
          <w:szCs w:val="30"/>
          <w:spacing w:val="-4"/>
        </w:rPr>
        <w:t>图</w:t>
      </w:r>
      <w:r>
        <w:rPr>
          <w:rFonts w:ascii="KaiTi" w:hAnsi="KaiTi" w:eastAsia="KaiTi" w:cs="KaiTi"/>
          <w:sz w:val="30"/>
          <w:szCs w:val="30"/>
          <w:spacing w:val="-65"/>
        </w:rPr>
        <w:t xml:space="preserve"> </w:t>
      </w:r>
      <w:r>
        <w:rPr>
          <w:rFonts w:ascii="KaiTi" w:hAnsi="KaiTi" w:eastAsia="KaiTi" w:cs="KaiTi"/>
          <w:sz w:val="30"/>
          <w:szCs w:val="30"/>
          <w:spacing w:val="-4"/>
        </w:rPr>
        <w:t>4</w:t>
      </w:r>
      <w:r>
        <w:rPr>
          <w:rFonts w:ascii="KaiTi" w:hAnsi="KaiTi" w:eastAsia="KaiTi" w:cs="KaiTi"/>
          <w:sz w:val="30"/>
          <w:szCs w:val="30"/>
          <w:spacing w:val="-4"/>
        </w:rPr>
        <w:t xml:space="preserve">  </w:t>
      </w:r>
      <w:r>
        <w:rPr>
          <w:rFonts w:ascii="KaiTi" w:hAnsi="KaiTi" w:eastAsia="KaiTi" w:cs="KaiTi"/>
          <w:sz w:val="30"/>
          <w:szCs w:val="30"/>
          <w:spacing w:val="-4"/>
        </w:rPr>
        <w:t>SAB</w:t>
      </w:r>
      <w:r>
        <w:rPr>
          <w:rFonts w:ascii="KaiTi" w:hAnsi="KaiTi" w:eastAsia="KaiTi" w:cs="KaiTi"/>
          <w:sz w:val="30"/>
          <w:szCs w:val="30"/>
          <w:spacing w:val="-55"/>
        </w:rPr>
        <w:t xml:space="preserve"> </w:t>
      </w:r>
      <w:r>
        <w:rPr>
          <w:rFonts w:ascii="KaiTi" w:hAnsi="KaiTi" w:eastAsia="KaiTi" w:cs="KaiTi"/>
          <w:sz w:val="30"/>
          <w:szCs w:val="30"/>
          <w:spacing w:val="-4"/>
        </w:rPr>
        <w:t>级项目感知要素不满提及率</w:t>
      </w:r>
    </w:p>
    <w:p>
      <w:pPr>
        <w:spacing w:line="413" w:lineRule="auto"/>
        <w:rPr>
          <w:rFonts w:ascii="Arial"/>
          <w:sz w:val="21"/>
        </w:rPr>
      </w:pPr>
      <w:r/>
    </w:p>
    <w:p>
      <w:pPr>
        <w:ind w:left="675"/>
        <w:spacing w:before="100" w:line="224" w:lineRule="auto"/>
        <w:outlineLvl w:val="0"/>
        <w:rPr>
          <w:rFonts w:ascii="SimHei" w:hAnsi="SimHei" w:eastAsia="SimHei" w:cs="SimHei"/>
          <w:sz w:val="31"/>
          <w:szCs w:val="31"/>
        </w:rPr>
      </w:pPr>
      <w:r>
        <w:rPr>
          <w:rFonts w:ascii="SimHei" w:hAnsi="SimHei" w:eastAsia="SimHei" w:cs="SimHei"/>
          <w:sz w:val="31"/>
          <w:szCs w:val="31"/>
          <w:b/>
          <w:bCs/>
          <w:spacing w:val="6"/>
        </w:rPr>
        <w:t>二、当前存在的主要客户感知问题</w:t>
      </w:r>
    </w:p>
    <w:p>
      <w:pPr>
        <w:spacing w:line="274" w:lineRule="auto"/>
        <w:rPr>
          <w:rFonts w:ascii="Arial"/>
          <w:sz w:val="21"/>
        </w:rPr>
      </w:pPr>
      <w:r/>
    </w:p>
    <w:p>
      <w:pPr>
        <w:ind w:left="25" w:right="12" w:firstLine="604"/>
        <w:spacing w:before="98" w:line="259" w:lineRule="auto"/>
        <w:jc w:val="both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1"/>
        </w:rPr>
        <w:t>从调研对比结果看，</w:t>
      </w:r>
      <w:r>
        <w:rPr>
          <w:rFonts w:ascii="Times New Roman" w:hAnsi="Times New Roman" w:eastAsia="Times New Roman" w:cs="Times New Roman"/>
          <w:sz w:val="30"/>
          <w:szCs w:val="30"/>
          <w:spacing w:val="-1"/>
        </w:rPr>
        <w:t>PMO</w:t>
      </w:r>
      <w:r>
        <w:rPr>
          <w:rFonts w:ascii="SimSun" w:hAnsi="SimSun" w:eastAsia="SimSun" w:cs="SimSun"/>
          <w:sz w:val="30"/>
          <w:szCs w:val="30"/>
          <w:spacing w:val="-1"/>
        </w:rPr>
        <w:t>、云中台、</w:t>
      </w:r>
      <w:r>
        <w:rPr>
          <w:rFonts w:ascii="Times New Roman" w:hAnsi="Times New Roman" w:eastAsia="Times New Roman" w:cs="Times New Roman"/>
          <w:sz w:val="30"/>
          <w:szCs w:val="30"/>
          <w:spacing w:val="-1"/>
        </w:rPr>
        <w:t>ISOC </w:t>
      </w:r>
      <w:r>
        <w:rPr>
          <w:rFonts w:ascii="SimSun" w:hAnsi="SimSun" w:eastAsia="SimSun" w:cs="SimSun"/>
          <w:sz w:val="30"/>
          <w:szCs w:val="30"/>
          <w:spacing w:val="-1"/>
        </w:rPr>
        <w:t>等系列举措对低</w:t>
      </w:r>
      <w:r>
        <w:rPr>
          <w:rFonts w:ascii="SimSun" w:hAnsi="SimSun" w:eastAsia="SimSun" w:cs="SimSun"/>
          <w:sz w:val="30"/>
          <w:szCs w:val="30"/>
          <w:spacing w:val="-4"/>
        </w:rPr>
        <w:t>端项目的售前技术支撑和项目质量发挥了较好的作用，但对高端</w:t>
      </w:r>
      <w:r>
        <w:rPr>
          <w:rFonts w:ascii="SimSun" w:hAnsi="SimSun" w:eastAsia="SimSun" w:cs="SimSun"/>
          <w:sz w:val="30"/>
          <w:szCs w:val="30"/>
        </w:rPr>
        <w:t>项目在售前技术支撑和售中实施交付统筹管理作用</w:t>
      </w:r>
      <w:r>
        <w:rPr>
          <w:rFonts w:ascii="SimSun" w:hAnsi="SimSun" w:eastAsia="SimSun" w:cs="SimSun"/>
          <w:sz w:val="30"/>
          <w:szCs w:val="30"/>
          <w:spacing w:val="-1"/>
        </w:rPr>
        <w:t>不足，</w:t>
      </w:r>
      <w:r>
        <w:rPr>
          <w:rFonts w:ascii="SimSun" w:hAnsi="SimSun" w:eastAsia="SimSun" w:cs="SimSun"/>
          <w:sz w:val="30"/>
          <w:szCs w:val="30"/>
          <w:spacing w:val="-32"/>
        </w:rPr>
        <w:t xml:space="preserve"> </w:t>
      </w:r>
      <w:r>
        <w:rPr>
          <w:rFonts w:ascii="Times New Roman" w:hAnsi="Times New Roman" w:eastAsia="Times New Roman" w:cs="Times New Roman"/>
          <w:sz w:val="30"/>
          <w:szCs w:val="30"/>
          <w:spacing w:val="-1"/>
        </w:rPr>
        <w:t>ISOC</w:t>
      </w:r>
      <w:r>
        <w:rPr>
          <w:rFonts w:ascii="SimSun" w:hAnsi="SimSun" w:eastAsia="SimSun" w:cs="SimSun"/>
          <w:sz w:val="30"/>
          <w:szCs w:val="30"/>
          <w:spacing w:val="-4"/>
        </w:rPr>
        <w:t>在项目运行质量方面起到了积极作用，但在运营维护方面仍有较</w:t>
      </w:r>
      <w:r>
        <w:rPr>
          <w:rFonts w:ascii="SimSun" w:hAnsi="SimSun" w:eastAsia="SimSun" w:cs="SimSun"/>
          <w:sz w:val="30"/>
          <w:szCs w:val="30"/>
          <w:spacing w:val="-9"/>
        </w:rPr>
        <w:t>大短板。调研显示， 高端项目的问题优先级发生变化，运营维护</w:t>
      </w:r>
      <w:r>
        <w:rPr>
          <w:rFonts w:ascii="SimSun" w:hAnsi="SimSun" w:eastAsia="SimSun" w:cs="SimSun"/>
          <w:sz w:val="30"/>
          <w:szCs w:val="30"/>
          <w:spacing w:val="-2"/>
        </w:rPr>
        <w:t>和实施交付成为新的突出问题，解决方案问题也有明显劣化。</w:t>
      </w:r>
    </w:p>
    <w:p>
      <w:pPr>
        <w:ind w:left="636"/>
        <w:spacing w:before="272" w:line="233" w:lineRule="auto"/>
        <w:outlineLvl w:val="1"/>
        <w:rPr>
          <w:rFonts w:ascii="SimSun" w:hAnsi="SimSun" w:eastAsia="SimSun" w:cs="SimSun"/>
          <w:sz w:val="30"/>
          <w:szCs w:val="30"/>
        </w:rPr>
      </w:pPr>
      <w:r>
        <w:rPr>
          <w:rFonts w:ascii="Times New Roman" w:hAnsi="Times New Roman" w:eastAsia="Times New Roman" w:cs="Times New Roman"/>
          <w:sz w:val="30"/>
          <w:szCs w:val="30"/>
          <w:b/>
          <w:bCs/>
          <w:spacing w:val="-4"/>
        </w:rPr>
        <w:t>1</w:t>
      </w:r>
      <w:r>
        <w:rPr>
          <w:rFonts w:ascii="SimSun" w:hAnsi="SimSun" w:eastAsia="SimSun" w:cs="SimSun"/>
          <w:sz w:val="30"/>
          <w:szCs w:val="30"/>
          <w:b/>
          <w:bCs/>
          <w:spacing w:val="-4"/>
        </w:rPr>
        <w:t>．运营维护存在的主要问题</w:t>
      </w:r>
    </w:p>
    <w:p>
      <w:pPr>
        <w:ind w:left="25" w:right="12" w:firstLine="601"/>
        <w:spacing w:before="322" w:line="258" w:lineRule="auto"/>
        <w:jc w:val="both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4"/>
        </w:rPr>
        <w:t>运营维护存在的主要问题是报障响应慢和修障时间长。具体</w:t>
      </w:r>
      <w:r>
        <w:rPr>
          <w:rFonts w:ascii="SimSun" w:hAnsi="SimSun" w:eastAsia="SimSun" w:cs="SimSun"/>
          <w:sz w:val="30"/>
          <w:szCs w:val="30"/>
          <w:spacing w:val="-4"/>
        </w:rPr>
        <w:t>表现包括：处理时间超过合同约定，或修障时间无法满足行业需</w:t>
      </w:r>
      <w:r>
        <w:rPr>
          <w:rFonts w:ascii="SimSun" w:hAnsi="SimSun" w:eastAsia="SimSun" w:cs="SimSun"/>
          <w:sz w:val="30"/>
          <w:szCs w:val="30"/>
          <w:spacing w:val="-5"/>
        </w:rPr>
        <w:t>求和客户期望，如某金融业客户抱怨“电信按照合同约定的</w:t>
      </w:r>
      <w:r>
        <w:rPr>
          <w:rFonts w:ascii="SimSun" w:hAnsi="SimSun" w:eastAsia="SimSun" w:cs="SimSun"/>
          <w:sz w:val="30"/>
          <w:szCs w:val="30"/>
          <w:spacing w:val="-60"/>
        </w:rPr>
        <w:t xml:space="preserve"> </w:t>
      </w:r>
      <w:r>
        <w:rPr>
          <w:rFonts w:ascii="Times New Roman" w:hAnsi="Times New Roman" w:eastAsia="Times New Roman" w:cs="Times New Roman"/>
          <w:sz w:val="30"/>
          <w:szCs w:val="30"/>
          <w:spacing w:val="-5"/>
        </w:rPr>
        <w:t>3</w:t>
      </w:r>
      <w:r>
        <w:rPr>
          <w:rFonts w:ascii="Times New Roman" w:hAnsi="Times New Roman" w:eastAsia="Times New Roman" w:cs="Times New Roman"/>
          <w:sz w:val="30"/>
          <w:szCs w:val="30"/>
          <w:spacing w:val="19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5"/>
        </w:rPr>
        <w:t>天</w:t>
      </w:r>
      <w:r>
        <w:rPr>
          <w:rFonts w:ascii="SimSun" w:hAnsi="SimSun" w:eastAsia="SimSun" w:cs="SimSun"/>
          <w:sz w:val="30"/>
          <w:szCs w:val="30"/>
          <w:spacing w:val="-1"/>
        </w:rPr>
        <w:t>时间处理故障，但无法满足我们的业务发展需要”。</w:t>
      </w:r>
    </w:p>
    <w:p>
      <w:pPr>
        <w:ind w:left="26" w:right="13" w:firstLine="629"/>
        <w:spacing w:before="280" w:line="260" w:lineRule="auto"/>
        <w:jc w:val="both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6"/>
        </w:rPr>
        <w:t>同时，高端客户对故障处理进度透明化、故障处理智能化和</w:t>
      </w:r>
      <w:r>
        <w:rPr>
          <w:rFonts w:ascii="SimSun" w:hAnsi="SimSun" w:eastAsia="SimSun" w:cs="SimSun"/>
          <w:sz w:val="30"/>
          <w:szCs w:val="30"/>
          <w:spacing w:val="-4"/>
        </w:rPr>
        <w:t>自助化水平也十分重视，某公安行业客户反映，如能建立故障预</w:t>
      </w:r>
      <w:r>
        <w:rPr>
          <w:rFonts w:ascii="SimSun" w:hAnsi="SimSun" w:eastAsia="SimSun" w:cs="SimSun"/>
          <w:sz w:val="30"/>
          <w:szCs w:val="30"/>
          <w:spacing w:val="-4"/>
        </w:rPr>
        <w:t>警机制实现自动报障，就不需要每次都要找人联系核查；某制造</w:t>
      </w:r>
      <w:r>
        <w:rPr>
          <w:rFonts w:ascii="SimSun" w:hAnsi="SimSun" w:eastAsia="SimSun" w:cs="SimSun"/>
          <w:sz w:val="30"/>
          <w:szCs w:val="30"/>
          <w:spacing w:val="-4"/>
        </w:rPr>
        <w:t>行业客户反映，故障处理就像黑箱，提交报障单后，对进展一无</w:t>
      </w:r>
      <w:r>
        <w:rPr>
          <w:rFonts w:ascii="SimSun" w:hAnsi="SimSun" w:eastAsia="SimSun" w:cs="SimSun"/>
          <w:sz w:val="30"/>
          <w:szCs w:val="30"/>
          <w:spacing w:val="-5"/>
        </w:rPr>
        <w:t>所知，感觉非常被动。</w:t>
      </w:r>
    </w:p>
    <w:p>
      <w:pPr>
        <w:spacing w:line="260" w:lineRule="auto"/>
        <w:sectPr>
          <w:pgSz w:w="11907" w:h="16839"/>
          <w:pgMar w:top="1431" w:right="1785" w:bottom="0" w:left="1785" w:header="0" w:footer="0" w:gutter="0"/>
        </w:sectPr>
        <w:rPr>
          <w:rFonts w:ascii="SimSun" w:hAnsi="SimSun" w:eastAsia="SimSun" w:cs="SimSun"/>
          <w:sz w:val="30"/>
          <w:szCs w:val="30"/>
        </w:rPr>
      </w:pPr>
    </w:p>
    <w:p>
      <w:pPr>
        <w:ind w:firstLine="450"/>
        <w:spacing w:before="85" w:line="4212" w:lineRule="exact"/>
        <w:rPr/>
      </w:pPr>
      <w:r>
        <w:rPr>
          <w:position w:val="-84"/>
        </w:rPr>
        <w:drawing>
          <wp:inline distT="0" distB="0" distL="0" distR="0">
            <wp:extent cx="4530022" cy="2674620"/>
            <wp:effectExtent l="0" t="0" r="0" b="0"/>
            <wp:docPr id="10" name="IM 10"/>
            <wp:cNvGraphicFramePr/>
            <a:graphic>
              <a:graphicData uri="http://schemas.openxmlformats.org/drawingml/2006/picture">
                <pic:pic>
                  <pic:nvPicPr>
                    <pic:cNvPr id="10" name="IM 10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530022" cy="2674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left="2602"/>
        <w:spacing w:before="142" w:line="220" w:lineRule="auto"/>
        <w:outlineLvl w:val="2"/>
        <w:rPr>
          <w:rFonts w:ascii="KaiTi" w:hAnsi="KaiTi" w:eastAsia="KaiTi" w:cs="KaiTi"/>
          <w:sz w:val="30"/>
          <w:szCs w:val="30"/>
        </w:rPr>
      </w:pPr>
      <w:r>
        <w:rPr>
          <w:rFonts w:ascii="KaiTi" w:hAnsi="KaiTi" w:eastAsia="KaiTi" w:cs="KaiTi"/>
          <w:sz w:val="30"/>
          <w:szCs w:val="30"/>
          <w:spacing w:val="-5"/>
        </w:rPr>
        <w:t>图</w:t>
      </w:r>
      <w:r>
        <w:rPr>
          <w:rFonts w:ascii="KaiTi" w:hAnsi="KaiTi" w:eastAsia="KaiTi" w:cs="KaiTi"/>
          <w:sz w:val="30"/>
          <w:szCs w:val="30"/>
          <w:spacing w:val="-62"/>
        </w:rPr>
        <w:t xml:space="preserve"> </w:t>
      </w:r>
      <w:r>
        <w:rPr>
          <w:rFonts w:ascii="KaiTi" w:hAnsi="KaiTi" w:eastAsia="KaiTi" w:cs="KaiTi"/>
          <w:sz w:val="30"/>
          <w:szCs w:val="30"/>
          <w:spacing w:val="-5"/>
        </w:rPr>
        <w:t>5</w:t>
      </w:r>
      <w:r>
        <w:rPr>
          <w:rFonts w:ascii="KaiTi" w:hAnsi="KaiTi" w:eastAsia="KaiTi" w:cs="KaiTi"/>
          <w:sz w:val="30"/>
          <w:szCs w:val="30"/>
          <w:spacing w:val="-5"/>
        </w:rPr>
        <w:t xml:space="preserve">  </w:t>
      </w:r>
      <w:r>
        <w:rPr>
          <w:rFonts w:ascii="KaiTi" w:hAnsi="KaiTi" w:eastAsia="KaiTi" w:cs="KaiTi"/>
          <w:sz w:val="30"/>
          <w:szCs w:val="30"/>
          <w:spacing w:val="-5"/>
        </w:rPr>
        <w:t>运营维护主要问题</w:t>
      </w:r>
    </w:p>
    <w:p>
      <w:pPr>
        <w:ind w:left="624"/>
        <w:spacing w:before="338" w:line="230" w:lineRule="auto"/>
        <w:outlineLvl w:val="1"/>
        <w:rPr>
          <w:rFonts w:ascii="SimSun" w:hAnsi="SimSun" w:eastAsia="SimSun" w:cs="SimSun"/>
          <w:sz w:val="30"/>
          <w:szCs w:val="30"/>
        </w:rPr>
      </w:pPr>
      <w:r>
        <w:rPr>
          <w:rFonts w:ascii="Times New Roman" w:hAnsi="Times New Roman" w:eastAsia="Times New Roman" w:cs="Times New Roman"/>
          <w:sz w:val="30"/>
          <w:szCs w:val="30"/>
          <w:b/>
          <w:bCs/>
          <w:spacing w:val="-3"/>
        </w:rPr>
        <w:t>2</w:t>
      </w:r>
      <w:r>
        <w:rPr>
          <w:rFonts w:ascii="SimSun" w:hAnsi="SimSun" w:eastAsia="SimSun" w:cs="SimSun"/>
          <w:sz w:val="30"/>
          <w:szCs w:val="30"/>
          <w:b/>
          <w:bCs/>
          <w:spacing w:val="-3"/>
        </w:rPr>
        <w:t>．实施交付存在的主要问题</w:t>
      </w:r>
    </w:p>
    <w:p>
      <w:pPr>
        <w:ind w:firstLine="699"/>
        <w:spacing w:line="4300" w:lineRule="exact"/>
        <w:rPr/>
      </w:pPr>
      <w:r>
        <w:rPr>
          <w:position w:val="-86"/>
        </w:rPr>
        <w:drawing>
          <wp:inline distT="0" distB="0" distL="0" distR="0">
            <wp:extent cx="4275510" cy="2731008"/>
            <wp:effectExtent l="0" t="0" r="0" b="0"/>
            <wp:docPr id="12" name="IM 12"/>
            <wp:cNvGraphicFramePr/>
            <a:graphic>
              <a:graphicData uri="http://schemas.openxmlformats.org/drawingml/2006/picture">
                <pic:pic>
                  <pic:nvPicPr>
                    <pic:cNvPr id="12" name="IM 12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275510" cy="27310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left="2602"/>
        <w:spacing w:before="97" w:line="220" w:lineRule="auto"/>
        <w:outlineLvl w:val="2"/>
        <w:rPr>
          <w:rFonts w:ascii="KaiTi" w:hAnsi="KaiTi" w:eastAsia="KaiTi" w:cs="KaiTi"/>
          <w:sz w:val="30"/>
          <w:szCs w:val="30"/>
        </w:rPr>
      </w:pPr>
      <w:r>
        <w:rPr>
          <w:rFonts w:ascii="KaiTi" w:hAnsi="KaiTi" w:eastAsia="KaiTi" w:cs="KaiTi"/>
          <w:sz w:val="30"/>
          <w:szCs w:val="30"/>
          <w:spacing w:val="-8"/>
        </w:rPr>
        <w:t>图</w:t>
      </w:r>
      <w:r>
        <w:rPr>
          <w:rFonts w:ascii="KaiTi" w:hAnsi="KaiTi" w:eastAsia="KaiTi" w:cs="KaiTi"/>
          <w:sz w:val="30"/>
          <w:szCs w:val="30"/>
          <w:spacing w:val="-63"/>
        </w:rPr>
        <w:t xml:space="preserve"> </w:t>
      </w:r>
      <w:r>
        <w:rPr>
          <w:rFonts w:ascii="KaiTi" w:hAnsi="KaiTi" w:eastAsia="KaiTi" w:cs="KaiTi"/>
          <w:sz w:val="30"/>
          <w:szCs w:val="30"/>
          <w:spacing w:val="-8"/>
        </w:rPr>
        <w:t>6</w:t>
      </w:r>
      <w:r>
        <w:rPr>
          <w:rFonts w:ascii="KaiTi" w:hAnsi="KaiTi" w:eastAsia="KaiTi" w:cs="KaiTi"/>
          <w:sz w:val="30"/>
          <w:szCs w:val="30"/>
          <w:spacing w:val="11"/>
        </w:rPr>
        <w:t xml:space="preserve">  </w:t>
      </w:r>
      <w:r>
        <w:rPr>
          <w:rFonts w:ascii="KaiTi" w:hAnsi="KaiTi" w:eastAsia="KaiTi" w:cs="KaiTi"/>
          <w:sz w:val="30"/>
          <w:szCs w:val="30"/>
          <w:spacing w:val="-8"/>
        </w:rPr>
        <w:t>实施交付主要问题</w:t>
      </w:r>
    </w:p>
    <w:p>
      <w:pPr>
        <w:ind w:left="26" w:right="13" w:firstLine="607"/>
        <w:spacing w:before="339" w:line="261" w:lineRule="auto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5"/>
        </w:rPr>
        <w:t>实施交付方面，由于项目管理能力等问题导致交付延期和交</w:t>
      </w:r>
      <w:r>
        <w:rPr>
          <w:rFonts w:ascii="SimSun" w:hAnsi="SimSun" w:eastAsia="SimSun" w:cs="SimSun"/>
          <w:sz w:val="30"/>
          <w:szCs w:val="30"/>
          <w:spacing w:val="-6"/>
        </w:rPr>
        <w:t>付质量不达标，主要表现在：</w:t>
      </w:r>
    </w:p>
    <w:p>
      <w:pPr>
        <w:ind w:left="27" w:right="12" w:firstLine="597"/>
        <w:spacing w:before="272" w:line="258" w:lineRule="auto"/>
        <w:jc w:val="both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4"/>
        </w:rPr>
        <w:t>①流程多而复杂，如某制造业客户反映，不管提什</w:t>
      </w:r>
      <w:r>
        <w:rPr>
          <w:rFonts w:ascii="SimSun" w:hAnsi="SimSun" w:eastAsia="SimSun" w:cs="SimSun"/>
          <w:sz w:val="30"/>
          <w:szCs w:val="30"/>
          <w:spacing w:val="-5"/>
        </w:rPr>
        <w:t>么需求都</w:t>
      </w:r>
      <w:r>
        <w:rPr>
          <w:rFonts w:ascii="SimSun" w:hAnsi="SimSun" w:eastAsia="SimSun" w:cs="SimSun"/>
          <w:sz w:val="30"/>
          <w:szCs w:val="30"/>
          <w:spacing w:val="-2"/>
        </w:rPr>
        <w:t>要走流程，而且任一流程都要</w:t>
      </w:r>
      <w:r>
        <w:rPr>
          <w:rFonts w:ascii="SimSun" w:hAnsi="SimSun" w:eastAsia="SimSun" w:cs="SimSun"/>
          <w:sz w:val="30"/>
          <w:szCs w:val="30"/>
          <w:spacing w:val="-24"/>
        </w:rPr>
        <w:t xml:space="preserve"> </w:t>
      </w:r>
      <w:r>
        <w:rPr>
          <w:rFonts w:ascii="Times New Roman" w:hAnsi="Times New Roman" w:eastAsia="Times New Roman" w:cs="Times New Roman"/>
          <w:sz w:val="30"/>
          <w:szCs w:val="30"/>
          <w:spacing w:val="-2"/>
        </w:rPr>
        <w:t>7~10</w:t>
      </w:r>
      <w:r>
        <w:rPr>
          <w:rFonts w:ascii="Times New Roman" w:hAnsi="Times New Roman" w:eastAsia="Times New Roman" w:cs="Times New Roman"/>
          <w:sz w:val="30"/>
          <w:szCs w:val="30"/>
          <w:spacing w:val="38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2"/>
        </w:rPr>
        <w:t>天，客户很不满。项目经理</w:t>
      </w:r>
      <w:r>
        <w:rPr>
          <w:rFonts w:ascii="SimSun" w:hAnsi="SimSun" w:eastAsia="SimSun" w:cs="SimSun"/>
          <w:sz w:val="30"/>
          <w:szCs w:val="30"/>
          <w:spacing w:val="-4"/>
        </w:rPr>
        <w:t>反映有些流程难以理解，如一个简单的证照借阅，要经过多个部</w:t>
      </w:r>
      <w:r>
        <w:rPr>
          <w:rFonts w:ascii="SimSun" w:hAnsi="SimSun" w:eastAsia="SimSun" w:cs="SimSun"/>
          <w:sz w:val="30"/>
          <w:szCs w:val="30"/>
          <w:spacing w:val="-9"/>
        </w:rPr>
        <w:t>门和多个领导审批；</w:t>
      </w:r>
    </w:p>
    <w:p>
      <w:pPr>
        <w:spacing w:line="258" w:lineRule="auto"/>
        <w:sectPr>
          <w:pgSz w:w="11907" w:h="16839"/>
          <w:pgMar w:top="1431" w:right="1785" w:bottom="0" w:left="1785" w:header="0" w:footer="0" w:gutter="0"/>
        </w:sectPr>
        <w:rPr>
          <w:rFonts w:ascii="SimSun" w:hAnsi="SimSun" w:eastAsia="SimSun" w:cs="SimSun"/>
          <w:sz w:val="30"/>
          <w:szCs w:val="30"/>
        </w:rPr>
      </w:pPr>
    </w:p>
    <w:p>
      <w:pPr>
        <w:ind w:left="37" w:right="16" w:firstLine="585"/>
        <w:spacing w:before="84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4"/>
        </w:rPr>
        <w:t>②对第三方的管理很弱势，某政法公安客户反映，第</w:t>
      </w:r>
      <w:r>
        <w:rPr>
          <w:rFonts w:ascii="SimSun" w:hAnsi="SimSun" w:eastAsia="SimSun" w:cs="SimSun"/>
          <w:sz w:val="30"/>
          <w:szCs w:val="30"/>
          <w:spacing w:val="-5"/>
        </w:rPr>
        <w:t>三方人</w:t>
      </w:r>
      <w:r>
        <w:rPr>
          <w:rFonts w:ascii="SimSun" w:hAnsi="SimSun" w:eastAsia="SimSun" w:cs="SimSun"/>
          <w:sz w:val="30"/>
          <w:szCs w:val="30"/>
          <w:spacing w:val="-5"/>
        </w:rPr>
        <w:t>员更换太频繁，对他们的项目造成很大风险；</w:t>
      </w:r>
    </w:p>
    <w:p>
      <w:pPr>
        <w:spacing w:line="243" w:lineRule="auto"/>
        <w:rPr>
          <w:rFonts w:ascii="Arial"/>
          <w:sz w:val="21"/>
        </w:rPr>
      </w:pPr>
      <w:r/>
    </w:p>
    <w:p>
      <w:pPr>
        <w:ind w:left="83" w:right="16" w:firstLine="540"/>
        <w:spacing w:before="98" w:line="239" w:lineRule="auto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4"/>
        </w:rPr>
        <w:t>③缺乏统筹安排和协同推进，如调整预算过程非常繁</w:t>
      </w:r>
      <w:r>
        <w:rPr>
          <w:rFonts w:ascii="SimSun" w:hAnsi="SimSun" w:eastAsia="SimSun" w:cs="SimSun"/>
          <w:sz w:val="30"/>
          <w:szCs w:val="30"/>
          <w:spacing w:val="-5"/>
        </w:rPr>
        <w:t>琐，项</w:t>
      </w:r>
      <w:r>
        <w:rPr>
          <w:rFonts w:ascii="SimSun" w:hAnsi="SimSun" w:eastAsia="SimSun" w:cs="SimSun"/>
          <w:sz w:val="30"/>
          <w:szCs w:val="30"/>
          <w:spacing w:val="-5"/>
        </w:rPr>
        <w:t>目资源调整和内部管理机制发生冲突，协调沟通困难。</w:t>
      </w:r>
    </w:p>
    <w:p>
      <w:pPr>
        <w:spacing w:line="244" w:lineRule="auto"/>
        <w:rPr>
          <w:rFonts w:ascii="Arial"/>
          <w:sz w:val="21"/>
        </w:rPr>
      </w:pPr>
      <w:r/>
    </w:p>
    <w:p>
      <w:pPr>
        <w:ind w:left="621"/>
        <w:spacing w:before="97" w:line="233" w:lineRule="auto"/>
        <w:outlineLvl w:val="1"/>
        <w:rPr>
          <w:rFonts w:ascii="SimSun" w:hAnsi="SimSun" w:eastAsia="SimSun" w:cs="SimSun"/>
          <w:sz w:val="30"/>
          <w:szCs w:val="30"/>
        </w:rPr>
      </w:pPr>
      <w:r>
        <w:rPr>
          <w:rFonts w:ascii="Times New Roman" w:hAnsi="Times New Roman" w:eastAsia="Times New Roman" w:cs="Times New Roman"/>
          <w:sz w:val="30"/>
          <w:szCs w:val="30"/>
          <w:b/>
          <w:bCs/>
          <w:spacing w:val="-3"/>
        </w:rPr>
        <w:t>3</w:t>
      </w:r>
      <w:r>
        <w:rPr>
          <w:rFonts w:ascii="SimSun" w:hAnsi="SimSun" w:eastAsia="SimSun" w:cs="SimSun"/>
          <w:sz w:val="30"/>
          <w:szCs w:val="30"/>
          <w:b/>
          <w:bCs/>
          <w:spacing w:val="-3"/>
        </w:rPr>
        <w:t>．解决方案存在的主要问题</w:t>
      </w:r>
    </w:p>
    <w:p>
      <w:pPr>
        <w:ind w:left="634"/>
        <w:spacing w:before="319" w:line="233" w:lineRule="auto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2"/>
        </w:rPr>
        <w:t>（</w:t>
      </w:r>
      <w:r>
        <w:rPr>
          <w:rFonts w:ascii="Times New Roman" w:hAnsi="Times New Roman" w:eastAsia="Times New Roman" w:cs="Times New Roman"/>
          <w:sz w:val="30"/>
          <w:szCs w:val="30"/>
          <w:spacing w:val="-2"/>
        </w:rPr>
        <w:t>1</w:t>
      </w:r>
      <w:r>
        <w:rPr>
          <w:rFonts w:ascii="SimSun" w:hAnsi="SimSun" w:eastAsia="SimSun" w:cs="SimSun"/>
          <w:sz w:val="30"/>
          <w:szCs w:val="30"/>
          <w:spacing w:val="-2"/>
        </w:rPr>
        <w:t>）需求推进和咨询规划能力弱</w:t>
      </w:r>
    </w:p>
    <w:p>
      <w:pPr>
        <w:ind w:left="27" w:right="13" w:firstLine="597"/>
        <w:spacing w:before="322" w:line="246" w:lineRule="auto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10"/>
        </w:rPr>
        <w:t>①技术能力不足、行业理解不深、现场调研不够， 项目咨询</w:t>
      </w:r>
      <w:r>
        <w:rPr>
          <w:rFonts w:ascii="SimSun" w:hAnsi="SimSun" w:eastAsia="SimSun" w:cs="SimSun"/>
          <w:sz w:val="30"/>
          <w:szCs w:val="30"/>
          <w:spacing w:val="-8"/>
        </w:rPr>
        <w:t>和规划效果差。如某政法公安客户反映，</w:t>
      </w:r>
      <w:r>
        <w:rPr>
          <w:rFonts w:ascii="SimSun" w:hAnsi="SimSun" w:eastAsia="SimSun" w:cs="SimSun"/>
          <w:sz w:val="30"/>
          <w:szCs w:val="30"/>
          <w:spacing w:val="-36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8"/>
        </w:rPr>
        <w:t>他们需要创新的理念和</w:t>
      </w:r>
      <w:r>
        <w:rPr>
          <w:rFonts w:ascii="SimSun" w:hAnsi="SimSun" w:eastAsia="SimSun" w:cs="SimSun"/>
          <w:sz w:val="30"/>
          <w:szCs w:val="30"/>
          <w:spacing w:val="-3"/>
        </w:rPr>
        <w:t>前瞻性的规划，但电信无法提出这方面的建议。</w:t>
      </w:r>
    </w:p>
    <w:p>
      <w:pPr>
        <w:spacing w:line="242" w:lineRule="auto"/>
        <w:rPr>
          <w:rFonts w:ascii="Arial"/>
          <w:sz w:val="21"/>
        </w:rPr>
      </w:pPr>
      <w:r/>
    </w:p>
    <w:p>
      <w:pPr>
        <w:ind w:left="31" w:right="16" w:firstLine="592"/>
        <w:spacing w:before="98" w:line="239" w:lineRule="auto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4"/>
        </w:rPr>
        <w:t>②响应反馈不及时，如某服务行业客户反映，电信积</w:t>
      </w:r>
      <w:r>
        <w:rPr>
          <w:rFonts w:ascii="SimSun" w:hAnsi="SimSun" w:eastAsia="SimSun" w:cs="SimSun"/>
          <w:sz w:val="30"/>
          <w:szCs w:val="30"/>
          <w:spacing w:val="-5"/>
        </w:rPr>
        <w:t>极性不</w:t>
      </w:r>
      <w:r>
        <w:rPr>
          <w:rFonts w:ascii="SimSun" w:hAnsi="SimSun" w:eastAsia="SimSun" w:cs="SimSun"/>
          <w:sz w:val="30"/>
          <w:szCs w:val="30"/>
          <w:spacing w:val="-3"/>
        </w:rPr>
        <w:t>如联通，对客户提出的需求回应慢，也很少来现场。</w:t>
      </w:r>
    </w:p>
    <w:p>
      <w:pPr>
        <w:spacing w:line="243" w:lineRule="auto"/>
        <w:rPr>
          <w:rFonts w:ascii="Arial"/>
          <w:sz w:val="21"/>
        </w:rPr>
      </w:pPr>
      <w:r/>
    </w:p>
    <w:p>
      <w:pPr>
        <w:ind w:left="634"/>
        <w:spacing w:before="98" w:line="233" w:lineRule="auto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2"/>
        </w:rPr>
        <w:t>（</w:t>
      </w:r>
      <w:r>
        <w:rPr>
          <w:rFonts w:ascii="Times New Roman" w:hAnsi="Times New Roman" w:eastAsia="Times New Roman" w:cs="Times New Roman"/>
          <w:sz w:val="30"/>
          <w:szCs w:val="30"/>
          <w:spacing w:val="-2"/>
        </w:rPr>
        <w:t>2</w:t>
      </w:r>
      <w:r>
        <w:rPr>
          <w:rFonts w:ascii="SimSun" w:hAnsi="SimSun" w:eastAsia="SimSun" w:cs="SimSun"/>
          <w:sz w:val="30"/>
          <w:szCs w:val="30"/>
          <w:spacing w:val="-2"/>
        </w:rPr>
        <w:t>）解决方案难以满足客户需求</w:t>
      </w:r>
    </w:p>
    <w:p>
      <w:pPr>
        <w:ind w:firstLine="194"/>
        <w:spacing w:before="48" w:line="4188" w:lineRule="exact"/>
        <w:rPr/>
      </w:pPr>
      <w:r>
        <w:rPr>
          <w:position w:val="-83"/>
        </w:rPr>
        <w:drawing>
          <wp:inline distT="0" distB="0" distL="0" distR="0">
            <wp:extent cx="4817753" cy="2659379"/>
            <wp:effectExtent l="0" t="0" r="0" b="0"/>
            <wp:docPr id="14" name="IM 14"/>
            <wp:cNvGraphicFramePr/>
            <a:graphic>
              <a:graphicData uri="http://schemas.openxmlformats.org/drawingml/2006/picture">
                <pic:pic>
                  <pic:nvPicPr>
                    <pic:cNvPr id="14" name="IM 14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817753" cy="26593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left="2602"/>
        <w:spacing w:before="158" w:line="220" w:lineRule="auto"/>
        <w:outlineLvl w:val="2"/>
        <w:rPr>
          <w:rFonts w:ascii="KaiTi" w:hAnsi="KaiTi" w:eastAsia="KaiTi" w:cs="KaiTi"/>
          <w:sz w:val="30"/>
          <w:szCs w:val="30"/>
        </w:rPr>
      </w:pPr>
      <w:r>
        <w:rPr>
          <w:rFonts w:ascii="KaiTi" w:hAnsi="KaiTi" w:eastAsia="KaiTi" w:cs="KaiTi"/>
          <w:sz w:val="30"/>
          <w:szCs w:val="30"/>
          <w:spacing w:val="-6"/>
        </w:rPr>
        <w:t>图</w:t>
      </w:r>
      <w:r>
        <w:rPr>
          <w:rFonts w:ascii="KaiTi" w:hAnsi="KaiTi" w:eastAsia="KaiTi" w:cs="KaiTi"/>
          <w:sz w:val="30"/>
          <w:szCs w:val="30"/>
          <w:spacing w:val="-50"/>
        </w:rPr>
        <w:t xml:space="preserve"> </w:t>
      </w:r>
      <w:r>
        <w:rPr>
          <w:rFonts w:ascii="KaiTi" w:hAnsi="KaiTi" w:eastAsia="KaiTi" w:cs="KaiTi"/>
          <w:sz w:val="30"/>
          <w:szCs w:val="30"/>
          <w:spacing w:val="-6"/>
        </w:rPr>
        <w:t>7</w:t>
      </w:r>
      <w:r>
        <w:rPr>
          <w:rFonts w:ascii="KaiTi" w:hAnsi="KaiTi" w:eastAsia="KaiTi" w:cs="KaiTi"/>
          <w:sz w:val="30"/>
          <w:szCs w:val="30"/>
          <w:spacing w:val="-6"/>
        </w:rPr>
        <w:t xml:space="preserve">  </w:t>
      </w:r>
      <w:r>
        <w:rPr>
          <w:rFonts w:ascii="KaiTi" w:hAnsi="KaiTi" w:eastAsia="KaiTi" w:cs="KaiTi"/>
          <w:sz w:val="30"/>
          <w:szCs w:val="30"/>
          <w:spacing w:val="-6"/>
        </w:rPr>
        <w:t>解决方案主要问题</w:t>
      </w:r>
    </w:p>
    <w:p>
      <w:pPr>
        <w:ind w:left="25" w:right="16" w:firstLine="599"/>
        <w:spacing w:before="338" w:line="239" w:lineRule="auto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4"/>
        </w:rPr>
        <w:t>①场景化的定制能力不足，如某建筑行业客户反映</w:t>
      </w:r>
      <w:r>
        <w:rPr>
          <w:rFonts w:ascii="SimSun" w:hAnsi="SimSun" w:eastAsia="SimSun" w:cs="SimSun"/>
          <w:sz w:val="30"/>
          <w:szCs w:val="30"/>
          <w:spacing w:val="-5"/>
        </w:rPr>
        <w:t>，电信很</w:t>
      </w:r>
      <w:r>
        <w:rPr>
          <w:rFonts w:ascii="SimSun" w:hAnsi="SimSun" w:eastAsia="SimSun" w:cs="SimSun"/>
          <w:sz w:val="30"/>
          <w:szCs w:val="30"/>
          <w:spacing w:val="-2"/>
        </w:rPr>
        <w:t>难挖掘传统业务之外的需求，对于定制化开发，先天不足。</w:t>
      </w:r>
    </w:p>
    <w:p>
      <w:pPr>
        <w:spacing w:line="243" w:lineRule="auto"/>
        <w:rPr>
          <w:rFonts w:ascii="Arial"/>
          <w:sz w:val="21"/>
        </w:rPr>
      </w:pPr>
      <w:r/>
    </w:p>
    <w:p>
      <w:pPr>
        <w:ind w:left="26" w:right="15" w:firstLine="597"/>
        <w:spacing w:before="98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4"/>
        </w:rPr>
        <w:t>②解决方案与客户需求不匹配，如某工业行业客户反</w:t>
      </w:r>
      <w:r>
        <w:rPr>
          <w:rFonts w:ascii="SimSun" w:hAnsi="SimSun" w:eastAsia="SimSun" w:cs="SimSun"/>
          <w:sz w:val="30"/>
          <w:szCs w:val="30"/>
          <w:spacing w:val="-5"/>
        </w:rPr>
        <w:t>映，电</w:t>
      </w:r>
      <w:r>
        <w:rPr>
          <w:rFonts w:ascii="SimSun" w:hAnsi="SimSun" w:eastAsia="SimSun" w:cs="SimSun"/>
          <w:sz w:val="30"/>
          <w:szCs w:val="30"/>
          <w:spacing w:val="-4"/>
        </w:rPr>
        <w:t>信仅从销售产品出发，客户站位不足，提出的方案对甲方资源造</w:t>
      </w:r>
    </w:p>
    <w:p>
      <w:pPr>
        <w:sectPr>
          <w:pgSz w:w="11907" w:h="16839"/>
          <w:pgMar w:top="1431" w:right="1785" w:bottom="0" w:left="1785" w:header="0" w:footer="0" w:gutter="0"/>
        </w:sectPr>
        <w:rPr>
          <w:rFonts w:ascii="SimSun" w:hAnsi="SimSun" w:eastAsia="SimSun" w:cs="SimSun"/>
          <w:sz w:val="30"/>
          <w:szCs w:val="30"/>
        </w:rPr>
      </w:pPr>
    </w:p>
    <w:p>
      <w:pPr>
        <w:ind w:left="28"/>
        <w:spacing w:before="87" w:line="220" w:lineRule="auto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11"/>
        </w:rPr>
        <w:t>成浪费。</w:t>
      </w:r>
    </w:p>
    <w:p>
      <w:pPr>
        <w:rPr>
          <w:rFonts w:ascii="Arial"/>
          <w:sz w:val="21"/>
        </w:rPr>
      </w:pPr>
      <w:r/>
    </w:p>
    <w:p>
      <w:pPr>
        <w:ind w:left="26" w:right="103" w:firstLine="597"/>
        <w:spacing w:before="98" w:line="261" w:lineRule="auto"/>
        <w:jc w:val="both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4"/>
        </w:rPr>
        <w:t>③解决方案过度依赖第三方，如某政务行业客户反映</w:t>
      </w:r>
      <w:r>
        <w:rPr>
          <w:rFonts w:ascii="SimSun" w:hAnsi="SimSun" w:eastAsia="SimSun" w:cs="SimSun"/>
          <w:sz w:val="30"/>
          <w:szCs w:val="30"/>
          <w:spacing w:val="-5"/>
        </w:rPr>
        <w:t>，他们</w:t>
      </w:r>
      <w:r>
        <w:rPr>
          <w:rFonts w:ascii="SimSun" w:hAnsi="SimSun" w:eastAsia="SimSun" w:cs="SimSun"/>
          <w:sz w:val="30"/>
          <w:szCs w:val="30"/>
          <w:spacing w:val="-4"/>
        </w:rPr>
        <w:t>提出的新需求，电信未经充分理解，直接叫第三方公司对接，导</w:t>
      </w:r>
      <w:r>
        <w:rPr>
          <w:rFonts w:ascii="SimSun" w:hAnsi="SimSun" w:eastAsia="SimSun" w:cs="SimSun"/>
          <w:sz w:val="30"/>
          <w:szCs w:val="30"/>
          <w:spacing w:val="-7"/>
        </w:rPr>
        <w:t>致方案融合性差。</w:t>
      </w:r>
    </w:p>
    <w:p>
      <w:pPr>
        <w:spacing w:line="338" w:lineRule="auto"/>
        <w:rPr>
          <w:rFonts w:ascii="Arial"/>
          <w:sz w:val="21"/>
        </w:rPr>
      </w:pPr>
      <w:r/>
    </w:p>
    <w:p>
      <w:pPr>
        <w:ind w:left="676"/>
        <w:spacing w:before="101" w:line="224" w:lineRule="auto"/>
        <w:outlineLvl w:val="0"/>
        <w:rPr>
          <w:rFonts w:ascii="SimHei" w:hAnsi="SimHei" w:eastAsia="SimHei" w:cs="SimHei"/>
          <w:sz w:val="31"/>
          <w:szCs w:val="31"/>
        </w:rPr>
      </w:pPr>
      <w:r>
        <w:rPr>
          <w:rFonts w:ascii="SimHei" w:hAnsi="SimHei" w:eastAsia="SimHei" w:cs="SimHei"/>
          <w:sz w:val="31"/>
          <w:szCs w:val="31"/>
          <w:b/>
          <w:bCs/>
          <w:spacing w:val="4"/>
        </w:rPr>
        <w:t>三、完善建议</w:t>
      </w:r>
    </w:p>
    <w:p>
      <w:pPr>
        <w:spacing w:line="274" w:lineRule="auto"/>
        <w:rPr>
          <w:rFonts w:ascii="Arial"/>
          <w:sz w:val="21"/>
        </w:rPr>
      </w:pPr>
      <w:r/>
    </w:p>
    <w:p>
      <w:pPr>
        <w:ind w:left="26" w:right="104" w:firstLine="610"/>
        <w:spacing w:before="97" w:line="239" w:lineRule="auto"/>
        <w:outlineLvl w:val="1"/>
        <w:rPr>
          <w:rFonts w:ascii="SimSun" w:hAnsi="SimSun" w:eastAsia="SimSun" w:cs="SimSun"/>
          <w:sz w:val="30"/>
          <w:szCs w:val="30"/>
        </w:rPr>
      </w:pPr>
      <w:r>
        <w:rPr>
          <w:rFonts w:ascii="Times New Roman" w:hAnsi="Times New Roman" w:eastAsia="Times New Roman" w:cs="Times New Roman"/>
          <w:sz w:val="30"/>
          <w:szCs w:val="30"/>
          <w:b/>
          <w:bCs/>
          <w:spacing w:val="-7"/>
        </w:rPr>
        <w:t>1</w:t>
      </w:r>
      <w:r>
        <w:rPr>
          <w:rFonts w:ascii="SimSun" w:hAnsi="SimSun" w:eastAsia="SimSun" w:cs="SimSun"/>
          <w:sz w:val="30"/>
          <w:szCs w:val="30"/>
          <w:b/>
          <w:bCs/>
          <w:spacing w:val="-7"/>
        </w:rPr>
        <w:t>．高端项目配备高端服务，重点提升对</w:t>
      </w:r>
      <w:r>
        <w:rPr>
          <w:rFonts w:ascii="SimSun" w:hAnsi="SimSun" w:eastAsia="SimSun" w:cs="SimSun"/>
          <w:sz w:val="30"/>
          <w:szCs w:val="30"/>
          <w:spacing w:val="-52"/>
        </w:rPr>
        <w:t xml:space="preserve"> </w:t>
      </w:r>
      <w:r>
        <w:rPr>
          <w:rFonts w:ascii="Times New Roman" w:hAnsi="Times New Roman" w:eastAsia="Times New Roman" w:cs="Times New Roman"/>
          <w:sz w:val="30"/>
          <w:szCs w:val="30"/>
          <w:b/>
          <w:bCs/>
          <w:spacing w:val="-7"/>
        </w:rPr>
        <w:t>SAB </w:t>
      </w:r>
      <w:r>
        <w:rPr>
          <w:rFonts w:ascii="SimSun" w:hAnsi="SimSun" w:eastAsia="SimSun" w:cs="SimSun"/>
          <w:sz w:val="30"/>
          <w:szCs w:val="30"/>
          <w:b/>
          <w:bCs/>
          <w:spacing w:val="-7"/>
        </w:rPr>
        <w:t>级项目的支撑</w:t>
      </w:r>
      <w:r>
        <w:rPr>
          <w:rFonts w:ascii="SimSun" w:hAnsi="SimSun" w:eastAsia="SimSun" w:cs="SimSun"/>
          <w:sz w:val="30"/>
          <w:szCs w:val="30"/>
          <w:b/>
          <w:bCs/>
          <w:spacing w:val="-6"/>
        </w:rPr>
        <w:t>服务能力</w:t>
      </w:r>
    </w:p>
    <w:p>
      <w:pPr>
        <w:rPr>
          <w:rFonts w:ascii="Arial"/>
          <w:sz w:val="21"/>
        </w:rPr>
      </w:pPr>
      <w:r/>
    </w:p>
    <w:p>
      <w:pPr>
        <w:ind w:left="25" w:right="103" w:firstLine="603"/>
        <w:spacing w:before="98" w:line="261" w:lineRule="auto"/>
        <w:jc w:val="both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5"/>
        </w:rPr>
        <w:t>按照优势资源向高价值客户倾斜的原则，对</w:t>
      </w:r>
      <w:r>
        <w:rPr>
          <w:rFonts w:ascii="SimSun" w:hAnsi="SimSun" w:eastAsia="SimSun" w:cs="SimSun"/>
          <w:sz w:val="30"/>
          <w:szCs w:val="30"/>
          <w:spacing w:val="-38"/>
        </w:rPr>
        <w:t xml:space="preserve"> </w:t>
      </w:r>
      <w:r>
        <w:rPr>
          <w:rFonts w:ascii="Times New Roman" w:hAnsi="Times New Roman" w:eastAsia="Times New Roman" w:cs="Times New Roman"/>
          <w:sz w:val="30"/>
          <w:szCs w:val="30"/>
          <w:spacing w:val="-5"/>
        </w:rPr>
        <w:t>S/A/B </w:t>
      </w:r>
      <w:r>
        <w:rPr>
          <w:rFonts w:ascii="SimSun" w:hAnsi="SimSun" w:eastAsia="SimSun" w:cs="SimSun"/>
          <w:sz w:val="30"/>
          <w:szCs w:val="30"/>
          <w:spacing w:val="-5"/>
        </w:rPr>
        <w:t>级高端项</w:t>
      </w:r>
      <w:r>
        <w:rPr>
          <w:rFonts w:ascii="SimSun" w:hAnsi="SimSun" w:eastAsia="SimSun" w:cs="SimSun"/>
          <w:sz w:val="30"/>
          <w:szCs w:val="30"/>
          <w:spacing w:val="-4"/>
        </w:rPr>
        <w:t>目加强资源投入和机制保障，高标准满足客户需求，提升客户体</w:t>
      </w:r>
      <w:r>
        <w:rPr>
          <w:rFonts w:ascii="SimSun" w:hAnsi="SimSun" w:eastAsia="SimSun" w:cs="SimSun"/>
          <w:sz w:val="30"/>
          <w:szCs w:val="30"/>
          <w:spacing w:val="-11"/>
        </w:rPr>
        <w:t>验感知。</w:t>
      </w:r>
    </w:p>
    <w:p>
      <w:pPr>
        <w:ind w:left="22" w:right="105" w:firstLine="611"/>
        <w:spacing w:before="265" w:line="260" w:lineRule="auto"/>
        <w:jc w:val="both"/>
        <w:rPr>
          <w:rFonts w:ascii="SimSun" w:hAnsi="SimSun" w:eastAsia="SimSun" w:cs="SimSun"/>
          <w:sz w:val="30"/>
          <w:szCs w:val="30"/>
        </w:rPr>
      </w:pPr>
      <w:r>
        <w:rPr>
          <w:rFonts w:ascii="Times New Roman" w:hAnsi="Times New Roman" w:eastAsia="Times New Roman" w:cs="Times New Roman"/>
          <w:sz w:val="30"/>
          <w:szCs w:val="30"/>
          <w:spacing w:val="6"/>
        </w:rPr>
        <w:t>S/A/B  </w:t>
      </w:r>
      <w:r>
        <w:rPr>
          <w:rFonts w:ascii="SimSun" w:hAnsi="SimSun" w:eastAsia="SimSun" w:cs="SimSun"/>
          <w:sz w:val="30"/>
          <w:szCs w:val="30"/>
          <w:spacing w:val="6"/>
        </w:rPr>
        <w:t>级项目的客户感知不升反降，反映了当前云中台和</w:t>
      </w:r>
      <w:r>
        <w:rPr>
          <w:rFonts w:ascii="Times New Roman" w:hAnsi="Times New Roman" w:eastAsia="Times New Roman" w:cs="Times New Roman"/>
          <w:sz w:val="30"/>
          <w:szCs w:val="30"/>
          <w:spacing w:val="-1"/>
        </w:rPr>
        <w:t>ISOC  </w:t>
      </w:r>
      <w:r>
        <w:rPr>
          <w:rFonts w:ascii="SimSun" w:hAnsi="SimSun" w:eastAsia="SimSun" w:cs="SimSun"/>
          <w:sz w:val="30"/>
          <w:szCs w:val="30"/>
          <w:spacing w:val="-1"/>
        </w:rPr>
        <w:t>的短板或痛点，即既懂行业又懂专业技术的高</w:t>
      </w:r>
      <w:r>
        <w:rPr>
          <w:rFonts w:ascii="SimSun" w:hAnsi="SimSun" w:eastAsia="SimSun" w:cs="SimSun"/>
          <w:sz w:val="30"/>
          <w:szCs w:val="30"/>
          <w:spacing w:val="-2"/>
        </w:rPr>
        <w:t>端专家严重</w:t>
      </w:r>
      <w:r>
        <w:rPr>
          <w:rFonts w:ascii="SimSun" w:hAnsi="SimSun" w:eastAsia="SimSun" w:cs="SimSun"/>
          <w:sz w:val="30"/>
          <w:szCs w:val="30"/>
          <w:spacing w:val="-4"/>
        </w:rPr>
        <w:t>不足，难以支撑重大项目对前瞻性咨询规划能力、定制能力、创</w:t>
      </w:r>
      <w:r>
        <w:rPr>
          <w:rFonts w:ascii="SimSun" w:hAnsi="SimSun" w:eastAsia="SimSun" w:cs="SimSun"/>
          <w:sz w:val="30"/>
          <w:szCs w:val="30"/>
          <w:spacing w:val="-4"/>
        </w:rPr>
        <w:t>新性解决方案、统筹实施交付、故障智能预警能力和主动运维的</w:t>
      </w:r>
      <w:r>
        <w:rPr>
          <w:rFonts w:ascii="SimSun" w:hAnsi="SimSun" w:eastAsia="SimSun" w:cs="SimSun"/>
          <w:sz w:val="30"/>
          <w:szCs w:val="30"/>
          <w:spacing w:val="-2"/>
        </w:rPr>
        <w:t>需要，应加强对高端客户感知下降的警示并采取应对策略。</w:t>
      </w:r>
    </w:p>
    <w:p>
      <w:pPr>
        <w:ind w:left="19" w:firstLine="606"/>
        <w:spacing w:before="270" w:line="258" w:lineRule="auto"/>
        <w:jc w:val="both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1"/>
        </w:rPr>
        <w:t>应共享高端专家资源，建议在集团层面尽快建立“</w:t>
      </w:r>
      <w:r>
        <w:rPr>
          <w:rFonts w:ascii="Times New Roman" w:hAnsi="Times New Roman" w:eastAsia="Times New Roman" w:cs="Times New Roman"/>
          <w:sz w:val="30"/>
          <w:szCs w:val="30"/>
          <w:spacing w:val="-1"/>
        </w:rPr>
        <w:t>B</w:t>
      </w:r>
      <w:r>
        <w:rPr>
          <w:rFonts w:ascii="Times New Roman" w:hAnsi="Times New Roman" w:eastAsia="Times New Roman" w:cs="Times New Roman"/>
          <w:sz w:val="30"/>
          <w:szCs w:val="30"/>
          <w:spacing w:val="-2"/>
        </w:rPr>
        <w:t>G</w:t>
      </w:r>
      <w:r>
        <w:rPr>
          <w:rFonts w:ascii="Times New Roman" w:hAnsi="Times New Roman" w:eastAsia="Times New Roman" w:cs="Times New Roman"/>
          <w:sz w:val="30"/>
          <w:szCs w:val="30"/>
          <w:spacing w:val="32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2"/>
        </w:rPr>
        <w:t>行业</w:t>
      </w:r>
      <w:r>
        <w:rPr>
          <w:rFonts w:ascii="Times New Roman" w:hAnsi="Times New Roman" w:eastAsia="Times New Roman" w:cs="Times New Roman"/>
          <w:sz w:val="30"/>
          <w:szCs w:val="30"/>
          <w:spacing w:val="1"/>
        </w:rPr>
        <w:t>+</w:t>
      </w:r>
      <w:r>
        <w:rPr>
          <w:rFonts w:ascii="SimSun" w:hAnsi="SimSun" w:eastAsia="SimSun" w:cs="SimSun"/>
          <w:sz w:val="30"/>
          <w:szCs w:val="30"/>
          <w:spacing w:val="1"/>
        </w:rPr>
        <w:t>重要技术领域”双维度的高水平专家清单库和共享调度激励机</w:t>
      </w:r>
      <w:r>
        <w:rPr>
          <w:rFonts w:ascii="SimSun" w:hAnsi="SimSun" w:eastAsia="SimSun" w:cs="SimSun"/>
          <w:sz w:val="30"/>
          <w:szCs w:val="30"/>
          <w:spacing w:val="-10"/>
        </w:rPr>
        <w:t>制，实现高水平专家资源在集团内省间、地市间的快速</w:t>
      </w:r>
      <w:r>
        <w:rPr>
          <w:rFonts w:ascii="SimSun" w:hAnsi="SimSun" w:eastAsia="SimSun" w:cs="SimSun"/>
          <w:sz w:val="30"/>
          <w:szCs w:val="30"/>
          <w:spacing w:val="-11"/>
        </w:rPr>
        <w:t>跨域调用。</w:t>
      </w:r>
    </w:p>
    <w:p>
      <w:pPr>
        <w:ind w:left="26" w:right="102" w:firstLine="629"/>
        <w:spacing w:before="288" w:line="257" w:lineRule="auto"/>
        <w:jc w:val="both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7"/>
        </w:rPr>
        <w:t>同时，建议通过“集团</w:t>
      </w:r>
      <w:r>
        <w:rPr>
          <w:rFonts w:ascii="Times New Roman" w:hAnsi="Times New Roman" w:eastAsia="Times New Roman" w:cs="Times New Roman"/>
          <w:sz w:val="30"/>
          <w:szCs w:val="30"/>
          <w:spacing w:val="-7"/>
        </w:rPr>
        <w:t>/</w:t>
      </w:r>
      <w:r>
        <w:rPr>
          <w:rFonts w:ascii="SimSun" w:hAnsi="SimSun" w:eastAsia="SimSun" w:cs="SimSun"/>
          <w:sz w:val="30"/>
          <w:szCs w:val="30"/>
          <w:spacing w:val="-7"/>
        </w:rPr>
        <w:t>省</w:t>
      </w:r>
      <w:r>
        <w:rPr>
          <w:rFonts w:ascii="Times New Roman" w:hAnsi="Times New Roman" w:eastAsia="Times New Roman" w:cs="Times New Roman"/>
          <w:sz w:val="30"/>
          <w:szCs w:val="30"/>
          <w:spacing w:val="-7"/>
        </w:rPr>
        <w:t>/</w:t>
      </w:r>
      <w:r>
        <w:rPr>
          <w:rFonts w:ascii="SimSun" w:hAnsi="SimSun" w:eastAsia="SimSun" w:cs="SimSun"/>
          <w:sz w:val="30"/>
          <w:szCs w:val="30"/>
          <w:spacing w:val="-7"/>
        </w:rPr>
        <w:t>市</w:t>
      </w:r>
      <w:r>
        <w:rPr>
          <w:rFonts w:ascii="Times New Roman" w:hAnsi="Times New Roman" w:eastAsia="Times New Roman" w:cs="Times New Roman"/>
          <w:sz w:val="30"/>
          <w:szCs w:val="30"/>
          <w:spacing w:val="-7"/>
        </w:rPr>
        <w:t>/</w:t>
      </w:r>
      <w:r>
        <w:rPr>
          <w:rFonts w:ascii="SimSun" w:hAnsi="SimSun" w:eastAsia="SimSun" w:cs="SimSun"/>
          <w:sz w:val="30"/>
          <w:szCs w:val="30"/>
          <w:spacing w:val="-7"/>
        </w:rPr>
        <w:t>区</w:t>
      </w:r>
      <w:r>
        <w:rPr>
          <w:rFonts w:ascii="Times New Roman" w:hAnsi="Times New Roman" w:eastAsia="Times New Roman" w:cs="Times New Roman"/>
          <w:sz w:val="30"/>
          <w:szCs w:val="30"/>
          <w:spacing w:val="-7"/>
        </w:rPr>
        <w:t>/</w:t>
      </w:r>
      <w:r>
        <w:rPr>
          <w:rFonts w:ascii="SimSun" w:hAnsi="SimSun" w:eastAsia="SimSun" w:cs="SimSun"/>
          <w:sz w:val="30"/>
          <w:szCs w:val="30"/>
          <w:spacing w:val="-7"/>
        </w:rPr>
        <w:t>县五级体系</w:t>
      </w:r>
      <w:r>
        <w:rPr>
          <w:rFonts w:ascii="Times New Roman" w:hAnsi="Times New Roman" w:eastAsia="Times New Roman" w:cs="Times New Roman"/>
          <w:sz w:val="30"/>
          <w:szCs w:val="30"/>
          <w:spacing w:val="-7"/>
        </w:rPr>
        <w:t>+</w:t>
      </w:r>
      <w:r>
        <w:rPr>
          <w:rFonts w:ascii="SimSun" w:hAnsi="SimSun" w:eastAsia="SimSun" w:cs="SimSun"/>
          <w:sz w:val="30"/>
          <w:szCs w:val="30"/>
          <w:spacing w:val="-7"/>
        </w:rPr>
        <w:t>集成公司</w:t>
      </w:r>
      <w:r>
        <w:rPr>
          <w:rFonts w:ascii="Times New Roman" w:hAnsi="Times New Roman" w:eastAsia="Times New Roman" w:cs="Times New Roman"/>
          <w:sz w:val="30"/>
          <w:szCs w:val="30"/>
          <w:spacing w:val="-7"/>
        </w:rPr>
        <w:t>+</w:t>
      </w:r>
      <w:r>
        <w:rPr>
          <w:rFonts w:ascii="SimSun" w:hAnsi="SimSun" w:eastAsia="SimSun" w:cs="SimSun"/>
          <w:sz w:val="30"/>
          <w:szCs w:val="30"/>
          <w:spacing w:val="-7"/>
        </w:rPr>
        <w:t>生态</w:t>
      </w:r>
      <w:r>
        <w:rPr>
          <w:rFonts w:ascii="SimSun" w:hAnsi="SimSun" w:eastAsia="SimSun" w:cs="SimSun"/>
          <w:sz w:val="30"/>
          <w:szCs w:val="30"/>
          <w:spacing w:val="-6"/>
        </w:rPr>
        <w:t>合作”方式形成紧密联动，加强属地服务优势，</w:t>
      </w:r>
      <w:r>
        <w:rPr>
          <w:rFonts w:ascii="SimSun" w:hAnsi="SimSun" w:eastAsia="SimSun" w:cs="SimSun"/>
          <w:sz w:val="30"/>
          <w:szCs w:val="30"/>
          <w:spacing w:val="-7"/>
        </w:rPr>
        <w:t>重点加大对</w:t>
      </w:r>
      <w:r>
        <w:rPr>
          <w:rFonts w:ascii="SimSun" w:hAnsi="SimSun" w:eastAsia="SimSun" w:cs="SimSun"/>
          <w:sz w:val="30"/>
          <w:szCs w:val="30"/>
          <w:spacing w:val="-56"/>
        </w:rPr>
        <w:t xml:space="preserve"> </w:t>
      </w:r>
      <w:r>
        <w:rPr>
          <w:rFonts w:ascii="Times New Roman" w:hAnsi="Times New Roman" w:eastAsia="Times New Roman" w:cs="Times New Roman"/>
          <w:sz w:val="30"/>
          <w:szCs w:val="30"/>
          <w:spacing w:val="-7"/>
        </w:rPr>
        <w:t>SAB</w:t>
      </w:r>
      <w:r>
        <w:rPr>
          <w:rFonts w:ascii="SimSun" w:hAnsi="SimSun" w:eastAsia="SimSun" w:cs="SimSun"/>
          <w:sz w:val="30"/>
          <w:szCs w:val="30"/>
          <w:spacing w:val="-3"/>
        </w:rPr>
        <w:t>类项目的驻场服务，贴近客户需求，创造价值。</w:t>
      </w:r>
    </w:p>
    <w:p>
      <w:pPr>
        <w:ind w:left="624"/>
        <w:spacing w:before="284" w:line="233" w:lineRule="auto"/>
        <w:outlineLvl w:val="1"/>
        <w:rPr>
          <w:rFonts w:ascii="SimSun" w:hAnsi="SimSun" w:eastAsia="SimSun" w:cs="SimSun"/>
          <w:sz w:val="30"/>
          <w:szCs w:val="30"/>
        </w:rPr>
      </w:pPr>
      <w:r>
        <w:rPr>
          <w:rFonts w:ascii="Times New Roman" w:hAnsi="Times New Roman" w:eastAsia="Times New Roman" w:cs="Times New Roman"/>
          <w:sz w:val="30"/>
          <w:szCs w:val="30"/>
          <w:b/>
          <w:bCs/>
          <w:spacing w:val="-3"/>
        </w:rPr>
        <w:t>2</w:t>
      </w:r>
      <w:r>
        <w:rPr>
          <w:rFonts w:ascii="SimSun" w:hAnsi="SimSun" w:eastAsia="SimSun" w:cs="SimSun"/>
          <w:sz w:val="30"/>
          <w:szCs w:val="30"/>
          <w:b/>
          <w:bCs/>
          <w:spacing w:val="-3"/>
        </w:rPr>
        <w:t>．运营维护方面，提升智能化自助化水平，开展主动运维</w:t>
      </w:r>
    </w:p>
    <w:p>
      <w:pPr>
        <w:ind w:left="27" w:right="107" w:firstLine="602"/>
        <w:spacing w:before="320" w:line="261" w:lineRule="auto"/>
        <w:jc w:val="both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5"/>
        </w:rPr>
        <w:t>建立质量智慧监控系统：采取探针主动拨测，获取网速、时</w:t>
      </w:r>
      <w:r>
        <w:rPr>
          <w:rFonts w:ascii="SimSun" w:hAnsi="SimSun" w:eastAsia="SimSun" w:cs="SimSun"/>
          <w:sz w:val="30"/>
          <w:szCs w:val="30"/>
          <w:spacing w:val="-12"/>
        </w:rPr>
        <w:t>延、丢包、稳定性、安全性等感知数据，</w:t>
      </w:r>
      <w:r>
        <w:rPr>
          <w:rFonts w:ascii="SimSun" w:hAnsi="SimSun" w:eastAsia="SimSun" w:cs="SimSun"/>
          <w:sz w:val="30"/>
          <w:szCs w:val="30"/>
          <w:spacing w:val="76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12"/>
        </w:rPr>
        <w:t>建立质量监测系统，开</w:t>
      </w:r>
      <w:r>
        <w:rPr>
          <w:rFonts w:ascii="SimSun" w:hAnsi="SimSun" w:eastAsia="SimSun" w:cs="SimSun"/>
          <w:sz w:val="30"/>
          <w:szCs w:val="30"/>
          <w:spacing w:val="-4"/>
        </w:rPr>
        <w:t>展故障预感、预判、预防能力。</w:t>
      </w:r>
    </w:p>
    <w:p>
      <w:pPr>
        <w:ind w:right="12"/>
        <w:spacing w:before="269" w:line="220" w:lineRule="auto"/>
        <w:jc w:val="right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4"/>
        </w:rPr>
        <w:t>建立</w:t>
      </w:r>
      <w:r>
        <w:rPr>
          <w:rFonts w:ascii="SimSun" w:hAnsi="SimSun" w:eastAsia="SimSun" w:cs="SimSun"/>
          <w:sz w:val="30"/>
          <w:szCs w:val="30"/>
          <w:spacing w:val="-59"/>
        </w:rPr>
        <w:t xml:space="preserve"> </w:t>
      </w:r>
      <w:r>
        <w:rPr>
          <w:rFonts w:ascii="Times New Roman" w:hAnsi="Times New Roman" w:eastAsia="Times New Roman" w:cs="Times New Roman"/>
          <w:sz w:val="30"/>
          <w:szCs w:val="30"/>
          <w:spacing w:val="-4"/>
        </w:rPr>
        <w:t>AI</w:t>
      </w:r>
      <w:r>
        <w:rPr>
          <w:rFonts w:ascii="Times New Roman" w:hAnsi="Times New Roman" w:eastAsia="Times New Roman" w:cs="Times New Roman"/>
          <w:sz w:val="30"/>
          <w:szCs w:val="30"/>
          <w:spacing w:val="24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4"/>
        </w:rPr>
        <w:t>故障自动修复能力：把</w:t>
      </w:r>
      <w:r>
        <w:rPr>
          <w:rFonts w:ascii="SimSun" w:hAnsi="SimSun" w:eastAsia="SimSun" w:cs="SimSun"/>
          <w:sz w:val="30"/>
          <w:szCs w:val="30"/>
          <w:spacing w:val="-54"/>
        </w:rPr>
        <w:t xml:space="preserve"> </w:t>
      </w:r>
      <w:r>
        <w:rPr>
          <w:rFonts w:ascii="Times New Roman" w:hAnsi="Times New Roman" w:eastAsia="Times New Roman" w:cs="Times New Roman"/>
          <w:sz w:val="30"/>
          <w:szCs w:val="30"/>
          <w:spacing w:val="-4"/>
        </w:rPr>
        <w:t>AI </w:t>
      </w:r>
      <w:r>
        <w:rPr>
          <w:rFonts w:ascii="SimSun" w:hAnsi="SimSun" w:eastAsia="SimSun" w:cs="SimSun"/>
          <w:sz w:val="30"/>
          <w:szCs w:val="30"/>
          <w:spacing w:val="-4"/>
        </w:rPr>
        <w:t>修复能力作为原子能力，</w:t>
      </w:r>
    </w:p>
    <w:p>
      <w:pPr>
        <w:spacing w:line="220" w:lineRule="auto"/>
        <w:sectPr>
          <w:pgSz w:w="11907" w:h="16839"/>
          <w:pgMar w:top="1431" w:right="1694" w:bottom="0" w:left="1785" w:header="0" w:footer="0" w:gutter="0"/>
        </w:sectPr>
        <w:rPr>
          <w:rFonts w:ascii="SimSun" w:hAnsi="SimSun" w:eastAsia="SimSun" w:cs="SimSun"/>
          <w:sz w:val="30"/>
          <w:szCs w:val="30"/>
        </w:rPr>
      </w:pPr>
    </w:p>
    <w:p>
      <w:pPr>
        <w:ind w:left="26"/>
        <w:spacing w:before="87" w:line="219" w:lineRule="auto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2"/>
        </w:rPr>
        <w:t>供客服、排障、营维等系统调用，提供故障自动修复能力。</w:t>
      </w:r>
    </w:p>
    <w:p>
      <w:pPr>
        <w:spacing w:line="242" w:lineRule="auto"/>
        <w:rPr>
          <w:rFonts w:ascii="Arial"/>
          <w:sz w:val="21"/>
        </w:rPr>
      </w:pPr>
      <w:r/>
    </w:p>
    <w:p>
      <w:pPr>
        <w:ind w:left="26" w:firstLine="603"/>
        <w:spacing w:before="98" w:line="260" w:lineRule="auto"/>
        <w:jc w:val="both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5"/>
        </w:rPr>
        <w:t>为大客户提供更丰富的性能数据，便于自助化管理：如产品</w:t>
      </w:r>
      <w:r>
        <w:rPr>
          <w:rFonts w:ascii="SimSun" w:hAnsi="SimSun" w:eastAsia="SimSun" w:cs="SimSun"/>
          <w:sz w:val="30"/>
          <w:szCs w:val="30"/>
          <w:spacing w:val="-4"/>
        </w:rPr>
        <w:t>功能与性能方面的故障管理信息，当前发生或预测将要发生的性</w:t>
      </w:r>
      <w:r>
        <w:rPr>
          <w:rFonts w:ascii="SimSun" w:hAnsi="SimSun" w:eastAsia="SimSun" w:cs="SimSun"/>
          <w:sz w:val="30"/>
          <w:szCs w:val="30"/>
          <w:spacing w:val="-1"/>
        </w:rPr>
        <w:t>能衰减信息，此外，还可以通过流式遥测提供更多的监测数据，</w:t>
      </w:r>
      <w:r>
        <w:rPr>
          <w:rFonts w:ascii="SimSun" w:hAnsi="SimSun" w:eastAsia="SimSun" w:cs="SimSun"/>
          <w:sz w:val="30"/>
          <w:szCs w:val="30"/>
          <w:spacing w:val="-2"/>
        </w:rPr>
        <w:t>供客户自己分析使用。</w:t>
      </w:r>
    </w:p>
    <w:p>
      <w:pPr>
        <w:ind w:left="33" w:right="89" w:firstLine="588"/>
        <w:spacing w:before="270"/>
        <w:outlineLvl w:val="1"/>
        <w:rPr>
          <w:rFonts w:ascii="SimSun" w:hAnsi="SimSun" w:eastAsia="SimSun" w:cs="SimSun"/>
          <w:sz w:val="30"/>
          <w:szCs w:val="30"/>
        </w:rPr>
      </w:pPr>
      <w:r>
        <w:rPr>
          <w:rFonts w:ascii="Times New Roman" w:hAnsi="Times New Roman" w:eastAsia="Times New Roman" w:cs="Times New Roman"/>
          <w:sz w:val="30"/>
          <w:szCs w:val="30"/>
          <w:b/>
          <w:bCs/>
          <w:spacing w:val="-2"/>
        </w:rPr>
        <w:t>3</w:t>
      </w:r>
      <w:r>
        <w:rPr>
          <w:rFonts w:ascii="SimSun" w:hAnsi="SimSun" w:eastAsia="SimSun" w:cs="SimSun"/>
          <w:sz w:val="30"/>
          <w:szCs w:val="30"/>
          <w:b/>
          <w:bCs/>
          <w:spacing w:val="-2"/>
        </w:rPr>
        <w:t>．实施交付方面，优化流程，提升统筹交付能力和交付时</w:t>
      </w:r>
      <w:r>
        <w:rPr>
          <w:rFonts w:ascii="SimSun" w:hAnsi="SimSun" w:eastAsia="SimSun" w:cs="SimSun"/>
          <w:sz w:val="30"/>
          <w:szCs w:val="30"/>
          <w:b/>
          <w:bCs/>
          <w:spacing w:val="-4"/>
        </w:rPr>
        <w:t>效</w:t>
      </w:r>
    </w:p>
    <w:p>
      <w:pPr>
        <w:ind w:left="33" w:right="80" w:firstLine="596"/>
        <w:spacing w:before="338" w:line="261" w:lineRule="auto"/>
        <w:jc w:val="both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4"/>
        </w:rPr>
        <w:t>从客户导向出发，结合行业最佳实践，优化流</w:t>
      </w:r>
      <w:r>
        <w:rPr>
          <w:rFonts w:ascii="SimSun" w:hAnsi="SimSun" w:eastAsia="SimSun" w:cs="SimSun"/>
          <w:sz w:val="30"/>
          <w:szCs w:val="30"/>
          <w:spacing w:val="-5"/>
        </w:rPr>
        <w:t>程，提升项目</w:t>
      </w:r>
      <w:r>
        <w:rPr>
          <w:rFonts w:ascii="SimSun" w:hAnsi="SimSun" w:eastAsia="SimSun" w:cs="SimSun"/>
          <w:sz w:val="30"/>
          <w:szCs w:val="30"/>
          <w:spacing w:val="-8"/>
        </w:rPr>
        <w:t>统筹交付能力。通过项目支撑系统数字化能力建设</w:t>
      </w:r>
      <w:r>
        <w:rPr>
          <w:rFonts w:ascii="SimSun" w:hAnsi="SimSun" w:eastAsia="SimSun" w:cs="SimSun"/>
          <w:sz w:val="30"/>
          <w:szCs w:val="30"/>
          <w:spacing w:val="-9"/>
        </w:rPr>
        <w:t>，</w:t>
      </w:r>
      <w:r>
        <w:rPr>
          <w:rFonts w:ascii="SimSun" w:hAnsi="SimSun" w:eastAsia="SimSun" w:cs="SimSun"/>
          <w:sz w:val="30"/>
          <w:szCs w:val="30"/>
          <w:spacing w:val="-36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9"/>
        </w:rPr>
        <w:t>打通系统接</w:t>
      </w:r>
      <w:r>
        <w:rPr>
          <w:rFonts w:ascii="SimSun" w:hAnsi="SimSun" w:eastAsia="SimSun" w:cs="SimSun"/>
          <w:sz w:val="30"/>
          <w:szCs w:val="30"/>
          <w:spacing w:val="-2"/>
        </w:rPr>
        <w:t>口，优化并拉通各流程，实现一体化下单和一</w:t>
      </w:r>
      <w:r>
        <w:rPr>
          <w:rFonts w:ascii="SimSun" w:hAnsi="SimSun" w:eastAsia="SimSun" w:cs="SimSun"/>
          <w:sz w:val="30"/>
          <w:szCs w:val="30"/>
          <w:spacing w:val="-3"/>
        </w:rPr>
        <w:t>体化交付。</w:t>
      </w:r>
    </w:p>
    <w:p>
      <w:pPr>
        <w:ind w:left="29" w:right="83" w:firstLine="596"/>
        <w:spacing w:before="269" w:line="262" w:lineRule="auto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4"/>
        </w:rPr>
        <w:t>通过一体化下单，系统自动拆解订单送关联平台</w:t>
      </w:r>
      <w:r>
        <w:rPr>
          <w:rFonts w:ascii="SimSun" w:hAnsi="SimSun" w:eastAsia="SimSun" w:cs="SimSun"/>
          <w:sz w:val="30"/>
          <w:szCs w:val="30"/>
          <w:spacing w:val="-5"/>
        </w:rPr>
        <w:t>开通，简化</w:t>
      </w:r>
      <w:r>
        <w:rPr>
          <w:rFonts w:ascii="SimSun" w:hAnsi="SimSun" w:eastAsia="SimSun" w:cs="SimSun"/>
          <w:sz w:val="30"/>
          <w:szCs w:val="30"/>
          <w:spacing w:val="-7"/>
        </w:rPr>
        <w:t>步骤，缩短耗时。</w:t>
      </w:r>
    </w:p>
    <w:p>
      <w:pPr>
        <w:ind w:left="26" w:right="80" w:firstLine="599"/>
        <w:spacing w:before="268" w:line="260" w:lineRule="auto"/>
        <w:jc w:val="both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4"/>
        </w:rPr>
        <w:t>通过一体化交付，将各子项目竣工订单统一交付</w:t>
      </w:r>
      <w:r>
        <w:rPr>
          <w:rFonts w:ascii="SimSun" w:hAnsi="SimSun" w:eastAsia="SimSun" w:cs="SimSun"/>
          <w:sz w:val="30"/>
          <w:szCs w:val="30"/>
          <w:spacing w:val="-5"/>
        </w:rPr>
        <w:t>给客户，保</w:t>
      </w:r>
      <w:r>
        <w:rPr>
          <w:rFonts w:ascii="SimSun" w:hAnsi="SimSun" w:eastAsia="SimSun" w:cs="SimSun"/>
          <w:sz w:val="30"/>
          <w:szCs w:val="30"/>
          <w:spacing w:val="-9"/>
        </w:rPr>
        <w:t>证交付质量和提升客户感知。此外， 为了缩短交付时间，可以通</w:t>
      </w:r>
      <w:r>
        <w:rPr>
          <w:rFonts w:ascii="SimSun" w:hAnsi="SimSun" w:eastAsia="SimSun" w:cs="SimSun"/>
          <w:sz w:val="30"/>
          <w:szCs w:val="30"/>
          <w:spacing w:val="-2"/>
        </w:rPr>
        <w:t>过</w:t>
      </w:r>
      <w:r>
        <w:rPr>
          <w:rFonts w:ascii="SimSun" w:hAnsi="SimSun" w:eastAsia="SimSun" w:cs="SimSun"/>
          <w:sz w:val="30"/>
          <w:szCs w:val="30"/>
          <w:spacing w:val="-74"/>
        </w:rPr>
        <w:t xml:space="preserve"> </w:t>
      </w:r>
      <w:r>
        <w:rPr>
          <w:rFonts w:ascii="Times New Roman" w:hAnsi="Times New Roman" w:eastAsia="Times New Roman" w:cs="Times New Roman"/>
          <w:sz w:val="30"/>
          <w:szCs w:val="30"/>
          <w:spacing w:val="-2"/>
        </w:rPr>
        <w:t>AI </w:t>
      </w:r>
      <w:r>
        <w:rPr>
          <w:rFonts w:ascii="SimSun" w:hAnsi="SimSun" w:eastAsia="SimSun" w:cs="SimSun"/>
          <w:sz w:val="30"/>
          <w:szCs w:val="30"/>
          <w:spacing w:val="-2"/>
        </w:rPr>
        <w:t>助力，开展合同智能审核与纠错，压缩合同签订时间。</w:t>
      </w:r>
    </w:p>
    <w:p>
      <w:pPr>
        <w:spacing w:line="337" w:lineRule="auto"/>
        <w:rPr>
          <w:rFonts w:ascii="Arial"/>
          <w:sz w:val="21"/>
        </w:rPr>
      </w:pPr>
      <w:r/>
    </w:p>
    <w:p>
      <w:pPr>
        <w:spacing w:line="338" w:lineRule="auto"/>
        <w:rPr>
          <w:rFonts w:ascii="Arial"/>
          <w:sz w:val="21"/>
        </w:rPr>
      </w:pPr>
      <w:r/>
    </w:p>
    <w:p>
      <w:pPr>
        <w:pStyle w:val="BodyText"/>
        <w:ind w:left="39"/>
        <w:spacing w:before="97" w:line="216" w:lineRule="auto"/>
        <w:rPr>
          <w:rFonts w:ascii="KaiTi" w:hAnsi="KaiTi" w:eastAsia="KaiTi" w:cs="KaiTi"/>
        </w:rPr>
      </w:pPr>
      <w:r>
        <w:rPr>
          <w:b/>
          <w:bCs/>
          <w:spacing w:val="-1"/>
        </w:rPr>
        <w:t>作者简介：</w:t>
      </w:r>
      <w:r>
        <w:rPr>
          <w:rFonts w:ascii="KaiTi" w:hAnsi="KaiTi" w:eastAsia="KaiTi" w:cs="KaiTi"/>
          <w:spacing w:val="-1"/>
        </w:rPr>
        <w:t>中国电信股份有限公司研究院/战</w:t>
      </w:r>
      <w:r>
        <w:rPr>
          <w:rFonts w:ascii="KaiTi" w:hAnsi="KaiTi" w:eastAsia="KaiTi" w:cs="KaiTi"/>
          <w:spacing w:val="-2"/>
        </w:rPr>
        <w:t>略发展研究所</w:t>
      </w:r>
    </w:p>
    <w:p>
      <w:pPr>
        <w:spacing w:line="392" w:lineRule="auto"/>
        <w:rPr>
          <w:rFonts w:ascii="Arial"/>
          <w:sz w:val="21"/>
        </w:rPr>
      </w:pPr>
      <w:r/>
    </w:p>
    <w:p>
      <w:pPr>
        <w:ind w:left="631"/>
        <w:spacing w:before="92" w:line="213" w:lineRule="auto"/>
        <w:rPr>
          <w:rFonts w:ascii="KaiTi" w:hAnsi="KaiTi" w:eastAsia="KaiTi" w:cs="KaiTi"/>
          <w:sz w:val="28"/>
          <w:szCs w:val="28"/>
        </w:rPr>
      </w:pPr>
      <w:r>
        <w:rPr>
          <w:rFonts w:ascii="KaiTi" w:hAnsi="KaiTi" w:eastAsia="KaiTi" w:cs="KaiTi"/>
          <w:sz w:val="28"/>
          <w:szCs w:val="28"/>
          <w:b/>
          <w:bCs/>
          <w:spacing w:val="-2"/>
        </w:rPr>
        <w:t>肖胜</w:t>
      </w:r>
      <w:r>
        <w:rPr>
          <w:rFonts w:ascii="KaiTi" w:hAnsi="KaiTi" w:eastAsia="KaiTi" w:cs="KaiTi"/>
          <w:sz w:val="28"/>
          <w:szCs w:val="28"/>
          <w:spacing w:val="-2"/>
        </w:rPr>
        <w:t xml:space="preserve">  </w:t>
      </w:r>
      <w:r>
        <w:rPr>
          <w:rFonts w:ascii="KaiTi" w:hAnsi="KaiTi" w:eastAsia="KaiTi" w:cs="KaiTi"/>
          <w:sz w:val="28"/>
          <w:szCs w:val="28"/>
          <w:spacing w:val="-2"/>
        </w:rPr>
        <w:t>硕士，在市场、客户、政企运营与服务体</w:t>
      </w:r>
      <w:r>
        <w:rPr>
          <w:rFonts w:ascii="KaiTi" w:hAnsi="KaiTi" w:eastAsia="KaiTi" w:cs="KaiTi"/>
          <w:sz w:val="28"/>
          <w:szCs w:val="28"/>
          <w:spacing w:val="-3"/>
        </w:rPr>
        <w:t>系等研究领域</w:t>
      </w:r>
    </w:p>
    <w:p>
      <w:pPr>
        <w:ind w:left="16"/>
        <w:spacing w:before="100" w:line="213" w:lineRule="auto"/>
        <w:rPr>
          <w:rFonts w:ascii="KaiTi" w:hAnsi="KaiTi" w:eastAsia="KaiTi" w:cs="KaiTi"/>
          <w:sz w:val="28"/>
          <w:szCs w:val="28"/>
        </w:rPr>
      </w:pPr>
      <w:r>
        <w:rPr>
          <w:rFonts w:ascii="KaiTi" w:hAnsi="KaiTi" w:eastAsia="KaiTi" w:cs="KaiTi"/>
          <w:sz w:val="28"/>
          <w:szCs w:val="28"/>
        </w:rPr>
        <w:t>耕耘多年，近年专注于政企新主业和政企客户</w:t>
      </w:r>
      <w:r>
        <w:rPr>
          <w:rFonts w:ascii="KaiTi" w:hAnsi="KaiTi" w:eastAsia="KaiTi" w:cs="KaiTi"/>
          <w:sz w:val="28"/>
          <w:szCs w:val="28"/>
          <w:spacing w:val="-1"/>
        </w:rPr>
        <w:t>满意提升。</w:t>
      </w:r>
    </w:p>
    <w:p>
      <w:pPr>
        <w:ind w:left="12"/>
        <w:spacing w:before="98" w:line="227" w:lineRule="auto"/>
        <w:rPr>
          <w:rFonts w:ascii="KaiTi" w:hAnsi="KaiTi" w:eastAsia="KaiTi" w:cs="KaiTi"/>
          <w:sz w:val="28"/>
          <w:szCs w:val="28"/>
        </w:rPr>
      </w:pPr>
      <w:r>
        <w:rPr>
          <w:rFonts w:ascii="KaiTi" w:hAnsi="KaiTi" w:eastAsia="KaiTi" w:cs="KaiTi"/>
          <w:sz w:val="28"/>
          <w:szCs w:val="28"/>
        </w:rPr>
        <w:t>【13316097121】</w:t>
      </w:r>
    </w:p>
    <w:p>
      <w:pPr>
        <w:spacing w:line="261" w:lineRule="auto"/>
        <w:rPr>
          <w:rFonts w:ascii="Arial"/>
          <w:sz w:val="21"/>
        </w:rPr>
      </w:pPr>
      <w:r/>
    </w:p>
    <w:p>
      <w:pPr>
        <w:ind w:left="24" w:right="269" w:firstLine="566"/>
        <w:spacing w:before="91" w:line="279" w:lineRule="auto"/>
        <w:jc w:val="both"/>
        <w:rPr>
          <w:rFonts w:ascii="KaiTi" w:hAnsi="KaiTi" w:eastAsia="KaiTi" w:cs="KaiTi"/>
          <w:sz w:val="28"/>
          <w:szCs w:val="28"/>
        </w:rPr>
      </w:pPr>
      <w:r>
        <w:rPr>
          <w:rFonts w:ascii="KaiTi" w:hAnsi="KaiTi" w:eastAsia="KaiTi" w:cs="KaiTi"/>
          <w:sz w:val="28"/>
          <w:szCs w:val="28"/>
          <w:b/>
          <w:bCs/>
          <w:spacing w:val="-2"/>
        </w:rPr>
        <w:t>郭丽芳</w:t>
      </w:r>
      <w:r>
        <w:rPr>
          <w:rFonts w:ascii="KaiTi" w:hAnsi="KaiTi" w:eastAsia="KaiTi" w:cs="KaiTi"/>
          <w:sz w:val="28"/>
          <w:szCs w:val="28"/>
          <w:spacing w:val="-2"/>
        </w:rPr>
        <w:t xml:space="preserve">  </w:t>
      </w:r>
      <w:r>
        <w:rPr>
          <w:rFonts w:ascii="KaiTi" w:hAnsi="KaiTi" w:eastAsia="KaiTi" w:cs="KaiTi"/>
          <w:sz w:val="28"/>
          <w:szCs w:val="28"/>
          <w:spacing w:val="-2"/>
        </w:rPr>
        <w:t>管理学硕士，超过</w:t>
      </w:r>
      <w:r>
        <w:rPr>
          <w:rFonts w:ascii="KaiTi" w:hAnsi="KaiTi" w:eastAsia="KaiTi" w:cs="KaiTi"/>
          <w:sz w:val="28"/>
          <w:szCs w:val="28"/>
          <w:spacing w:val="-43"/>
        </w:rPr>
        <w:t xml:space="preserve"> </w:t>
      </w:r>
      <w:r>
        <w:rPr>
          <w:rFonts w:ascii="KaiTi" w:hAnsi="KaiTi" w:eastAsia="KaiTi" w:cs="KaiTi"/>
          <w:sz w:val="28"/>
          <w:szCs w:val="28"/>
          <w:spacing w:val="-2"/>
        </w:rPr>
        <w:t>10</w:t>
      </w:r>
      <w:r>
        <w:rPr>
          <w:rFonts w:ascii="KaiTi" w:hAnsi="KaiTi" w:eastAsia="KaiTi" w:cs="KaiTi"/>
          <w:sz w:val="28"/>
          <w:szCs w:val="28"/>
          <w:spacing w:val="-60"/>
        </w:rPr>
        <w:t xml:space="preserve"> </w:t>
      </w:r>
      <w:r>
        <w:rPr>
          <w:rFonts w:ascii="KaiTi" w:hAnsi="KaiTi" w:eastAsia="KaiTi" w:cs="KaiTi"/>
          <w:sz w:val="28"/>
          <w:szCs w:val="28"/>
          <w:spacing w:val="-2"/>
        </w:rPr>
        <w:t>年通信行业客户与服务体系研</w:t>
      </w:r>
      <w:r>
        <w:rPr>
          <w:rFonts w:ascii="KaiTi" w:hAnsi="KaiTi" w:eastAsia="KaiTi" w:cs="KaiTi"/>
          <w:sz w:val="28"/>
          <w:szCs w:val="28"/>
          <w:spacing w:val="-1"/>
        </w:rPr>
        <w:t>究，近年来专注于客户体验数字化、政企服务体系以及企业数字化</w:t>
      </w:r>
      <w:r>
        <w:rPr>
          <w:rFonts w:ascii="KaiTi" w:hAnsi="KaiTi" w:eastAsia="KaiTi" w:cs="KaiTi"/>
          <w:sz w:val="28"/>
          <w:szCs w:val="28"/>
          <w:spacing w:val="-2"/>
        </w:rPr>
        <w:t>转型研究。</w:t>
      </w:r>
    </w:p>
    <w:p>
      <w:pPr>
        <w:ind w:left="583"/>
        <w:spacing w:before="269" w:line="213" w:lineRule="auto"/>
        <w:rPr>
          <w:rFonts w:ascii="KaiTi" w:hAnsi="KaiTi" w:eastAsia="KaiTi" w:cs="KaiTi"/>
          <w:sz w:val="28"/>
          <w:szCs w:val="28"/>
        </w:rPr>
      </w:pPr>
      <w:r>
        <w:rPr>
          <w:rFonts w:ascii="KaiTi" w:hAnsi="KaiTi" w:eastAsia="KaiTi" w:cs="KaiTi"/>
          <w:sz w:val="28"/>
          <w:szCs w:val="28"/>
          <w:b/>
          <w:bCs/>
          <w:spacing w:val="-1"/>
        </w:rPr>
        <w:t>徐静</w:t>
      </w:r>
      <w:r>
        <w:rPr>
          <w:rFonts w:ascii="KaiTi" w:hAnsi="KaiTi" w:eastAsia="KaiTi" w:cs="KaiTi"/>
          <w:sz w:val="28"/>
          <w:szCs w:val="28"/>
          <w:spacing w:val="-1"/>
        </w:rPr>
        <w:t xml:space="preserve">  </w:t>
      </w:r>
      <w:r>
        <w:rPr>
          <w:rFonts w:ascii="KaiTi" w:hAnsi="KaiTi" w:eastAsia="KaiTi" w:cs="KaiTi"/>
          <w:sz w:val="28"/>
          <w:szCs w:val="28"/>
          <w:spacing w:val="-1"/>
        </w:rPr>
        <w:t>高级工程师，先后从事网运、市场、客户服务、政企服</w:t>
      </w:r>
    </w:p>
    <w:p>
      <w:pPr>
        <w:ind w:left="33"/>
        <w:spacing w:before="99" w:line="213" w:lineRule="auto"/>
        <w:rPr>
          <w:rFonts w:ascii="KaiTi" w:hAnsi="KaiTi" w:eastAsia="KaiTi" w:cs="KaiTi"/>
          <w:sz w:val="28"/>
          <w:szCs w:val="28"/>
        </w:rPr>
      </w:pPr>
      <w:r>
        <w:rPr>
          <w:rFonts w:ascii="KaiTi" w:hAnsi="KaiTi" w:eastAsia="KaiTi" w:cs="KaiTi"/>
          <w:sz w:val="28"/>
          <w:szCs w:val="28"/>
          <w:spacing w:val="-1"/>
        </w:rPr>
        <w:t>务等，近年主要参与集团客服部相关项目与支撑工作。</w:t>
      </w:r>
    </w:p>
    <w:sectPr>
      <w:pgSz w:w="11907" w:h="16839"/>
      <w:pgMar w:top="1431" w:right="1718" w:bottom="0" w:left="1785" w:header="0" w:footer="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T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altName w:val="SimHei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86"/>
    <w:family w:val="auto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FFFF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FangSong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KaiT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Microsoft YaHei">
    <w:panose1 w:val="020B0703020204020201"/>
    <w:charset w:val="86"/>
    <w:family w:val="auto"/>
    <w:pitch w:val="variable"/>
    <w:sig w:usb0="80000287" w:usb1="2ACF3C50" w:usb2="00000016" w:usb3="00000000" w:csb0="0004001F" w:csb1="00000000"/>
  </w:font>
  <w:font w:name="STKaiti">
    <w:panose1 w:val="02010600040101010101"/>
    <w:charset w:val="86"/>
    <w:family w:val="auto"/>
    <w:pitch w:val="variable"/>
    <w:sig w:usb0="00000287" w:usb1="080F0000" w:usb2="00000000" w:usb3="00000000" w:csb0="0004009F" w:csb1="DFD70000"/>
  </w:font>
  <w:font w:name="Times New Roman">
    <w:panose1 w:val="02020603050405020304"/>
    <w:charset w:val="00"/>
    <w:family w:val="auto"/>
    <w:pitch w:val="variable"/>
    <w:sig w:usb0="E0002EFF" w:usb1="C000785B" w:usb2="00000009" w:usb3="00000000" w:csb0="400001FF" w:csb1="FFFF0000"/>
  </w:font>
</w:fonts>
</file>

<file path=word/settings.xml><?xml version="1.0" encoding="utf-8"?>
<w:settings xmlns:w="http://schemas.openxmlformats.org/wordprocessingml/2006/main">
  <w:displayBackgroundShape/>
  <w:characterSpacingControl w:val="doNotCompress"/>
  <w:compat>
    <w:spaceForUL/>
    <w:ulTrailSpace/>
    <w:compatSetting w:name="compatibilityMode" w:uri="http://schemas.microsoft.com/office/word" w:val="14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0="urn:schemas-microsoft-com:office:word" xmlns:sl="http://schemas.openxmlformats.org/schemaLibrary/2006/main" xmlns:w14="http://schemas.microsoft.com/office/word/2010/wordml" mc:Ignorable="w14">
  <w:docDefaults>
    <w:rPrDefault>
      <w:rPr>
        <w:rFonts w:ascii="Arial" w:hAnsi="Arial" w:eastAsia="Arial" w:cs="Arial"/>
        <w:sz w:val="21"/>
        <w:szCs w:val="21"/>
        <w:lang w:val="en-US" w:eastAsia="en-US" w:bidi="ar-SA"/>
        <w:color w:val="000000"/>
        <w:kern w:val="0"/>
        <w:snapToGrid w:val="0"/>
      </w:rPr>
    </w:rPrDefault>
  </w:docDefaults>
  <w:style w:type="paragraph" w:styleId="Normal" w:default="1">
    <w:name w:val="Normal"/>
    <w:semiHidden/>
    <w:qFormat/>
    <w:pPr>
      <w:spacing w:line="240" w:lineRule="auto"/>
      <w:jc w:val="left"/>
      <w:autoSpaceDE w:val="0"/>
      <w:autoSpaceDN w:val="0"/>
      <w:adjustRightInd w:val="0"/>
      <w:snapToGrid w:val="0"/>
      <w:kinsoku w:val="0"/>
      <w:textAlignment w:val="baseline"/>
    </w:pPr>
    <w:rPr>
      <w:color w:val="000000"/>
      <w:kern w:val="0"/>
      <w:snapToGrid w:val="0"/>
      <w:noProof w:val="1"/>
    </w:rPr>
  </w:style>
  <w:style w:type="table" w:styleId="TableNormal" w:default="1">
    <w:name w:val="Table Normal"/>
    <w:semiHidden/>
    <w:unhideWhenUsed/>
    <w:qFormat/>
    <w:tblPr>
      <w:tblCellMar>
        <w:left w:w="0" w:type="dxa"/>
        <w:right w:w="0" w:type="dxa"/>
        <w:bottom w:w="0" w:type="dxa"/>
        <w:top w:w="0" w:type="dxa"/>
      </w:tblCellMar>
    </w:tblPr>
  </w:style>
  <w:style w:type="paragraph" w:styleId="BodyText">
    <w:name w:val="Body Text"/>
    <w:basedOn w:val="Normal"/>
    <w:semiHidden/>
    <w:qFormat/>
    <w:pPr/>
    <w:rPr>
      <w:rFonts w:ascii="FangSong" w:hAnsi="FangSong" w:eastAsia="FangSong" w:cs="FangSong"/>
      <w:sz w:val="30"/>
      <w:szCs w:val="30"/>
      <w:lang w:val="en-US" w:eastAsia="en-US" w:bidi="ar-SA"/>
    </w:rPr>
  </w:style>
  <w:style w:type="paragraph" w:styleId="TableText">
    <w:name w:val="Table Text"/>
    <w:basedOn w:val="Normal"/>
    <w:semiHidden/>
    <w:qFormat/>
    <w:pPr/>
    <w:rPr>
      <w:rFonts w:ascii="DengXian" w:hAnsi="DengXian" w:eastAsia="DengXian" w:cs="DengXian"/>
      <w:sz w:val="22"/>
      <w:szCs w:val="22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styles" Target="styles.xml"/><Relationship Id="rId8" Type="http://schemas.openxmlformats.org/officeDocument/2006/relationships/settings" Target="settings.xml"/><Relationship Id="rId7" Type="http://schemas.openxmlformats.org/officeDocument/2006/relationships/image" Target="media/image7.png"/><Relationship Id="rId6" Type="http://schemas.openxmlformats.org/officeDocument/2006/relationships/image" Target="media/image6.png"/><Relationship Id="rId5" Type="http://schemas.openxmlformats.org/officeDocument/2006/relationships/image" Target="media/image5.png"/><Relationship Id="rId4" Type="http://schemas.openxmlformats.org/officeDocument/2006/relationships/image" Target="media/image4.png"/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0" Type="http://schemas.openxmlformats.org/officeDocument/2006/relationships/fontTable" Target="fontTable.xml"/><Relationship Id="rId1" Type="http://schemas.openxmlformats.org/officeDocument/2006/relationships/image" Target="media/image1.png"/></Relationships>
</file>

<file path=docProps/app.xml><?xml version="1.0" encoding="utf-8"?>
<ap:Properties xmlns:vt="http://schemas.openxmlformats.org/officeDocument/2006/docPropsVTypes" xmlns:ap="http://schemas.openxmlformats.org/officeDocument/2006/extended-properties">
  <ap:Application>Microsoft® Word 2016</ap:Application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谢婷婷</dc:creator>
  <dcterms:created xsi:type="dcterms:W3CDTF">2023-03-17T11:03:21Z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wqlLaW5nc29mdCBQREYgdG8gV1BTIDExNQ</vt:lpwstr>
  </property>
  <property fmtid="{D5CDD505-2E9C-101B-9397-08002B2CF9AE}" pid="3" name="Created">
    <vt:filetime>2025-11-04T15:54:15</vt:filetime>
  </property>
</Properties>
</file>