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999D9">
      <w:pPr>
        <w:spacing w:line="360" w:lineRule="auto"/>
        <w:jc w:val="left"/>
        <w:rPr>
          <w:rFonts w:hint="eastAsia" w:ascii="宋体" w:hAnsi="宋体" w:eastAsia="宋体"/>
          <w:sz w:val="24"/>
          <w:szCs w:val="24"/>
        </w:rPr>
      </w:pPr>
    </w:p>
    <w:p w14:paraId="3FE9EECB">
      <w:pPr>
        <w:spacing w:line="360" w:lineRule="auto"/>
        <w:jc w:val="center"/>
        <w:rPr>
          <w:rFonts w:hint="eastAsia" w:ascii="宋体" w:hAnsi="宋体" w:eastAsia="宋体"/>
          <w:b/>
          <w:bCs/>
          <w:sz w:val="36"/>
          <w:szCs w:val="36"/>
        </w:rPr>
      </w:pPr>
      <w:r>
        <w:rPr>
          <w:rFonts w:hint="eastAsia" w:ascii="宋体" w:hAnsi="宋体" w:eastAsia="宋体"/>
          <w:b/>
          <w:bCs/>
          <w:sz w:val="36"/>
          <w:szCs w:val="36"/>
        </w:rPr>
        <w:t>优化产品高质量供给机制，培育战新拳头产品</w:t>
      </w:r>
    </w:p>
    <w:p w14:paraId="120844F8">
      <w:pPr>
        <w:spacing w:line="360" w:lineRule="auto"/>
        <w:ind w:firstLine="480" w:firstLineChars="200"/>
        <w:rPr>
          <w:rFonts w:hint="eastAsia" w:ascii="宋体" w:hAnsi="宋体" w:eastAsia="宋体"/>
          <w:sz w:val="24"/>
          <w:szCs w:val="24"/>
        </w:rPr>
      </w:pPr>
    </w:p>
    <w:p w14:paraId="419DA281">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集团各战新板块布局取得初步成效，但主打产品在市场地位、发展速度、业务质态和客户口碑等方面距离形成拳头产品的目标较远。其根本原因在于产品从客户需要与服务满足之间的供给机制仍未完善，导致整体产品力普遍偏弱。建议从健全产品协同开发机制、完善客户声音汇聚机制、以及高质量开放合作等方面，强化研发和供给能力，为拳头产品的打造提供坚实基础。</w:t>
      </w:r>
    </w:p>
    <w:p w14:paraId="7D673173">
      <w:pPr>
        <w:numPr>
          <w:ilvl w:val="0"/>
          <w:numId w:val="1"/>
        </w:numPr>
        <w:spacing w:line="360" w:lineRule="auto"/>
        <w:rPr>
          <w:rFonts w:hint="eastAsia" w:ascii="宋体" w:hAnsi="宋体" w:eastAsia="宋体"/>
          <w:b/>
          <w:bCs/>
          <w:sz w:val="30"/>
          <w:szCs w:val="30"/>
        </w:rPr>
      </w:pPr>
      <w:r>
        <w:rPr>
          <w:rFonts w:hint="eastAsia" w:ascii="宋体" w:hAnsi="宋体" w:eastAsia="宋体"/>
          <w:b/>
          <w:bCs/>
          <w:sz w:val="30"/>
          <w:szCs w:val="30"/>
        </w:rPr>
        <w:t>战新业务整体表现不佳，难以形成拳头产品</w:t>
      </w:r>
    </w:p>
    <w:p w14:paraId="6BE48C8F">
      <w:pPr>
        <w:spacing w:line="360" w:lineRule="auto"/>
        <w:ind w:firstLine="420"/>
        <w:rPr>
          <w:rFonts w:hint="eastAsia" w:ascii="宋体" w:hAnsi="宋体" w:eastAsia="宋体"/>
          <w:sz w:val="24"/>
          <w:szCs w:val="24"/>
        </w:rPr>
      </w:pPr>
      <w:r>
        <w:rPr>
          <w:rFonts w:hint="eastAsia" w:ascii="宋体" w:hAnsi="宋体" w:eastAsia="宋体"/>
          <w:sz w:val="24"/>
          <w:szCs w:val="24"/>
        </w:rPr>
        <w:t>战新各领域的主打产品在市场地位、发展速度、业务质态和客户口碑等方面，普遍距离形成拳头产品的目标较远。</w:t>
      </w:r>
    </w:p>
    <w:p w14:paraId="7AE111E5">
      <w:pPr>
        <w:tabs>
          <w:tab w:val="left" w:pos="312"/>
        </w:tabs>
        <w:spacing w:line="360" w:lineRule="auto"/>
        <w:rPr>
          <w:rFonts w:hint="eastAsia" w:ascii="宋体" w:hAnsi="宋体" w:eastAsia="宋体"/>
          <w:b/>
          <w:bCs/>
          <w:sz w:val="28"/>
          <w:szCs w:val="28"/>
        </w:rPr>
      </w:pPr>
      <w:r>
        <w:rPr>
          <w:rFonts w:hint="eastAsia" w:ascii="宋体" w:hAnsi="宋体" w:eastAsia="宋体"/>
          <w:b/>
          <w:bCs/>
          <w:sz w:val="28"/>
          <w:szCs w:val="28"/>
        </w:rPr>
        <w:t>1、市场地位不够高</w:t>
      </w:r>
    </w:p>
    <w:p w14:paraId="2778679E">
      <w:pPr>
        <w:spacing w:line="360" w:lineRule="auto"/>
        <w:ind w:firstLine="420"/>
        <w:rPr>
          <w:rFonts w:hint="eastAsia" w:ascii="宋体" w:hAnsi="宋体" w:eastAsia="宋体"/>
          <w:sz w:val="24"/>
          <w:szCs w:val="24"/>
        </w:rPr>
      </w:pPr>
      <w:r>
        <w:rPr>
          <w:rFonts w:hint="eastAsia" w:ascii="宋体" w:hAnsi="宋体" w:eastAsia="宋体"/>
          <w:b/>
          <w:bCs/>
          <w:sz w:val="24"/>
          <w:szCs w:val="24"/>
        </w:rPr>
        <w:t>战新业务在规模和效益上低于行业可比公司，普遍尚未形成竞争地位优势。</w:t>
      </w:r>
      <w:r>
        <w:rPr>
          <w:rFonts w:hint="eastAsia" w:ascii="宋体" w:hAnsi="宋体" w:eastAsia="宋体"/>
          <w:sz w:val="24"/>
          <w:szCs w:val="24"/>
        </w:rPr>
        <w:t>如网安市场，IDC发布的数据显示，2023年中国网络安全市场规模121.6亿美元，天翼安全份额不足5%。云计算市场，天翼云本部收入规模虽大，但持续亏损，亏损面从22年的30亿增加至23年的37.9亿元；而华为云、阿里云、百度云2023年均实现盈利，移动云2024年中报告也提到正在从规模型增长转向效益型增长。</w:t>
      </w:r>
      <w:r>
        <w:rPr>
          <w:rFonts w:ascii="宋体" w:hAnsi="宋体" w:eastAsia="宋体"/>
          <w:sz w:val="24"/>
          <w:szCs w:val="24"/>
        </w:rPr>
        <w:t xml:space="preserve"> </w:t>
      </w:r>
    </w:p>
    <w:p w14:paraId="46CE7A1C">
      <w:pPr>
        <w:tabs>
          <w:tab w:val="left" w:pos="312"/>
        </w:tabs>
        <w:spacing w:line="360" w:lineRule="auto"/>
        <w:rPr>
          <w:rFonts w:hint="eastAsia" w:ascii="宋体" w:hAnsi="宋体" w:eastAsia="宋体"/>
          <w:b/>
          <w:bCs/>
          <w:sz w:val="28"/>
          <w:szCs w:val="28"/>
        </w:rPr>
      </w:pPr>
      <w:r>
        <w:rPr>
          <w:rFonts w:hint="eastAsia" w:ascii="宋体" w:hAnsi="宋体" w:eastAsia="宋体"/>
          <w:b/>
          <w:bCs/>
          <w:sz w:val="28"/>
          <w:szCs w:val="28"/>
        </w:rPr>
        <w:t>2、业务发展不够快</w:t>
      </w:r>
    </w:p>
    <w:p w14:paraId="512BE1C1">
      <w:pPr>
        <w:spacing w:line="360" w:lineRule="auto"/>
        <w:ind w:firstLine="420"/>
        <w:rPr>
          <w:rFonts w:hint="eastAsia" w:ascii="宋体" w:hAnsi="宋体" w:eastAsia="宋体"/>
          <w:sz w:val="24"/>
          <w:szCs w:val="24"/>
        </w:rPr>
      </w:pPr>
      <w:r>
        <w:rPr>
          <w:rFonts w:hint="eastAsia" w:ascii="宋体" w:hAnsi="宋体" w:eastAsia="宋体"/>
          <w:b/>
          <w:bCs/>
          <w:sz w:val="24"/>
          <w:szCs w:val="24"/>
        </w:rPr>
        <w:t>内部看，多项重点战新产品发展进度落后时序。</w:t>
      </w:r>
      <w:r>
        <w:rPr>
          <w:rFonts w:hint="eastAsia" w:ascii="宋体" w:hAnsi="宋体" w:eastAsia="宋体"/>
          <w:sz w:val="24"/>
          <w:szCs w:val="24"/>
        </w:rPr>
        <w:t>截至2024年6月，多个战新业务发展进度落后时序，云电脑、视联网、智慧社区等重点战新产品半年目标完成率不及30%。</w:t>
      </w:r>
      <w:r>
        <w:rPr>
          <w:rFonts w:hint="eastAsia" w:ascii="宋体" w:hAnsi="宋体" w:eastAsia="宋体"/>
          <w:b/>
          <w:bCs/>
          <w:sz w:val="24"/>
          <w:szCs w:val="24"/>
        </w:rPr>
        <w:t>对标业界来看，</w:t>
      </w:r>
      <w:r>
        <w:rPr>
          <w:rFonts w:hint="eastAsia" w:ascii="宋体" w:hAnsi="宋体" w:eastAsia="宋体"/>
          <w:sz w:val="24"/>
          <w:szCs w:val="24"/>
        </w:rPr>
        <w:t>不仅较多标品发展速度落后友商，如具备先发优势的视联网的云端连接数、数字乡村覆盖规模等被中移动反超；且较多板块整体增长不够快，如中移动5G专网收入同比增长53.7%、移动云同比增长19.3%，均明显高于中电信。</w:t>
      </w:r>
    </w:p>
    <w:p w14:paraId="2B2CC7D3">
      <w:pPr>
        <w:tabs>
          <w:tab w:val="left" w:pos="312"/>
        </w:tabs>
        <w:spacing w:line="360" w:lineRule="auto"/>
        <w:jc w:val="center"/>
      </w:pPr>
      <w:r>
        <w:drawing>
          <wp:inline distT="0" distB="0" distL="114300" distR="114300">
            <wp:extent cx="5035550" cy="2330450"/>
            <wp:effectExtent l="0" t="0" r="635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035550" cy="2330450"/>
                    </a:xfrm>
                    <a:prstGeom prst="rect">
                      <a:avLst/>
                    </a:prstGeom>
                    <a:noFill/>
                    <a:ln>
                      <a:noFill/>
                    </a:ln>
                  </pic:spPr>
                </pic:pic>
              </a:graphicData>
            </a:graphic>
          </wp:inline>
        </w:drawing>
      </w:r>
    </w:p>
    <w:p w14:paraId="484B70EA">
      <w:pPr>
        <w:spacing w:before="156" w:beforeLines="50"/>
        <w:jc w:val="center"/>
        <w:rPr>
          <w:rFonts w:hint="eastAsia" w:ascii="宋体" w:hAnsi="宋体" w:eastAsia="宋体"/>
          <w:szCs w:val="21"/>
        </w:rPr>
      </w:pPr>
      <w:r>
        <w:rPr>
          <w:rFonts w:hint="eastAsia" w:ascii="宋体" w:hAnsi="宋体" w:eastAsia="宋体"/>
          <w:szCs w:val="21"/>
        </w:rPr>
        <w:t>图1：2024年6月重点战新产品发展进度</w:t>
      </w:r>
    </w:p>
    <w:p w14:paraId="6FFAB22E">
      <w:pPr>
        <w:tabs>
          <w:tab w:val="left" w:pos="312"/>
        </w:tabs>
        <w:spacing w:line="360" w:lineRule="auto"/>
        <w:rPr>
          <w:rFonts w:hint="eastAsia" w:ascii="宋体" w:hAnsi="宋体" w:eastAsia="宋体"/>
          <w:b/>
          <w:bCs/>
          <w:sz w:val="28"/>
          <w:szCs w:val="28"/>
        </w:rPr>
      </w:pPr>
      <w:r>
        <w:rPr>
          <w:rFonts w:hint="eastAsia" w:ascii="宋体" w:hAnsi="宋体" w:eastAsia="宋体"/>
          <w:b/>
          <w:bCs/>
          <w:sz w:val="28"/>
          <w:szCs w:val="28"/>
        </w:rPr>
        <w:t>3、用户质态不够佳</w:t>
      </w:r>
    </w:p>
    <w:p w14:paraId="6D7EB9E8">
      <w:pPr>
        <w:tabs>
          <w:tab w:val="left" w:pos="312"/>
        </w:tabs>
        <w:spacing w:line="360" w:lineRule="auto"/>
        <w:ind w:firstLine="480" w:firstLineChars="200"/>
        <w:rPr>
          <w:rFonts w:hint="eastAsia" w:ascii="宋体" w:hAnsi="宋体" w:eastAsia="宋体"/>
          <w:sz w:val="24"/>
          <w:szCs w:val="24"/>
        </w:rPr>
      </w:pPr>
      <w:r>
        <w:rPr>
          <w:rFonts w:hint="eastAsia" w:ascii="宋体" w:hAnsi="宋体" w:eastAsia="宋体"/>
          <w:sz w:val="24"/>
          <w:szCs w:val="24"/>
        </w:rPr>
        <w:t>多数战新业务质态表现不够良好，活跃率较低。如视联网终端在线率59%，手机直连卫星端业匹配率34%，量子密话活跃率16%；云电脑登录率下跌至17.7%，其中公众版用户登陆率仅3.2%、连续6个季度呈现持续下跌态势。低活跃的用户质态隐含较高的离网风险，不利于产品的成长壮大和拳头产品的形成。</w:t>
      </w:r>
    </w:p>
    <w:p w14:paraId="33848423">
      <w:pPr>
        <w:tabs>
          <w:tab w:val="left" w:pos="312"/>
        </w:tabs>
        <w:spacing w:line="360" w:lineRule="auto"/>
        <w:rPr>
          <w:rFonts w:hint="eastAsia" w:ascii="宋体" w:hAnsi="宋体" w:eastAsia="宋体"/>
          <w:b/>
          <w:bCs/>
          <w:sz w:val="28"/>
          <w:szCs w:val="28"/>
        </w:rPr>
      </w:pPr>
      <w:r>
        <w:rPr>
          <w:rFonts w:hint="eastAsia" w:ascii="宋体" w:hAnsi="宋体" w:eastAsia="宋体"/>
          <w:b/>
          <w:bCs/>
          <w:sz w:val="28"/>
          <w:szCs w:val="28"/>
        </w:rPr>
        <w:t>4、客户口碑不够好</w:t>
      </w:r>
    </w:p>
    <w:p w14:paraId="7DCDFE2A">
      <w:pPr>
        <w:spacing w:line="360" w:lineRule="auto"/>
        <w:ind w:firstLine="420"/>
        <w:rPr>
          <w:rFonts w:hint="eastAsia" w:ascii="宋体" w:hAnsi="宋体" w:eastAsia="宋体"/>
          <w:sz w:val="24"/>
          <w:szCs w:val="24"/>
        </w:rPr>
      </w:pPr>
      <w:r>
        <w:rPr>
          <w:rFonts w:hint="eastAsia" w:ascii="宋体" w:hAnsi="宋体" w:eastAsia="宋体"/>
          <w:sz w:val="24"/>
          <w:szCs w:val="24"/>
        </w:rPr>
        <w:t>2024年对10项主要战新标品的调研显示，用户的使用感知和口碑评价较低，对产品的不满提及率均值达到45.8%，最高值达62.2%。其中</w:t>
      </w:r>
      <w:r>
        <w:rPr>
          <w:rFonts w:hint="eastAsia" w:ascii="宋体" w:hAnsi="宋体" w:eastAsia="宋体"/>
          <w:b/>
          <w:bCs/>
          <w:sz w:val="24"/>
          <w:szCs w:val="24"/>
        </w:rPr>
        <w:t>产品问题尤为凸显，已经成为客户不满的首要因素。</w:t>
      </w:r>
    </w:p>
    <w:p w14:paraId="629C8E16">
      <w:pPr>
        <w:spacing w:before="156" w:beforeLines="50"/>
        <w:jc w:val="center"/>
        <w:rPr>
          <w:rFonts w:hint="eastAsia" w:ascii="宋体" w:hAnsi="宋体" w:eastAsia="宋体"/>
          <w:szCs w:val="21"/>
        </w:rPr>
      </w:pPr>
      <w:r>
        <w:rPr>
          <w:rFonts w:hint="eastAsia" w:ascii="宋体" w:hAnsi="宋体" w:eastAsia="宋体"/>
          <w:szCs w:val="21"/>
          <w:lang w:val="en-US" w:eastAsia="zh-CN"/>
        </w:rPr>
        <w:t>表1</w:t>
      </w:r>
      <w:r>
        <w:rPr>
          <w:rFonts w:hint="eastAsia" w:ascii="宋体" w:hAnsi="宋体" w:eastAsia="宋体"/>
          <w:szCs w:val="21"/>
        </w:rPr>
        <w:t>：重点战新产品问题提及率</w:t>
      </w:r>
      <w:r>
        <w:drawing>
          <wp:inline distT="0" distB="0" distL="114300" distR="114300">
            <wp:extent cx="5270500" cy="23806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0500" cy="2380615"/>
                    </a:xfrm>
                    <a:prstGeom prst="rect">
                      <a:avLst/>
                    </a:prstGeom>
                    <a:noFill/>
                    <a:ln>
                      <a:noFill/>
                    </a:ln>
                  </pic:spPr>
                </pic:pic>
              </a:graphicData>
            </a:graphic>
          </wp:inline>
        </w:drawing>
      </w:r>
    </w:p>
    <w:p w14:paraId="7D974145">
      <w:pPr>
        <w:spacing w:before="156" w:beforeLines="50"/>
        <w:jc w:val="center"/>
        <w:rPr>
          <w:rFonts w:hint="eastAsia" w:ascii="宋体" w:hAnsi="宋体" w:eastAsia="宋体"/>
          <w:szCs w:val="21"/>
        </w:rPr>
      </w:pPr>
    </w:p>
    <w:p w14:paraId="2B03D383">
      <w:pPr>
        <w:spacing w:line="360" w:lineRule="auto"/>
        <w:rPr>
          <w:rFonts w:hint="eastAsia" w:ascii="宋体" w:hAnsi="宋体" w:eastAsia="宋体"/>
          <w:b/>
          <w:bCs/>
          <w:sz w:val="30"/>
          <w:szCs w:val="30"/>
        </w:rPr>
      </w:pPr>
      <w:r>
        <w:rPr>
          <w:rFonts w:hint="eastAsia" w:ascii="宋体" w:hAnsi="宋体" w:eastAsia="宋体"/>
          <w:b/>
          <w:bCs/>
          <w:sz w:val="30"/>
          <w:szCs w:val="30"/>
        </w:rPr>
        <w:t>二、战新难以形成拳头产品的制约原因剖析</w:t>
      </w:r>
    </w:p>
    <w:p w14:paraId="7413D6A3">
      <w:pPr>
        <w:spacing w:line="360" w:lineRule="auto"/>
        <w:ind w:firstLine="420"/>
        <w:rPr>
          <w:rFonts w:hint="eastAsia" w:ascii="宋体" w:hAnsi="宋体" w:eastAsia="宋体"/>
          <w:sz w:val="24"/>
          <w:szCs w:val="24"/>
        </w:rPr>
      </w:pPr>
      <w:r>
        <w:rPr>
          <w:rFonts w:hint="eastAsia" w:ascii="宋体" w:hAnsi="宋体" w:eastAsia="宋体"/>
          <w:sz w:val="24"/>
          <w:szCs w:val="24"/>
        </w:rPr>
        <w:t>战新产品整体表现不佳，以及对标业界发展能力落后，</w:t>
      </w:r>
      <w:r>
        <w:rPr>
          <w:rFonts w:hint="eastAsia" w:ascii="宋体" w:hAnsi="宋体" w:eastAsia="宋体"/>
          <w:sz w:val="24"/>
          <w:szCs w:val="24"/>
          <w:lang w:val="en-US" w:eastAsia="zh-CN"/>
        </w:rPr>
        <w:t>主要</w:t>
      </w:r>
      <w:r>
        <w:rPr>
          <w:rFonts w:hint="eastAsia" w:ascii="宋体" w:hAnsi="宋体" w:eastAsia="宋体"/>
          <w:sz w:val="24"/>
          <w:szCs w:val="24"/>
        </w:rPr>
        <w:t>原因源于产品力的不足，从根源上则反映出产品从场景需求到形成高质量供给的环节，存在机制层面的问题。对标业界IPD模式的高质量供给机制，电信当前战新产品供给在客户需求传导、研发创新主体协同和开放合作等方面存在不足和制约。</w:t>
      </w:r>
    </w:p>
    <w:p w14:paraId="45921E14">
      <w:pPr>
        <w:spacing w:line="360" w:lineRule="auto"/>
        <w:jc w:val="center"/>
      </w:pPr>
      <w:r>
        <w:drawing>
          <wp:inline distT="0" distB="0" distL="114300" distR="114300">
            <wp:extent cx="5273040" cy="2076450"/>
            <wp:effectExtent l="0" t="0" r="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73040" cy="2076450"/>
                    </a:xfrm>
                    <a:prstGeom prst="rect">
                      <a:avLst/>
                    </a:prstGeom>
                    <a:noFill/>
                    <a:ln>
                      <a:noFill/>
                    </a:ln>
                  </pic:spPr>
                </pic:pic>
              </a:graphicData>
            </a:graphic>
          </wp:inline>
        </w:drawing>
      </w:r>
    </w:p>
    <w:p w14:paraId="03740D5D">
      <w:pPr>
        <w:spacing w:line="360" w:lineRule="auto"/>
        <w:jc w:val="center"/>
        <w:rPr>
          <w:rFonts w:hint="eastAsia" w:ascii="宋体" w:hAnsi="宋体" w:eastAsia="宋体"/>
          <w:szCs w:val="21"/>
        </w:rPr>
      </w:pPr>
      <w:r>
        <w:rPr>
          <w:rFonts w:hint="eastAsia" w:ascii="宋体" w:hAnsi="宋体" w:eastAsia="宋体"/>
          <w:szCs w:val="21"/>
        </w:rPr>
        <w:t>图</w:t>
      </w:r>
      <w:r>
        <w:rPr>
          <w:rFonts w:hint="eastAsia" w:ascii="宋体" w:hAnsi="宋体" w:eastAsia="宋体"/>
          <w:szCs w:val="21"/>
          <w:lang w:val="en-US" w:eastAsia="zh-CN"/>
        </w:rPr>
        <w:t>2</w:t>
      </w:r>
      <w:r>
        <w:rPr>
          <w:rFonts w:hint="eastAsia" w:ascii="宋体" w:hAnsi="宋体" w:eastAsia="宋体"/>
          <w:szCs w:val="21"/>
        </w:rPr>
        <w:t>： 对标IPD高质量供给模式的能力不足环节</w:t>
      </w:r>
    </w:p>
    <w:p w14:paraId="4A9D3332">
      <w:pPr>
        <w:spacing w:line="360" w:lineRule="auto"/>
        <w:rPr>
          <w:rFonts w:hint="eastAsia" w:ascii="宋体" w:hAnsi="宋体" w:eastAsia="宋体"/>
          <w:b/>
          <w:bCs/>
          <w:sz w:val="28"/>
          <w:szCs w:val="28"/>
        </w:rPr>
      </w:pPr>
      <w:r>
        <w:rPr>
          <w:rFonts w:hint="eastAsia" w:ascii="宋体" w:hAnsi="宋体" w:eastAsia="宋体"/>
          <w:b/>
          <w:bCs/>
          <w:sz w:val="28"/>
          <w:szCs w:val="28"/>
        </w:rPr>
        <w:t>1、了解客户不够</w:t>
      </w:r>
      <w:bookmarkStart w:id="0" w:name="_Hlk178617689"/>
      <w:r>
        <w:rPr>
          <w:rFonts w:hint="eastAsia" w:ascii="宋体" w:hAnsi="宋体" w:eastAsia="宋体"/>
          <w:b/>
          <w:bCs/>
          <w:sz w:val="28"/>
          <w:szCs w:val="28"/>
        </w:rPr>
        <w:t>，未充分满足多变的客户场景需求</w:t>
      </w:r>
      <w:bookmarkEnd w:id="0"/>
    </w:p>
    <w:p w14:paraId="7F0E3B6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客户需求是产品的基础，需求管理质量对产品研发质量和拳头产品的形成具有决定性影响。当前由各产品研发单位（专业公司）自行运作、分散管理的模式，暴露出诸多问题。</w:t>
      </w:r>
    </w:p>
    <w:p w14:paraId="15E1A617">
      <w:pPr>
        <w:spacing w:line="360" w:lineRule="auto"/>
        <w:ind w:firstLine="482" w:firstLineChars="200"/>
        <w:rPr>
          <w:rFonts w:hint="eastAsia" w:ascii="宋体" w:hAnsi="宋体" w:eastAsia="宋体"/>
          <w:sz w:val="24"/>
          <w:szCs w:val="24"/>
        </w:rPr>
      </w:pPr>
      <w:r>
        <w:rPr>
          <w:rFonts w:hint="eastAsia" w:ascii="宋体" w:hAnsi="宋体" w:eastAsia="宋体"/>
          <w:b/>
          <w:bCs/>
          <w:sz w:val="24"/>
          <w:szCs w:val="24"/>
        </w:rPr>
        <w:t>（1）客户声音倾听传导机制分散，采集和管理不畅导致产品与需求脱节。</w:t>
      </w:r>
      <w:r>
        <w:rPr>
          <w:rFonts w:hint="eastAsia" w:ascii="宋体" w:hAnsi="宋体" w:eastAsia="宋体"/>
          <w:sz w:val="24"/>
          <w:szCs w:val="24"/>
        </w:rPr>
        <w:t>一方面是需求传导机制不够畅通和高效。各专业公司需面对来自客户反馈和投诉等各渠道的海量需求，如政企热线</w:t>
      </w:r>
      <w:r>
        <w:rPr>
          <w:rFonts w:ascii="宋体" w:hAnsi="宋体" w:eastAsia="宋体"/>
          <w:sz w:val="24"/>
          <w:szCs w:val="24"/>
        </w:rPr>
        <w:t>话务量</w:t>
      </w:r>
      <w:r>
        <w:rPr>
          <w:rFonts w:hint="eastAsia" w:ascii="宋体" w:hAnsi="宋体" w:eastAsia="宋体"/>
          <w:sz w:val="24"/>
          <w:szCs w:val="24"/>
        </w:rPr>
        <w:t>单月超70</w:t>
      </w:r>
      <w:r>
        <w:rPr>
          <w:rFonts w:ascii="宋体" w:hAnsi="宋体" w:eastAsia="宋体"/>
          <w:sz w:val="24"/>
          <w:szCs w:val="24"/>
        </w:rPr>
        <w:t>万通，</w:t>
      </w:r>
      <w:r>
        <w:rPr>
          <w:rFonts w:hint="eastAsia" w:ascii="宋体" w:hAnsi="宋体" w:eastAsia="宋体"/>
          <w:sz w:val="24"/>
          <w:szCs w:val="24"/>
        </w:rPr>
        <w:t>各专业公司热线近10万通，尚缺乏有效技术手段进行深入洞察和精确采集；另一方面则是大量的客户声音遗漏在外，如部分产品超80%的需求未经线上流转，沉淀在客户经理等一线人员手上。此外，需求自管理的模式缺乏统筹监管，各专业公司通过自有平台体系进行需求全流程管理，但迭代优化闭环和中远期规划统筹等需求管理运转效果，均自行承担运动员和裁判员角色。</w:t>
      </w:r>
    </w:p>
    <w:p w14:paraId="0D6003A0">
      <w:pPr>
        <w:spacing w:line="360" w:lineRule="auto"/>
        <w:ind w:firstLine="482" w:firstLineChars="200"/>
        <w:rPr>
          <w:rFonts w:hint="eastAsia" w:ascii="宋体" w:hAnsi="宋体" w:eastAsia="宋体"/>
          <w:sz w:val="24"/>
          <w:szCs w:val="24"/>
        </w:rPr>
      </w:pPr>
      <w:r>
        <w:rPr>
          <w:rFonts w:hint="eastAsia" w:ascii="宋体" w:hAnsi="宋体" w:eastAsia="宋体"/>
          <w:b/>
          <w:bCs/>
          <w:sz w:val="24"/>
          <w:szCs w:val="24"/>
        </w:rPr>
        <w:t>（2）无法快速满足多变的客户需求和场景需求。</w:t>
      </w:r>
      <w:r>
        <w:rPr>
          <w:rFonts w:hint="eastAsia" w:ascii="宋体" w:hAnsi="宋体" w:eastAsia="宋体"/>
          <w:sz w:val="24"/>
          <w:szCs w:val="24"/>
        </w:rPr>
        <w:t>一方面，研发路径是从产品到场景、而非从场景到产品。产品的研发设计缺少实际场景的支持，导致产品落地后地市一线人员陷于寻找场景的推广困境；一方面，产品对客户场景需求的调整适应不够灵活，如部分云产品通常涉及省、集团、云公司三方，而省侧优化需求涉及三方改动时，推动难且周期长，再如一线智慧社区需进一步完善增加街办、 民政、住建等智能部门功能模块的需求，长时间未能落地实现，延缓了一线平台卡位的推进节奏。</w:t>
      </w:r>
    </w:p>
    <w:p w14:paraId="0F4FC148">
      <w:pPr>
        <w:spacing w:line="360" w:lineRule="auto"/>
        <w:rPr>
          <w:rFonts w:hint="eastAsia" w:ascii="宋体" w:hAnsi="宋体" w:eastAsia="宋体"/>
          <w:b/>
          <w:bCs/>
          <w:sz w:val="28"/>
          <w:szCs w:val="28"/>
        </w:rPr>
      </w:pPr>
      <w:bookmarkStart w:id="1" w:name="_Hlk177205181"/>
      <w:r>
        <w:rPr>
          <w:rFonts w:hint="eastAsia" w:ascii="宋体" w:hAnsi="宋体" w:eastAsia="宋体"/>
          <w:b/>
          <w:bCs/>
          <w:sz w:val="28"/>
          <w:szCs w:val="28"/>
        </w:rPr>
        <w:t>2、缺少“大协同”的研发机制，降低供给效能</w:t>
      </w:r>
    </w:p>
    <w:p w14:paraId="56E6988C">
      <w:pPr>
        <w:spacing w:line="360" w:lineRule="auto"/>
        <w:ind w:firstLine="569" w:firstLineChars="236"/>
        <w:rPr>
          <w:rFonts w:hint="eastAsia" w:ascii="宋体" w:hAnsi="宋体" w:eastAsia="宋体"/>
          <w:sz w:val="24"/>
          <w:szCs w:val="24"/>
        </w:rPr>
      </w:pPr>
      <w:r>
        <w:rPr>
          <w:rFonts w:hint="eastAsia" w:ascii="宋体" w:hAnsi="宋体" w:eastAsia="宋体"/>
          <w:b/>
          <w:bCs/>
          <w:sz w:val="24"/>
          <w:szCs w:val="24"/>
        </w:rPr>
        <w:t>产品统筹规划和指引能力相对不足。从专业公司角度，</w:t>
      </w:r>
      <w:r>
        <w:rPr>
          <w:rFonts w:hint="eastAsia" w:ascii="宋体" w:hAnsi="宋体" w:eastAsia="宋体"/>
          <w:sz w:val="24"/>
          <w:szCs w:val="24"/>
        </w:rPr>
        <w:t>产品前瞻性布局的规划指引不够，如安全、新兴AI、车联网等重点能力的需要更清晰明确的方向和目标；公司间的能力建设重复，如AI能力作为普遍性需求，各单位在引用和自建的选择上仍以自由生长为主。</w:t>
      </w:r>
      <w:r>
        <w:rPr>
          <w:rFonts w:hint="eastAsia" w:ascii="宋体" w:hAnsi="宋体" w:eastAsia="宋体"/>
          <w:b/>
          <w:bCs/>
          <w:sz w:val="24"/>
          <w:szCs w:val="24"/>
        </w:rPr>
        <w:t>从省公司角度</w:t>
      </w:r>
      <w:r>
        <w:rPr>
          <w:rFonts w:hint="eastAsia" w:ascii="宋体" w:hAnsi="宋体" w:eastAsia="宋体"/>
          <w:sz w:val="24"/>
          <w:szCs w:val="24"/>
        </w:rPr>
        <w:t>，面临同类产品多、相似产品重复推出的营销困扰问题，如天翼云眼和天翼看家、亲情守护与部分省产品同名、安全管家类多个产品等难以区分的情况。</w:t>
      </w:r>
    </w:p>
    <w:p w14:paraId="5D8273F3">
      <w:pPr>
        <w:spacing w:line="360" w:lineRule="auto"/>
        <w:ind w:firstLine="569" w:firstLineChars="236"/>
        <w:rPr>
          <w:rFonts w:hint="eastAsia" w:ascii="宋体" w:hAnsi="宋体" w:eastAsia="宋体"/>
          <w:sz w:val="24"/>
          <w:szCs w:val="24"/>
        </w:rPr>
      </w:pPr>
      <w:r>
        <w:rPr>
          <w:rFonts w:hint="eastAsia" w:ascii="宋体" w:hAnsi="宋体" w:eastAsia="宋体"/>
          <w:b/>
          <w:bCs/>
          <w:sz w:val="24"/>
          <w:szCs w:val="24"/>
        </w:rPr>
        <w:t>研发创新的主体间缺少协同机制</w:t>
      </w:r>
      <w:r>
        <w:rPr>
          <w:rFonts w:hint="eastAsia" w:ascii="宋体" w:hAnsi="宋体" w:eastAsia="宋体"/>
          <w:sz w:val="24"/>
          <w:szCs w:val="24"/>
        </w:rPr>
        <w:t>。体现为研发人员的协同和研发基础能力的协同两方面。一是产品实现过程中，人员的单位条线分割严重，无法围绕大型的综合性产品项目，将需求方、开发方相关人员从现有单位和部门中抽离形成 “重量级”的矩阵式协同团队，二是研发资源能力割裂、资源贡献程度低等问题，制约整体的协同研发效率。</w:t>
      </w:r>
    </w:p>
    <w:p w14:paraId="70A7238A">
      <w:pPr>
        <w:tabs>
          <w:tab w:val="left" w:pos="567"/>
        </w:tabs>
        <w:spacing w:line="360" w:lineRule="auto"/>
        <w:rPr>
          <w:rFonts w:hint="eastAsia" w:ascii="宋体" w:hAnsi="宋体" w:eastAsia="宋体"/>
          <w:b/>
          <w:bCs/>
          <w:color w:val="FF0000"/>
          <w:sz w:val="28"/>
          <w:szCs w:val="28"/>
        </w:rPr>
      </w:pPr>
      <w:r>
        <w:rPr>
          <w:rFonts w:hint="eastAsia" w:ascii="宋体" w:hAnsi="宋体" w:eastAsia="宋体"/>
          <w:b/>
          <w:bCs/>
          <w:sz w:val="28"/>
          <w:szCs w:val="28"/>
        </w:rPr>
        <w:t>3、</w:t>
      </w:r>
      <w:bookmarkStart w:id="2" w:name="_Hlk178616815"/>
      <w:r>
        <w:rPr>
          <w:rFonts w:hint="eastAsia" w:ascii="宋体" w:hAnsi="宋体" w:eastAsia="宋体"/>
          <w:b/>
          <w:bCs/>
          <w:sz w:val="28"/>
          <w:szCs w:val="28"/>
        </w:rPr>
        <w:t>技术合作的力度不够，借生态外力打造拳头产品</w:t>
      </w:r>
      <w:bookmarkEnd w:id="2"/>
      <w:r>
        <w:rPr>
          <w:rFonts w:hint="eastAsia" w:ascii="宋体" w:hAnsi="宋体" w:eastAsia="宋体"/>
          <w:b/>
          <w:bCs/>
          <w:sz w:val="28"/>
          <w:szCs w:val="28"/>
        </w:rPr>
        <w:t>的成功实践不足</w:t>
      </w:r>
    </w:p>
    <w:bookmarkEnd w:id="1"/>
    <w:p w14:paraId="6B3E45C8">
      <w:pPr>
        <w:spacing w:line="360" w:lineRule="auto"/>
        <w:ind w:firstLine="569" w:firstLineChars="236"/>
        <w:rPr>
          <w:rFonts w:hint="eastAsia" w:ascii="宋体" w:hAnsi="宋体" w:eastAsia="宋体"/>
          <w:sz w:val="24"/>
          <w:szCs w:val="24"/>
        </w:rPr>
      </w:pPr>
      <w:r>
        <w:rPr>
          <w:rFonts w:hint="eastAsia" w:ascii="宋体" w:hAnsi="宋体" w:eastAsia="宋体"/>
          <w:b/>
          <w:bCs/>
          <w:sz w:val="24"/>
          <w:szCs w:val="24"/>
        </w:rPr>
        <w:t>一方面表现为引入技术转化为具备竞争优势拳头产品的速度不快</w:t>
      </w:r>
      <w:r>
        <w:rPr>
          <w:rFonts w:hint="eastAsia" w:ascii="宋体" w:hAnsi="宋体" w:eastAsia="宋体"/>
          <w:sz w:val="24"/>
          <w:szCs w:val="24"/>
        </w:rPr>
        <w:t>，</w:t>
      </w:r>
      <w:r>
        <w:rPr>
          <w:rFonts w:hint="eastAsia" w:ascii="宋体" w:hAnsi="宋体" w:eastAsia="宋体"/>
          <w:b/>
          <w:bCs/>
          <w:sz w:val="24"/>
          <w:szCs w:val="24"/>
        </w:rPr>
        <w:t>另一方面表现为引入的生态合作资源对自身市场地位的拉升不足。</w:t>
      </w:r>
      <w:r>
        <w:rPr>
          <w:rFonts w:hint="eastAsia" w:ascii="宋体" w:hAnsi="宋体" w:eastAsia="宋体"/>
          <w:sz w:val="24"/>
          <w:szCs w:val="24"/>
        </w:rPr>
        <w:t>量子、安全等领域均</w:t>
      </w:r>
      <w:r>
        <w:rPr>
          <w:rFonts w:hint="eastAsia" w:ascii="宋体" w:hAnsi="宋体" w:eastAsia="宋体"/>
          <w:sz w:val="24"/>
          <w:szCs w:val="24"/>
          <w:lang w:val="en-US" w:eastAsia="zh-CN"/>
        </w:rPr>
        <w:t>有</w:t>
      </w:r>
      <w:r>
        <w:rPr>
          <w:rFonts w:hint="eastAsia" w:ascii="宋体" w:hAnsi="宋体" w:eastAsia="宋体"/>
          <w:sz w:val="24"/>
          <w:szCs w:val="24"/>
        </w:rPr>
        <w:t>成功的生态合作，但整体看形成拳头产品打造的进度不够快，相关领域的战新标品在用户和收入方面的体量成长不够快。中电信合作技术支撑的战新产品，较少出现对标IT业界可进入TOP5的头部产品；对标友商，中移动发挥资本纽带作用在数、智、安等重点领域选择大华、启明星辰、科大讯飞等行业龙头，引入行业的成熟优质能力并转化为行业头部拳头产品的势头更加显著。</w:t>
      </w:r>
    </w:p>
    <w:p w14:paraId="43BCE73D">
      <w:pPr>
        <w:spacing w:line="360" w:lineRule="auto"/>
        <w:jc w:val="center"/>
      </w:pPr>
      <w:r>
        <w:drawing>
          <wp:inline distT="0" distB="0" distL="114300" distR="114300">
            <wp:extent cx="5274310" cy="1407795"/>
            <wp:effectExtent l="0" t="0" r="1397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74310" cy="1407795"/>
                    </a:xfrm>
                    <a:prstGeom prst="rect">
                      <a:avLst/>
                    </a:prstGeom>
                    <a:noFill/>
                    <a:ln>
                      <a:noFill/>
                    </a:ln>
                  </pic:spPr>
                </pic:pic>
              </a:graphicData>
            </a:graphic>
          </wp:inline>
        </w:drawing>
      </w:r>
    </w:p>
    <w:p w14:paraId="6DA6B622">
      <w:pPr>
        <w:spacing w:line="360" w:lineRule="auto"/>
        <w:jc w:val="center"/>
      </w:pPr>
      <w:r>
        <w:rPr>
          <w:rFonts w:hint="eastAsia" w:ascii="宋体" w:hAnsi="宋体" w:eastAsia="宋体"/>
          <w:szCs w:val="21"/>
        </w:rPr>
        <w:t>图</w:t>
      </w:r>
      <w:r>
        <w:rPr>
          <w:rFonts w:hint="eastAsia" w:ascii="宋体" w:hAnsi="宋体" w:eastAsia="宋体"/>
          <w:szCs w:val="21"/>
          <w:lang w:val="en-US" w:eastAsia="zh-CN"/>
        </w:rPr>
        <w:t>3</w:t>
      </w:r>
      <w:r>
        <w:rPr>
          <w:rFonts w:hint="eastAsia" w:ascii="宋体" w:hAnsi="宋体" w:eastAsia="宋体"/>
          <w:szCs w:val="21"/>
        </w:rPr>
        <w:t>：中国移动资本布局推动产品及技术研发开放合作</w:t>
      </w:r>
    </w:p>
    <w:p w14:paraId="32CE3B05">
      <w:pPr>
        <w:spacing w:line="360" w:lineRule="auto"/>
        <w:ind w:firstLine="480" w:firstLineChars="200"/>
        <w:rPr>
          <w:rFonts w:hint="eastAsia" w:ascii="宋体" w:hAnsi="宋体" w:eastAsia="宋体"/>
          <w:b/>
          <w:bCs/>
          <w:sz w:val="24"/>
          <w:szCs w:val="24"/>
        </w:rPr>
      </w:pPr>
      <w:bookmarkStart w:id="5" w:name="_GoBack"/>
      <w:bookmarkEnd w:id="5"/>
      <w:r>
        <w:rPr>
          <w:rFonts w:hint="eastAsia" w:ascii="宋体" w:hAnsi="宋体" w:eastAsia="宋体"/>
          <w:sz w:val="24"/>
          <w:szCs w:val="24"/>
        </w:rPr>
        <w:t>此外，研发质量缺乏管控，上岗新产品“病多体弱”，导致发展难度大以及发展质量不达预期的情况，也是制约产品形成成为拳头产品重要因素。多项产品在集团定期的产品质量评估中发现大量体验性问题，在省市一线的发展中，更是出现“准确率不足、误判过多”、“在对要客的展示环节平台功能失效”、“影响群体业务使用”等实际问题，引发客户不满，满意度信任度下降。</w:t>
      </w:r>
    </w:p>
    <w:p w14:paraId="02955AB5">
      <w:pPr>
        <w:spacing w:line="360" w:lineRule="auto"/>
        <w:rPr>
          <w:rFonts w:hint="eastAsia" w:ascii="宋体" w:hAnsi="宋体" w:eastAsia="宋体"/>
          <w:b/>
          <w:bCs/>
          <w:sz w:val="30"/>
          <w:szCs w:val="30"/>
        </w:rPr>
      </w:pPr>
      <w:r>
        <w:rPr>
          <w:rFonts w:hint="eastAsia" w:ascii="宋体" w:hAnsi="宋体" w:eastAsia="宋体"/>
          <w:b/>
          <w:bCs/>
          <w:sz w:val="30"/>
          <w:szCs w:val="30"/>
        </w:rPr>
        <w:t>三、强化“大研发”的统筹管理机制，提升拳头产品供给能力</w:t>
      </w:r>
    </w:p>
    <w:p w14:paraId="4DC9A1AB">
      <w:pPr>
        <w:spacing w:line="360" w:lineRule="auto"/>
        <w:rPr>
          <w:rFonts w:hint="eastAsia" w:ascii="宋体" w:hAnsi="宋体" w:eastAsia="宋体"/>
          <w:b/>
          <w:bCs/>
          <w:sz w:val="28"/>
          <w:szCs w:val="28"/>
        </w:rPr>
      </w:pPr>
      <w:bookmarkStart w:id="3" w:name="_Hlk178617015"/>
      <w:r>
        <w:rPr>
          <w:rFonts w:hint="eastAsia" w:ascii="宋体" w:hAnsi="宋体" w:eastAsia="宋体"/>
          <w:b/>
          <w:bCs/>
          <w:sz w:val="28"/>
          <w:szCs w:val="28"/>
        </w:rPr>
        <w:t>1、构建符合电信特征的大研发管理机制、推进产品供给协同</w:t>
      </w:r>
    </w:p>
    <w:p w14:paraId="4B4BEB1F">
      <w:pPr>
        <w:spacing w:line="360" w:lineRule="auto"/>
        <w:ind w:firstLine="569" w:firstLineChars="23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一是集团强化对各板块产品的年度滚动规划审议，确定重大产品创新方向，</w:t>
      </w:r>
      <w:r>
        <w:rPr>
          <w:rFonts w:hint="eastAsia" w:ascii="宋体" w:hAnsi="宋体" w:eastAsia="宋体"/>
          <w:b w:val="0"/>
          <w:bCs w:val="0"/>
          <w:color w:val="000000" w:themeColor="text1"/>
          <w:sz w:val="24"/>
          <w:szCs w:val="24"/>
          <w14:textFill>
            <w14:solidFill>
              <w14:schemeClr w14:val="tx1"/>
            </w14:solidFill>
          </w14:textFill>
        </w:rPr>
        <w:t>协调跨产品线规划及平台系统建设</w:t>
      </w:r>
      <w:r>
        <w:rPr>
          <w:rFonts w:hint="eastAsia" w:ascii="宋体" w:hAnsi="宋体" w:eastAsia="宋体"/>
          <w:color w:val="000000" w:themeColor="text1"/>
          <w:sz w:val="24"/>
          <w:szCs w:val="24"/>
          <w14:textFill>
            <w14:solidFill>
              <w14:schemeClr w14:val="tx1"/>
            </w14:solidFill>
          </w14:textFill>
        </w:rPr>
        <w:t>。</w:t>
      </w:r>
      <w:r>
        <w:rPr>
          <w:rFonts w:hint="eastAsia" w:ascii="宋体" w:hAnsi="宋体" w:eastAsia="宋体"/>
          <w:b/>
          <w:bCs/>
          <w:color w:val="000000" w:themeColor="text1"/>
          <w:sz w:val="24"/>
          <w:szCs w:val="24"/>
          <w14:textFill>
            <w14:solidFill>
              <w14:schemeClr w14:val="tx1"/>
            </w14:solidFill>
          </w14:textFill>
        </w:rPr>
        <w:t>二是推动省专之间的场景共创和研发共创，</w:t>
      </w:r>
      <w:r>
        <w:rPr>
          <w:rFonts w:hint="eastAsia" w:ascii="宋体" w:hAnsi="宋体" w:eastAsia="宋体"/>
          <w:b w:val="0"/>
          <w:bCs w:val="0"/>
          <w:color w:val="000000" w:themeColor="text1"/>
          <w:sz w:val="24"/>
          <w:szCs w:val="24"/>
          <w14:textFill>
            <w14:solidFill>
              <w14:schemeClr w14:val="tx1"/>
            </w14:solidFill>
          </w14:textFill>
        </w:rPr>
        <w:t>集团强化对研发链和重点产品线的协调配合，构建以任务书牵引的重大产品项目跨组织协同机制</w:t>
      </w:r>
      <w:r>
        <w:rPr>
          <w:rFonts w:hint="eastAsia" w:ascii="宋体" w:hAnsi="宋体" w:eastAsia="宋体"/>
          <w:color w:val="000000" w:themeColor="text1"/>
          <w:sz w:val="24"/>
          <w:szCs w:val="24"/>
          <w14:textFill>
            <w14:solidFill>
              <w14:schemeClr w14:val="tx1"/>
            </w14:solidFill>
          </w14:textFill>
        </w:rPr>
        <w:t>，实现研发、营销、运营、服务、投资等专业条线的能力协同；明确利益分配机制，牵引跨组织的研发力量协同，推动产品创新和研发在省、专业公司各层面的密切协同。</w:t>
      </w:r>
      <w:r>
        <w:rPr>
          <w:rFonts w:hint="eastAsia" w:ascii="宋体" w:hAnsi="宋体" w:eastAsia="宋体"/>
          <w:b/>
          <w:bCs/>
          <w:color w:val="000000" w:themeColor="text1"/>
          <w:sz w:val="24"/>
          <w:szCs w:val="24"/>
          <w14:textFill>
            <w14:solidFill>
              <w14:schemeClr w14:val="tx1"/>
            </w14:solidFill>
          </w14:textFill>
        </w:rPr>
        <w:t>三是优化产品协同研发运营体系，强化一站式研发底座赋能</w:t>
      </w:r>
      <w:r>
        <w:rPr>
          <w:rFonts w:hint="eastAsia" w:ascii="宋体" w:hAnsi="宋体" w:eastAsia="宋体"/>
          <w:color w:val="000000" w:themeColor="text1"/>
          <w:sz w:val="24"/>
          <w:szCs w:val="24"/>
          <w14:textFill>
            <w14:solidFill>
              <w14:schemeClr w14:val="tx1"/>
            </w14:solidFill>
          </w14:textFill>
        </w:rPr>
        <w:t>，以弹性架构、能力聚合和组件式开发实现各产品线研发环境、技术标准拉通和能力融通；</w:t>
      </w:r>
    </w:p>
    <w:p w14:paraId="36C5763F">
      <w:pPr>
        <w:spacing w:line="360" w:lineRule="auto"/>
        <w:rPr>
          <w:rFonts w:hint="eastAsia" w:ascii="宋体" w:hAnsi="宋体" w:eastAsia="宋体"/>
          <w:b/>
          <w:bCs/>
          <w:sz w:val="28"/>
          <w:szCs w:val="28"/>
        </w:rPr>
      </w:pPr>
      <w:r>
        <w:rPr>
          <w:rFonts w:hint="eastAsia" w:ascii="宋体" w:hAnsi="宋体" w:eastAsia="宋体"/>
          <w:b/>
          <w:bCs/>
          <w:sz w:val="28"/>
          <w:szCs w:val="28"/>
        </w:rPr>
        <w:t>2、建立健全以客户为中心的需求声音汇聚平台和管理机制</w:t>
      </w:r>
    </w:p>
    <w:bookmarkEnd w:id="3"/>
    <w:p w14:paraId="38CA2140">
      <w:pPr>
        <w:spacing w:line="360" w:lineRule="auto"/>
        <w:ind w:firstLine="426" w:firstLineChars="177"/>
        <w:rPr>
          <w:rFonts w:hint="eastAsia" w:ascii="宋体" w:hAnsi="宋体" w:eastAsia="宋体"/>
          <w:sz w:val="24"/>
          <w:szCs w:val="24"/>
        </w:rPr>
      </w:pPr>
      <w:r>
        <w:rPr>
          <w:rFonts w:hint="eastAsia" w:ascii="宋体" w:hAnsi="宋体" w:eastAsia="宋体"/>
          <w:b/>
          <w:bCs/>
          <w:sz w:val="24"/>
          <w:szCs w:val="24"/>
        </w:rPr>
        <w:t>搭建客户声音汇聚平台，广泛聆听客户需求</w:t>
      </w:r>
      <w:r>
        <w:rPr>
          <w:rFonts w:hint="eastAsia" w:ascii="宋体" w:hAnsi="宋体" w:eastAsia="宋体"/>
          <w:sz w:val="24"/>
          <w:szCs w:val="24"/>
        </w:rPr>
        <w:t>。学习标杆企业优秀做法，整合</w:t>
      </w:r>
      <w:r>
        <w:rPr>
          <w:rFonts w:hint="eastAsia" w:ascii="宋体" w:hAnsi="宋体" w:eastAsia="宋体"/>
          <w:sz w:val="24"/>
          <w:szCs w:val="24"/>
          <w:lang w:val="en-US" w:eastAsia="zh-CN"/>
        </w:rPr>
        <w:t>10000号</w:t>
      </w:r>
      <w:r>
        <w:rPr>
          <w:rFonts w:hint="eastAsia" w:ascii="宋体" w:hAnsi="宋体" w:eastAsia="宋体"/>
          <w:sz w:val="24"/>
          <w:szCs w:val="24"/>
          <w:lang w:eastAsia="zh-CN"/>
        </w:rPr>
        <w:t>、</w:t>
      </w:r>
      <w:r>
        <w:rPr>
          <w:rFonts w:hint="eastAsia" w:ascii="宋体" w:hAnsi="宋体" w:eastAsia="宋体"/>
          <w:sz w:val="24"/>
          <w:szCs w:val="24"/>
          <w:lang w:val="en-US" w:eastAsia="zh-CN"/>
        </w:rPr>
        <w:t>10009号（包括10000+9）</w:t>
      </w:r>
      <w:r>
        <w:rPr>
          <w:rFonts w:hint="eastAsia" w:ascii="宋体" w:hAnsi="宋体" w:eastAsia="宋体"/>
          <w:sz w:val="24"/>
          <w:szCs w:val="24"/>
          <w:lang w:eastAsia="zh-CN"/>
        </w:rPr>
        <w:t>、</w:t>
      </w:r>
      <w:r>
        <w:rPr>
          <w:rFonts w:hint="eastAsia" w:ascii="宋体" w:hAnsi="宋体" w:eastAsia="宋体"/>
          <w:sz w:val="24"/>
          <w:szCs w:val="24"/>
          <w:lang w:val="en-US" w:eastAsia="zh-CN"/>
        </w:rPr>
        <w:t>专业公司400热线电话</w:t>
      </w:r>
      <w:r>
        <w:rPr>
          <w:rFonts w:hint="eastAsia" w:ascii="宋体" w:hAnsi="宋体" w:eastAsia="宋体"/>
          <w:sz w:val="24"/>
          <w:szCs w:val="24"/>
          <w:lang w:eastAsia="zh-CN"/>
        </w:rPr>
        <w:t>、</w:t>
      </w:r>
      <w:r>
        <w:rPr>
          <w:rFonts w:hint="eastAsia" w:ascii="宋体" w:hAnsi="宋体" w:eastAsia="宋体"/>
          <w:sz w:val="24"/>
          <w:szCs w:val="24"/>
          <w:lang w:val="en-US" w:eastAsia="zh-CN"/>
        </w:rPr>
        <w:t>专业公司网厅/APP/公众号/小程序、</w:t>
      </w:r>
      <w:r>
        <w:rPr>
          <w:rFonts w:hint="eastAsia" w:ascii="宋体" w:hAnsi="宋体" w:eastAsia="宋体"/>
          <w:sz w:val="24"/>
          <w:szCs w:val="24"/>
        </w:rPr>
        <w:t>翼声平台、直通车等现有的集团和省专需求管理能力，统一搭建集团级的客户声音“聆听平台”，为产品研发提供坚实基础。</w:t>
      </w:r>
      <w:r>
        <w:rPr>
          <w:rFonts w:hint="eastAsia" w:ascii="宋体" w:hAnsi="宋体" w:eastAsia="宋体"/>
          <w:b/>
          <w:bCs/>
          <w:sz w:val="24"/>
          <w:szCs w:val="24"/>
        </w:rPr>
        <w:t>健全声音传导和闭环机制</w:t>
      </w:r>
      <w:r>
        <w:rPr>
          <w:rFonts w:hint="eastAsia" w:ascii="宋体" w:hAnsi="宋体" w:eastAsia="宋体"/>
          <w:sz w:val="24"/>
          <w:szCs w:val="24"/>
        </w:rPr>
        <w:t>，将各单位的需求自管理模式转变为“自管为主、集团监管”的统筹模式，采取多方式激励客户和一线对产品的使用反馈和优化建议，引入AI等能力实现精确采集和深入洞察，并建立从需求声音到近中远期产品规划的闭环跟踪和监管机制。</w:t>
      </w:r>
    </w:p>
    <w:p w14:paraId="2DD98B80">
      <w:pPr>
        <w:spacing w:line="360" w:lineRule="auto"/>
        <w:rPr>
          <w:rFonts w:hint="eastAsia" w:ascii="宋体" w:hAnsi="宋体" w:eastAsia="宋体"/>
          <w:b/>
          <w:bCs/>
          <w:sz w:val="28"/>
          <w:szCs w:val="28"/>
        </w:rPr>
      </w:pPr>
      <w:bookmarkStart w:id="4" w:name="_Hlk178617120"/>
      <w:r>
        <w:rPr>
          <w:rFonts w:hint="eastAsia" w:ascii="宋体" w:hAnsi="宋体" w:eastAsia="宋体"/>
          <w:b/>
          <w:bCs/>
          <w:sz w:val="28"/>
          <w:szCs w:val="28"/>
        </w:rPr>
        <w:t>3、加强高质量开放合作，增强由先进技术到拳头产品的转化能力</w:t>
      </w:r>
    </w:p>
    <w:bookmarkEnd w:id="4"/>
    <w:p w14:paraId="107F3E63">
      <w:pPr>
        <w:spacing w:line="360" w:lineRule="auto"/>
        <w:ind w:firstLine="480" w:firstLineChars="200"/>
        <w:rPr>
          <w:rFonts w:hint="eastAsia" w:ascii="宋体" w:hAnsi="宋体" w:eastAsia="宋体"/>
          <w:sz w:val="24"/>
          <w:szCs w:val="24"/>
        </w:rPr>
      </w:pPr>
      <w:r>
        <w:rPr>
          <w:rFonts w:hint="eastAsia" w:ascii="宋体" w:hAnsi="宋体" w:eastAsia="宋体"/>
          <w:b w:val="0"/>
          <w:bCs w:val="0"/>
          <w:sz w:val="24"/>
          <w:szCs w:val="24"/>
        </w:rPr>
        <w:t>合作对象上，做好顶层规划布局，</w:t>
      </w:r>
      <w:r>
        <w:rPr>
          <w:rFonts w:hint="eastAsia" w:ascii="宋体" w:hAnsi="宋体" w:eastAsia="宋体"/>
          <w:sz w:val="24"/>
          <w:szCs w:val="24"/>
        </w:rPr>
        <w:t>明确重点战略方向，瞄定云、网、智、安、量等战新领域，</w:t>
      </w:r>
      <w:r>
        <w:rPr>
          <w:rFonts w:hint="eastAsia" w:ascii="宋体" w:hAnsi="宋体" w:eastAsia="宋体"/>
          <w:b/>
          <w:bCs/>
          <w:sz w:val="24"/>
          <w:szCs w:val="24"/>
        </w:rPr>
        <w:t>一是坚决加大投入引入位居行业龙头企业的产品和能力</w:t>
      </w:r>
      <w:r>
        <w:rPr>
          <w:rFonts w:hint="eastAsia" w:ascii="宋体" w:hAnsi="宋体" w:eastAsia="宋体"/>
          <w:sz w:val="24"/>
          <w:szCs w:val="24"/>
        </w:rPr>
        <w:t>，</w:t>
      </w:r>
      <w:r>
        <w:rPr>
          <w:rFonts w:hint="eastAsia" w:ascii="宋体" w:hAnsi="宋体" w:eastAsia="宋体"/>
          <w:b/>
          <w:bCs/>
          <w:sz w:val="24"/>
          <w:szCs w:val="24"/>
        </w:rPr>
        <w:t>二是以参股、创投等方式灵活的资本手段，在芯片、AI等软硬件技术领域强化“专精特新” 生态圈企业布局</w:t>
      </w:r>
      <w:r>
        <w:rPr>
          <w:rFonts w:hint="eastAsia" w:ascii="宋体" w:hAnsi="宋体" w:eastAsia="宋体"/>
          <w:sz w:val="24"/>
          <w:szCs w:val="24"/>
        </w:rPr>
        <w:t>；</w:t>
      </w:r>
      <w:r>
        <w:rPr>
          <w:rFonts w:hint="eastAsia" w:ascii="宋体" w:hAnsi="宋体" w:eastAsia="宋体"/>
          <w:b/>
          <w:bCs/>
          <w:sz w:val="24"/>
          <w:szCs w:val="24"/>
        </w:rPr>
        <w:t>三是完善以产品为导向的技术转化机制，优化生态化产品引入和培育流程</w:t>
      </w:r>
      <w:r>
        <w:rPr>
          <w:rFonts w:hint="eastAsia" w:ascii="宋体" w:hAnsi="宋体" w:eastAsia="宋体"/>
          <w:sz w:val="24"/>
          <w:szCs w:val="24"/>
        </w:rPr>
        <w:t>，疏通战新技术向成果产品转化的堵点卡点，完善合作成果价值评估体系，为实现高质量产品供给提供从技术基础到创新路径的科技支撑。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7643CF"/>
    <w:multiLevelType w:val="singleLevel"/>
    <w:tmpl w:val="417643C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wNzljODJjODc5OWQyODIxYTEyYmYwMDRjNDNjNzEifQ=="/>
  </w:docVars>
  <w:rsids>
    <w:rsidRoot w:val="00563BE7"/>
    <w:rsid w:val="00007871"/>
    <w:rsid w:val="00034B38"/>
    <w:rsid w:val="00035418"/>
    <w:rsid w:val="00050E6E"/>
    <w:rsid w:val="00054620"/>
    <w:rsid w:val="00061CEA"/>
    <w:rsid w:val="00063C2C"/>
    <w:rsid w:val="00067749"/>
    <w:rsid w:val="00071F7E"/>
    <w:rsid w:val="00076C08"/>
    <w:rsid w:val="0008101B"/>
    <w:rsid w:val="0008102F"/>
    <w:rsid w:val="00084187"/>
    <w:rsid w:val="00091818"/>
    <w:rsid w:val="000954D5"/>
    <w:rsid w:val="00097B74"/>
    <w:rsid w:val="000A2233"/>
    <w:rsid w:val="000A35D3"/>
    <w:rsid w:val="000A565A"/>
    <w:rsid w:val="000A7128"/>
    <w:rsid w:val="000A7A03"/>
    <w:rsid w:val="000B7184"/>
    <w:rsid w:val="000B7DBA"/>
    <w:rsid w:val="000E341A"/>
    <w:rsid w:val="000E43B7"/>
    <w:rsid w:val="000E6369"/>
    <w:rsid w:val="001059D9"/>
    <w:rsid w:val="0010677F"/>
    <w:rsid w:val="0013516B"/>
    <w:rsid w:val="0014535C"/>
    <w:rsid w:val="0015397A"/>
    <w:rsid w:val="00164E19"/>
    <w:rsid w:val="00176E28"/>
    <w:rsid w:val="001807F0"/>
    <w:rsid w:val="00180FD8"/>
    <w:rsid w:val="00183EBF"/>
    <w:rsid w:val="001A3383"/>
    <w:rsid w:val="001A77B1"/>
    <w:rsid w:val="001B58C7"/>
    <w:rsid w:val="001D541E"/>
    <w:rsid w:val="001D6855"/>
    <w:rsid w:val="001E1EFC"/>
    <w:rsid w:val="001E224B"/>
    <w:rsid w:val="001E6A59"/>
    <w:rsid w:val="001F1784"/>
    <w:rsid w:val="001F21B9"/>
    <w:rsid w:val="00200541"/>
    <w:rsid w:val="0020099F"/>
    <w:rsid w:val="00211F1F"/>
    <w:rsid w:val="00220B6B"/>
    <w:rsid w:val="002225AD"/>
    <w:rsid w:val="00223D82"/>
    <w:rsid w:val="00223E5F"/>
    <w:rsid w:val="00226726"/>
    <w:rsid w:val="00227C28"/>
    <w:rsid w:val="00253C3F"/>
    <w:rsid w:val="00264CEE"/>
    <w:rsid w:val="00264D05"/>
    <w:rsid w:val="002657AC"/>
    <w:rsid w:val="00266F58"/>
    <w:rsid w:val="002670C8"/>
    <w:rsid w:val="002762C1"/>
    <w:rsid w:val="00277B10"/>
    <w:rsid w:val="00277E93"/>
    <w:rsid w:val="002A0307"/>
    <w:rsid w:val="002A2FFF"/>
    <w:rsid w:val="002B34BE"/>
    <w:rsid w:val="002C50D2"/>
    <w:rsid w:val="002C7915"/>
    <w:rsid w:val="002D4A89"/>
    <w:rsid w:val="002E75FE"/>
    <w:rsid w:val="002F0859"/>
    <w:rsid w:val="0030268F"/>
    <w:rsid w:val="00305AA1"/>
    <w:rsid w:val="00306205"/>
    <w:rsid w:val="00311457"/>
    <w:rsid w:val="003168AC"/>
    <w:rsid w:val="00336D91"/>
    <w:rsid w:val="0035244C"/>
    <w:rsid w:val="003678C7"/>
    <w:rsid w:val="00367A06"/>
    <w:rsid w:val="00390C81"/>
    <w:rsid w:val="003A0668"/>
    <w:rsid w:val="003A1E56"/>
    <w:rsid w:val="003A2020"/>
    <w:rsid w:val="003A5308"/>
    <w:rsid w:val="003A6DD6"/>
    <w:rsid w:val="003B4FF8"/>
    <w:rsid w:val="003E18A3"/>
    <w:rsid w:val="003F29E2"/>
    <w:rsid w:val="0040125D"/>
    <w:rsid w:val="004059B3"/>
    <w:rsid w:val="004111C2"/>
    <w:rsid w:val="004204E1"/>
    <w:rsid w:val="004246E1"/>
    <w:rsid w:val="00427285"/>
    <w:rsid w:val="0043109A"/>
    <w:rsid w:val="00437BF4"/>
    <w:rsid w:val="00442F16"/>
    <w:rsid w:val="00462FC9"/>
    <w:rsid w:val="004642BB"/>
    <w:rsid w:val="00465014"/>
    <w:rsid w:val="00472553"/>
    <w:rsid w:val="004C037E"/>
    <w:rsid w:val="004C1E84"/>
    <w:rsid w:val="004D6EDB"/>
    <w:rsid w:val="004F21AE"/>
    <w:rsid w:val="005058EC"/>
    <w:rsid w:val="005120F4"/>
    <w:rsid w:val="00512D0C"/>
    <w:rsid w:val="00520CAF"/>
    <w:rsid w:val="005370AF"/>
    <w:rsid w:val="00545C40"/>
    <w:rsid w:val="00563BE7"/>
    <w:rsid w:val="005661E2"/>
    <w:rsid w:val="005807A3"/>
    <w:rsid w:val="00582332"/>
    <w:rsid w:val="00590D74"/>
    <w:rsid w:val="00590DC1"/>
    <w:rsid w:val="00595A57"/>
    <w:rsid w:val="005A22DC"/>
    <w:rsid w:val="005B1B4E"/>
    <w:rsid w:val="005C6183"/>
    <w:rsid w:val="005C77F2"/>
    <w:rsid w:val="005D045E"/>
    <w:rsid w:val="005E3537"/>
    <w:rsid w:val="005E3819"/>
    <w:rsid w:val="005E585C"/>
    <w:rsid w:val="005F286D"/>
    <w:rsid w:val="005F5757"/>
    <w:rsid w:val="00600671"/>
    <w:rsid w:val="00614EF8"/>
    <w:rsid w:val="00620B2F"/>
    <w:rsid w:val="0064605E"/>
    <w:rsid w:val="00656DC5"/>
    <w:rsid w:val="00671956"/>
    <w:rsid w:val="0067599A"/>
    <w:rsid w:val="0068019B"/>
    <w:rsid w:val="006902AF"/>
    <w:rsid w:val="006917C3"/>
    <w:rsid w:val="0069201C"/>
    <w:rsid w:val="00692901"/>
    <w:rsid w:val="006945DB"/>
    <w:rsid w:val="006949B9"/>
    <w:rsid w:val="006A34C4"/>
    <w:rsid w:val="006A7520"/>
    <w:rsid w:val="006B11D6"/>
    <w:rsid w:val="006B14D3"/>
    <w:rsid w:val="006B2565"/>
    <w:rsid w:val="006C582A"/>
    <w:rsid w:val="006D0165"/>
    <w:rsid w:val="006F33B9"/>
    <w:rsid w:val="006F4A98"/>
    <w:rsid w:val="007064B2"/>
    <w:rsid w:val="00707FAB"/>
    <w:rsid w:val="007176B0"/>
    <w:rsid w:val="007247D9"/>
    <w:rsid w:val="007264CE"/>
    <w:rsid w:val="00732C2E"/>
    <w:rsid w:val="00742922"/>
    <w:rsid w:val="007635CA"/>
    <w:rsid w:val="0077191E"/>
    <w:rsid w:val="007908FE"/>
    <w:rsid w:val="007C305D"/>
    <w:rsid w:val="007E202A"/>
    <w:rsid w:val="007E60EF"/>
    <w:rsid w:val="007F5522"/>
    <w:rsid w:val="008109F6"/>
    <w:rsid w:val="00827225"/>
    <w:rsid w:val="0083078F"/>
    <w:rsid w:val="008553B5"/>
    <w:rsid w:val="008553F9"/>
    <w:rsid w:val="008814A8"/>
    <w:rsid w:val="00885188"/>
    <w:rsid w:val="0089087D"/>
    <w:rsid w:val="0089402D"/>
    <w:rsid w:val="00895669"/>
    <w:rsid w:val="008B51B7"/>
    <w:rsid w:val="008C5FA2"/>
    <w:rsid w:val="008E420D"/>
    <w:rsid w:val="008E7181"/>
    <w:rsid w:val="008F309F"/>
    <w:rsid w:val="009145AB"/>
    <w:rsid w:val="0091774C"/>
    <w:rsid w:val="00947320"/>
    <w:rsid w:val="00954209"/>
    <w:rsid w:val="009556BD"/>
    <w:rsid w:val="00964570"/>
    <w:rsid w:val="009761D4"/>
    <w:rsid w:val="00991DDA"/>
    <w:rsid w:val="009B478D"/>
    <w:rsid w:val="009C58A2"/>
    <w:rsid w:val="009D2E61"/>
    <w:rsid w:val="009E66E4"/>
    <w:rsid w:val="009F534C"/>
    <w:rsid w:val="00A028DF"/>
    <w:rsid w:val="00A101A3"/>
    <w:rsid w:val="00A2089E"/>
    <w:rsid w:val="00A259F5"/>
    <w:rsid w:val="00A37147"/>
    <w:rsid w:val="00A45BCC"/>
    <w:rsid w:val="00A518A9"/>
    <w:rsid w:val="00A62108"/>
    <w:rsid w:val="00A6386E"/>
    <w:rsid w:val="00A72E0F"/>
    <w:rsid w:val="00A8030E"/>
    <w:rsid w:val="00A91D01"/>
    <w:rsid w:val="00AA2BE1"/>
    <w:rsid w:val="00AA7482"/>
    <w:rsid w:val="00AB6CE6"/>
    <w:rsid w:val="00AC6415"/>
    <w:rsid w:val="00AD4477"/>
    <w:rsid w:val="00AD6AB7"/>
    <w:rsid w:val="00AE4374"/>
    <w:rsid w:val="00B060CC"/>
    <w:rsid w:val="00B139E6"/>
    <w:rsid w:val="00B21B3F"/>
    <w:rsid w:val="00B23038"/>
    <w:rsid w:val="00B27005"/>
    <w:rsid w:val="00B27A65"/>
    <w:rsid w:val="00B641BB"/>
    <w:rsid w:val="00B73A96"/>
    <w:rsid w:val="00B77AD9"/>
    <w:rsid w:val="00B9044D"/>
    <w:rsid w:val="00BA0BD1"/>
    <w:rsid w:val="00BB1FC8"/>
    <w:rsid w:val="00BC357C"/>
    <w:rsid w:val="00BD36B1"/>
    <w:rsid w:val="00BD51FF"/>
    <w:rsid w:val="00BD5B51"/>
    <w:rsid w:val="00BF06CE"/>
    <w:rsid w:val="00C010E8"/>
    <w:rsid w:val="00C1233D"/>
    <w:rsid w:val="00C2273B"/>
    <w:rsid w:val="00C31E0D"/>
    <w:rsid w:val="00C446CC"/>
    <w:rsid w:val="00C537C2"/>
    <w:rsid w:val="00C63742"/>
    <w:rsid w:val="00C77531"/>
    <w:rsid w:val="00C80AFB"/>
    <w:rsid w:val="00C81142"/>
    <w:rsid w:val="00C94033"/>
    <w:rsid w:val="00C969D1"/>
    <w:rsid w:val="00CA7186"/>
    <w:rsid w:val="00CA7341"/>
    <w:rsid w:val="00CC060A"/>
    <w:rsid w:val="00CC066E"/>
    <w:rsid w:val="00CD05D1"/>
    <w:rsid w:val="00CD1109"/>
    <w:rsid w:val="00CD500D"/>
    <w:rsid w:val="00CD7571"/>
    <w:rsid w:val="00CE5A99"/>
    <w:rsid w:val="00CF7238"/>
    <w:rsid w:val="00D033EF"/>
    <w:rsid w:val="00D17031"/>
    <w:rsid w:val="00D175AB"/>
    <w:rsid w:val="00D23723"/>
    <w:rsid w:val="00D24A06"/>
    <w:rsid w:val="00D420BF"/>
    <w:rsid w:val="00D4456A"/>
    <w:rsid w:val="00D537AA"/>
    <w:rsid w:val="00D66B6F"/>
    <w:rsid w:val="00D80CD5"/>
    <w:rsid w:val="00D91357"/>
    <w:rsid w:val="00D94AA1"/>
    <w:rsid w:val="00D97012"/>
    <w:rsid w:val="00DA4495"/>
    <w:rsid w:val="00DA5323"/>
    <w:rsid w:val="00DA5B4E"/>
    <w:rsid w:val="00DC35E0"/>
    <w:rsid w:val="00DD22D3"/>
    <w:rsid w:val="00DD2910"/>
    <w:rsid w:val="00DD7452"/>
    <w:rsid w:val="00E23FED"/>
    <w:rsid w:val="00E306A5"/>
    <w:rsid w:val="00E31658"/>
    <w:rsid w:val="00E363E8"/>
    <w:rsid w:val="00E4799A"/>
    <w:rsid w:val="00E51C7D"/>
    <w:rsid w:val="00E62879"/>
    <w:rsid w:val="00E63669"/>
    <w:rsid w:val="00E803DC"/>
    <w:rsid w:val="00E94F31"/>
    <w:rsid w:val="00E9788E"/>
    <w:rsid w:val="00EB3895"/>
    <w:rsid w:val="00EC3FC9"/>
    <w:rsid w:val="00ED17AF"/>
    <w:rsid w:val="00ED524B"/>
    <w:rsid w:val="00ED5E26"/>
    <w:rsid w:val="00EF1031"/>
    <w:rsid w:val="00F00D81"/>
    <w:rsid w:val="00F05243"/>
    <w:rsid w:val="00F16F30"/>
    <w:rsid w:val="00F23191"/>
    <w:rsid w:val="00F231F1"/>
    <w:rsid w:val="00F267DC"/>
    <w:rsid w:val="00F3688C"/>
    <w:rsid w:val="00F54053"/>
    <w:rsid w:val="00F5730C"/>
    <w:rsid w:val="00F663A0"/>
    <w:rsid w:val="00F66CCD"/>
    <w:rsid w:val="00F92180"/>
    <w:rsid w:val="00FA3C08"/>
    <w:rsid w:val="00FB0890"/>
    <w:rsid w:val="00FB5C98"/>
    <w:rsid w:val="00FB77ED"/>
    <w:rsid w:val="00FC6824"/>
    <w:rsid w:val="00FC7415"/>
    <w:rsid w:val="00FD2111"/>
    <w:rsid w:val="00FD4F80"/>
    <w:rsid w:val="029726C6"/>
    <w:rsid w:val="1FAA659C"/>
    <w:rsid w:val="25747D90"/>
    <w:rsid w:val="34300E52"/>
    <w:rsid w:val="3E320799"/>
    <w:rsid w:val="4A3D436D"/>
    <w:rsid w:val="4D3245B5"/>
    <w:rsid w:val="69400248"/>
    <w:rsid w:val="7A690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2"/>
    <w:semiHidden/>
    <w:unhideWhenUsed/>
    <w:qFormat/>
    <w:uiPriority w:val="99"/>
    <w:pPr>
      <w:jc w:val="left"/>
    </w:pPr>
  </w:style>
  <w:style w:type="paragraph" w:styleId="12">
    <w:name w:val="footer"/>
    <w:basedOn w:val="1"/>
    <w:link w:val="40"/>
    <w:unhideWhenUsed/>
    <w:qFormat/>
    <w:uiPriority w:val="99"/>
    <w:pPr>
      <w:tabs>
        <w:tab w:val="center" w:pos="4153"/>
        <w:tab w:val="right" w:pos="8306"/>
      </w:tabs>
      <w:snapToGrid w:val="0"/>
      <w:jc w:val="left"/>
    </w:pPr>
    <w:rPr>
      <w:sz w:val="18"/>
      <w:szCs w:val="18"/>
    </w:rPr>
  </w:style>
  <w:style w:type="paragraph" w:styleId="13">
    <w:name w:val="header"/>
    <w:basedOn w:val="1"/>
    <w:link w:val="39"/>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3"/>
    <w:semiHidden/>
    <w:unhideWhenUsed/>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annotation reference"/>
    <w:basedOn w:val="19"/>
    <w:semiHidden/>
    <w:unhideWhenUsed/>
    <w:qFormat/>
    <w:uiPriority w:val="99"/>
    <w:rPr>
      <w:sz w:val="21"/>
      <w:szCs w:val="21"/>
    </w:rPr>
  </w:style>
  <w:style w:type="character" w:customStyle="1" w:styleId="21">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9"/>
    <w:link w:val="5"/>
    <w:semiHidden/>
    <w:qFormat/>
    <w:uiPriority w:val="9"/>
    <w:rPr>
      <w:rFonts w:cstheme="majorBidi"/>
      <w:color w:val="104862" w:themeColor="accent1" w:themeShade="BF"/>
      <w:sz w:val="28"/>
      <w:szCs w:val="28"/>
    </w:rPr>
  </w:style>
  <w:style w:type="character" w:customStyle="1" w:styleId="25">
    <w:name w:val="标题 5 字符"/>
    <w:basedOn w:val="19"/>
    <w:link w:val="6"/>
    <w:semiHidden/>
    <w:qFormat/>
    <w:uiPriority w:val="9"/>
    <w:rPr>
      <w:rFonts w:cstheme="majorBidi"/>
      <w:color w:val="104862" w:themeColor="accent1" w:themeShade="BF"/>
      <w:sz w:val="24"/>
      <w:szCs w:val="24"/>
    </w:rPr>
  </w:style>
  <w:style w:type="character" w:customStyle="1" w:styleId="26">
    <w:name w:val="标题 6 字符"/>
    <w:basedOn w:val="19"/>
    <w:link w:val="7"/>
    <w:semiHidden/>
    <w:qFormat/>
    <w:uiPriority w:val="9"/>
    <w:rPr>
      <w:rFonts w:cstheme="majorBidi"/>
      <w:b/>
      <w:bCs/>
      <w:color w:val="104862" w:themeColor="accent1" w:themeShade="BF"/>
    </w:rPr>
  </w:style>
  <w:style w:type="character" w:customStyle="1" w:styleId="27">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9"/>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9"/>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9"/>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9"/>
    <w:link w:val="36"/>
    <w:uiPriority w:val="30"/>
    <w:rPr>
      <w:i/>
      <w:iCs/>
      <w:color w:val="104862" w:themeColor="accent1" w:themeShade="BF"/>
    </w:rPr>
  </w:style>
  <w:style w:type="character" w:customStyle="1" w:styleId="38">
    <w:name w:val="明显参考1"/>
    <w:basedOn w:val="19"/>
    <w:qFormat/>
    <w:uiPriority w:val="32"/>
    <w:rPr>
      <w:b/>
      <w:bCs/>
      <w:smallCaps/>
      <w:color w:val="104862" w:themeColor="accent1" w:themeShade="BF"/>
      <w:spacing w:val="5"/>
    </w:rPr>
  </w:style>
  <w:style w:type="character" w:customStyle="1" w:styleId="39">
    <w:name w:val="页眉 字符"/>
    <w:basedOn w:val="19"/>
    <w:link w:val="13"/>
    <w:uiPriority w:val="99"/>
    <w:rPr>
      <w:sz w:val="18"/>
      <w:szCs w:val="18"/>
    </w:rPr>
  </w:style>
  <w:style w:type="character" w:customStyle="1" w:styleId="40">
    <w:name w:val="页脚 字符"/>
    <w:basedOn w:val="19"/>
    <w:link w:val="12"/>
    <w:qFormat/>
    <w:uiPriority w:val="99"/>
    <w:rPr>
      <w:sz w:val="18"/>
      <w:szCs w:val="18"/>
    </w:rPr>
  </w:style>
  <w:style w:type="paragraph" w:customStyle="1" w:styleId="41">
    <w:name w:val="Revision"/>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42">
    <w:name w:val="批注文字 字符"/>
    <w:basedOn w:val="19"/>
    <w:link w:val="11"/>
    <w:semiHidden/>
    <w:qFormat/>
    <w:uiPriority w:val="99"/>
    <w:rPr>
      <w:kern w:val="2"/>
      <w:sz w:val="21"/>
      <w:szCs w:val="22"/>
    </w:rPr>
  </w:style>
  <w:style w:type="character" w:customStyle="1" w:styleId="43">
    <w:name w:val="批注主题 字符"/>
    <w:basedOn w:val="42"/>
    <w:link w:val="16"/>
    <w:semiHidden/>
    <w:uiPriority w:val="99"/>
    <w:rPr>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3234</Words>
  <Characters>3336</Characters>
  <Lines>23</Lines>
  <Paragraphs>6</Paragraphs>
  <TotalTime>2</TotalTime>
  <ScaleCrop>false</ScaleCrop>
  <LinksUpToDate>false</LinksUpToDate>
  <CharactersWithSpaces>3341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2024-10-30T06:55:00Z</dcterms:created>
  <dc:creator>xiaos@chinatelecom.cn</dc:creator>
  <cp:lastModifiedBy>月生</cp:lastModifiedBy>
  <dcterms:modified xsi:type="dcterms:W3CDTF">2025-01-06T02:04:17Z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42EDAFFD44534704B725E2AE5135D5B3_13</vt:lpwstr>
  </property>
  <property fmtid="{D5CDD505-2E9C-101B-9397-08002B2CF9AE}" pid="4" name="KSOTemplateDocerSaveRecord">
    <vt:lpwstr>eyJoZGlkIjoiOTFiNzIwYzlhNjU3NWMzYmIwMTUwM2JiMDg2NzE0ZmEiLCJ1c2VySWQiOiI4NDQ2NDA1NjcifQ==</vt:lpwstr>
  </property>
</Properties>
</file>