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B0F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17" w:lineRule="atLeast"/>
        <w:jc w:val="center"/>
        <w:rPr>
          <w:rStyle w:val="9"/>
          <w:rFonts w:hint="default" w:ascii="仿宋" w:hAnsi="仿宋" w:eastAsia="仿宋" w:cs="仿宋"/>
          <w:b/>
          <w:bCs/>
          <w:i w:val="0"/>
          <w:iCs w:val="0"/>
          <w:caps w:val="0"/>
          <w:color w:val="30353A"/>
          <w:spacing w:val="0"/>
          <w:sz w:val="32"/>
          <w:szCs w:val="32"/>
          <w:lang w:val="en-US" w:eastAsia="zh-CN"/>
        </w:rPr>
      </w:pPr>
      <w:bookmarkStart w:id="0" w:name="_GoBack"/>
      <w:r>
        <w:rPr>
          <w:rStyle w:val="9"/>
          <w:rFonts w:hint="eastAsia" w:ascii="仿宋" w:hAnsi="仿宋" w:eastAsia="仿宋" w:cs="仿宋"/>
          <w:b/>
          <w:bCs/>
          <w:i w:val="0"/>
          <w:iCs w:val="0"/>
          <w:caps w:val="0"/>
          <w:color w:val="30353A"/>
          <w:spacing w:val="0"/>
          <w:sz w:val="32"/>
          <w:szCs w:val="32"/>
          <w:lang w:val="en-US" w:eastAsia="zh-CN"/>
        </w:rPr>
        <w:t>全球主流AI</w:t>
      </w:r>
      <w:r>
        <w:rPr>
          <w:rStyle w:val="9"/>
          <w:rFonts w:hint="eastAsia" w:ascii="仿宋" w:hAnsi="仿宋" w:eastAsia="仿宋" w:cs="仿宋"/>
          <w:b/>
          <w:bCs/>
          <w:i w:val="0"/>
          <w:iCs w:val="0"/>
          <w:caps w:val="0"/>
          <w:color w:val="30353A"/>
          <w:spacing w:val="0"/>
          <w:sz w:val="32"/>
          <w:szCs w:val="32"/>
        </w:rPr>
        <w:t>大模型</w:t>
      </w:r>
      <w:r>
        <w:rPr>
          <w:rStyle w:val="9"/>
          <w:rFonts w:hint="eastAsia" w:ascii="仿宋" w:hAnsi="仿宋" w:eastAsia="仿宋" w:cs="仿宋"/>
          <w:b/>
          <w:bCs/>
          <w:i w:val="0"/>
          <w:iCs w:val="0"/>
          <w:caps w:val="0"/>
          <w:color w:val="30353A"/>
          <w:spacing w:val="0"/>
          <w:sz w:val="32"/>
          <w:szCs w:val="32"/>
          <w:lang w:val="en-US" w:eastAsia="zh-CN"/>
        </w:rPr>
        <w:t>企业最新发展特征与趋势</w:t>
      </w:r>
    </w:p>
    <w:bookmarkEnd w:id="0"/>
    <w:p w14:paraId="32643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今年以来，</w:t>
      </w:r>
      <w:r>
        <w:rPr>
          <w:rFonts w:hint="eastAsia" w:ascii="仿宋" w:hAnsi="仿宋" w:eastAsia="仿宋" w:cs="仿宋"/>
          <w:sz w:val="28"/>
          <w:szCs w:val="28"/>
        </w:rPr>
        <w:t>Meta、OpenAl、谷歌、Anthropic、百度、微软、英伟达、亚马逊、苹果、腾讯、阿里、华为、字节跳动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等企业聚焦AI大模型，持续加强技术、产品、市场、人才和生态等布局，引领全球AI产业一路飞奔。</w:t>
      </w:r>
    </w:p>
    <w:p w14:paraId="623BB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5DACE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1、总体特征：强者的游戏</w:t>
      </w:r>
    </w:p>
    <w:p w14:paraId="78546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843" w:firstLineChars="300"/>
        <w:jc w:val="left"/>
        <w:textAlignment w:val="auto"/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2C2C36"/>
          <w:kern w:val="0"/>
          <w:sz w:val="28"/>
          <w:szCs w:val="28"/>
          <w:lang w:val="en-US" w:eastAsia="zh-CN"/>
        </w:rPr>
        <w:t>一是市值或估值都很高，</w:t>
      </w: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  <w:lang w:val="en-US" w:eastAsia="zh-CN"/>
        </w:rPr>
        <w:t>绝大部分在</w:t>
      </w: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</w:rPr>
        <w:t>数</w:t>
      </w: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  <w:lang w:val="en-US" w:eastAsia="zh-CN"/>
        </w:rPr>
        <w:t>千</w:t>
      </w: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</w:rPr>
        <w:t>亿到数万亿美元之间</w:t>
      </w: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  <w:lang w:eastAsia="zh-CN"/>
        </w:rPr>
        <w:t>；</w:t>
      </w: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  <w:lang w:val="en-US" w:eastAsia="zh-CN"/>
        </w:rPr>
        <w:t>二是大都为</w:t>
      </w:r>
      <w:r>
        <w:rPr>
          <w:rFonts w:hint="eastAsia" w:ascii="仿宋" w:hAnsi="仿宋" w:eastAsia="仿宋" w:cs="仿宋"/>
          <w:b/>
          <w:bCs/>
          <w:color w:val="2C2C36"/>
          <w:kern w:val="0"/>
          <w:sz w:val="28"/>
          <w:szCs w:val="28"/>
        </w:rPr>
        <w:t>成立</w:t>
      </w:r>
      <w:r>
        <w:rPr>
          <w:rFonts w:hint="eastAsia" w:ascii="仿宋" w:hAnsi="仿宋" w:eastAsia="仿宋" w:cs="仿宋"/>
          <w:b/>
          <w:bCs/>
          <w:color w:val="2C2C36"/>
          <w:kern w:val="0"/>
          <w:sz w:val="28"/>
          <w:szCs w:val="28"/>
          <w:lang w:val="en-US" w:eastAsia="zh-CN"/>
        </w:rPr>
        <w:t>时间较早的科技巨头；三是</w:t>
      </w:r>
      <w:r>
        <w:rPr>
          <w:rFonts w:hint="eastAsia" w:ascii="仿宋" w:hAnsi="仿宋" w:eastAsia="仿宋" w:cs="仿宋"/>
          <w:b/>
          <w:bCs/>
          <w:color w:val="2C2C36"/>
          <w:kern w:val="0"/>
          <w:sz w:val="28"/>
          <w:szCs w:val="28"/>
        </w:rPr>
        <w:t>收入规模</w:t>
      </w:r>
      <w:r>
        <w:rPr>
          <w:rFonts w:hint="eastAsia" w:ascii="仿宋" w:hAnsi="仿宋" w:eastAsia="仿宋" w:cs="仿宋"/>
          <w:b/>
          <w:bCs/>
          <w:color w:val="2C2C36"/>
          <w:kern w:val="0"/>
          <w:sz w:val="28"/>
          <w:szCs w:val="28"/>
          <w:lang w:val="en-US" w:eastAsia="zh-CN"/>
        </w:rPr>
        <w:t>大</w:t>
      </w: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  <w:lang w:val="en-US" w:eastAsia="zh-CN"/>
        </w:rPr>
        <w:t>，从数百亿到数千亿（两家创企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OpenAl、Anthropic</w:t>
      </w: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  <w:lang w:val="en-US" w:eastAsia="zh-CN"/>
        </w:rPr>
        <w:t>除外）；</w:t>
      </w: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  <w:lang w:val="en-US" w:eastAsia="zh-CN"/>
        </w:rPr>
        <w:t>四是</w:t>
      </w: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</w:rPr>
        <w:t>主营业务</w:t>
      </w: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  <w:lang w:val="en-US" w:eastAsia="zh-CN"/>
        </w:rPr>
        <w:t>以</w:t>
      </w:r>
      <w:r>
        <w:rPr>
          <w:rFonts w:hint="eastAsia" w:ascii="仿宋" w:hAnsi="仿宋" w:eastAsia="仿宋" w:cs="仿宋"/>
          <w:b/>
          <w:bCs/>
          <w:color w:val="2C2C36"/>
          <w:kern w:val="0"/>
          <w:sz w:val="28"/>
          <w:szCs w:val="28"/>
          <w:lang w:val="en-US" w:eastAsia="zh-CN"/>
        </w:rPr>
        <w:t>互联网服务、云计算和软硬件服务</w:t>
      </w: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  <w:lang w:val="en-US" w:eastAsia="zh-CN"/>
        </w:rPr>
        <w:t>为主</w:t>
      </w:r>
      <w:r>
        <w:rPr>
          <w:rFonts w:hint="eastAsia" w:ascii="仿宋" w:hAnsi="仿宋" w:eastAsia="仿宋" w:cs="仿宋"/>
          <w:b/>
          <w:bCs/>
          <w:color w:val="2C2C36"/>
          <w:kern w:val="0"/>
          <w:sz w:val="28"/>
          <w:szCs w:val="28"/>
          <w:lang w:val="en-US" w:eastAsia="zh-CN"/>
        </w:rPr>
        <w:t>；五是</w:t>
      </w:r>
      <w:r>
        <w:rPr>
          <w:rFonts w:hint="eastAsia" w:ascii="仿宋" w:hAnsi="仿宋" w:eastAsia="仿宋" w:cs="仿宋"/>
          <w:b/>
          <w:bCs/>
          <w:color w:val="2C2C36"/>
          <w:kern w:val="0"/>
          <w:sz w:val="28"/>
          <w:szCs w:val="28"/>
        </w:rPr>
        <w:t>人员规模</w:t>
      </w:r>
      <w:r>
        <w:rPr>
          <w:rFonts w:hint="eastAsia" w:ascii="仿宋" w:hAnsi="仿宋" w:eastAsia="仿宋" w:cs="仿宋"/>
          <w:b/>
          <w:bCs/>
          <w:color w:val="2C2C36"/>
          <w:kern w:val="0"/>
          <w:sz w:val="28"/>
          <w:szCs w:val="28"/>
          <w:lang w:val="en-US" w:eastAsia="zh-CN"/>
        </w:rPr>
        <w:t>大</w:t>
      </w: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  <w:lang w:val="en-US" w:eastAsia="zh-CN"/>
        </w:rPr>
        <w:t>，基本都在数万到超百万（两家创企除外）；六是</w:t>
      </w:r>
      <w:r>
        <w:rPr>
          <w:rFonts w:hint="eastAsia" w:ascii="仿宋" w:hAnsi="仿宋" w:eastAsia="仿宋" w:cs="仿宋"/>
          <w:b/>
          <w:bCs/>
          <w:color w:val="2C2C36"/>
          <w:kern w:val="0"/>
          <w:sz w:val="28"/>
          <w:szCs w:val="28"/>
          <w:lang w:val="en-US" w:eastAsia="zh-CN"/>
        </w:rPr>
        <w:t>研发投入占比高，</w:t>
      </w: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  <w:lang w:val="en-US" w:eastAsia="zh-CN"/>
        </w:rPr>
        <w:t>Meta、</w:t>
      </w: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</w:rPr>
        <w:t>英伟达、华为研发投入占</w:t>
      </w: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  <w:lang w:val="en-US" w:eastAsia="zh-CN"/>
        </w:rPr>
        <w:t>比超20%</w:t>
      </w: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  <w:lang w:eastAsia="zh-CN"/>
        </w:rPr>
        <w:t>；</w:t>
      </w: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  <w:lang w:val="en-US" w:eastAsia="zh-CN"/>
        </w:rPr>
        <w:t>百度</w:t>
      </w: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</w:rPr>
        <w:t>、谷歌、微软</w:t>
      </w: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</w:rPr>
        <w:t>腾讯</w:t>
      </w: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  <w:lang w:val="en-US" w:eastAsia="zh-CN"/>
        </w:rPr>
        <w:t>超10%。</w:t>
      </w:r>
    </w:p>
    <w:p w14:paraId="0342AC71">
      <w:pPr>
        <w:widowControl/>
        <w:shd w:val="clear" w:color="auto" w:fill="FFFFFF"/>
        <w:spacing w:before="137" w:beforeAutospacing="1" w:after="137" w:afterAutospacing="1" w:line="360" w:lineRule="auto"/>
        <w:jc w:val="center"/>
        <w:outlineLvl w:val="2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2C2C36"/>
          <w:kern w:val="0"/>
          <w:sz w:val="28"/>
          <w:szCs w:val="28"/>
          <w:lang w:val="en-US" w:eastAsia="zh-CN"/>
        </w:rPr>
        <w:t>13家AI大模型龙头企业关键指标统计表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5492750" cy="2887980"/>
            <wp:effectExtent l="0" t="0" r="6350" b="762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EBBB6">
      <w:pPr>
        <w:spacing w:line="360" w:lineRule="auto"/>
        <w:ind w:left="0" w:leftChars="0" w:firstLine="0" w:firstLineChars="0"/>
        <w:jc w:val="left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（注：市值统计了2024.8.2的最新数据，其他除标明外主要来自各企业2023年年报数据）</w:t>
      </w:r>
    </w:p>
    <w:p w14:paraId="165B2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 w14:paraId="563AE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2、业务布局：“智算+通用大模型+应用”的一体化</w:t>
      </w:r>
    </w:p>
    <w:p w14:paraId="4D506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  <w:lang w:val="en-US" w:eastAsia="zh-CN"/>
        </w:rPr>
        <w:t>AI大模型龙头企业正在无所不为，围绕大模型产业链各层，通过多种方式进行全栈化的业务布局，以发挥业务协同效应。如以阿里、微软、百度、华为为代表的云商，在大力发展智能云的同时，向下延伸定制AI芯片，向上自研或合作推出通用大模型及应用。而英伟达作为芯片厂商，也在研发自己的通用大模型，其10月份发布的开源大模型Nemotron，测试数据显示其性能仅次于OpenAI的o1。具体来说，在</w:t>
      </w:r>
      <w:r>
        <w:rPr>
          <w:rFonts w:hint="eastAsia" w:ascii="仿宋" w:hAnsi="仿宋" w:eastAsia="仿宋" w:cs="仿宋"/>
          <w:b/>
          <w:bCs/>
          <w:color w:val="2C2C36"/>
          <w:kern w:val="0"/>
          <w:sz w:val="28"/>
          <w:szCs w:val="28"/>
          <w:lang w:val="en-US" w:eastAsia="zh-CN"/>
        </w:rPr>
        <w:t>芯片</w:t>
      </w:r>
      <w:r>
        <w:rPr>
          <w:rFonts w:hint="eastAsia" w:ascii="仿宋" w:hAnsi="仿宋" w:eastAsia="仿宋" w:cs="仿宋"/>
          <w:b/>
          <w:bCs/>
          <w:color w:val="auto"/>
          <w:kern w:val="0"/>
          <w:sz w:val="28"/>
          <w:szCs w:val="28"/>
          <w:lang w:val="en-US" w:eastAsia="zh-CN"/>
        </w:rPr>
        <w:t>层</w:t>
      </w:r>
      <w:r>
        <w:rPr>
          <w:rFonts w:hint="eastAsia" w:ascii="仿宋" w:hAnsi="仿宋" w:eastAsia="仿宋" w:cs="仿宋"/>
          <w:b w:val="0"/>
          <w:bCs w:val="0"/>
          <w:color w:val="auto"/>
          <w:kern w:val="0"/>
          <w:sz w:val="28"/>
          <w:szCs w:val="28"/>
          <w:lang w:val="en-US" w:eastAsia="zh-CN"/>
        </w:rPr>
        <w:t>，头部大模型商正在通过自研等方式试图摆脱对英伟达的依赖，如谷歌发布基于 Armv9 架构和指令集的 Axion，Meta发布的第二代MTIA，其计算和内存带宽较上一代提高两倍多。在</w:t>
      </w:r>
      <w:r>
        <w:rPr>
          <w:rFonts w:hint="eastAsia" w:ascii="仿宋" w:hAnsi="仿宋" w:eastAsia="仿宋" w:cs="仿宋"/>
          <w:b/>
          <w:bCs/>
          <w:color w:val="auto"/>
          <w:kern w:val="0"/>
          <w:sz w:val="28"/>
          <w:szCs w:val="28"/>
          <w:lang w:val="en-US" w:eastAsia="zh-CN"/>
        </w:rPr>
        <w:t>智算中心领域</w:t>
      </w:r>
      <w:r>
        <w:rPr>
          <w:rFonts w:hint="eastAsia" w:ascii="仿宋" w:hAnsi="仿宋" w:eastAsia="仿宋" w:cs="仿宋"/>
          <w:b w:val="0"/>
          <w:bCs w:val="0"/>
          <w:color w:val="auto"/>
          <w:kern w:val="0"/>
          <w:sz w:val="28"/>
          <w:szCs w:val="28"/>
          <w:lang w:val="en-US" w:eastAsia="zh-CN"/>
        </w:rPr>
        <w:t>，谷歌、微软、亚马逊等云服务商均在全球范围内加大智算中心投资。在</w:t>
      </w:r>
      <w:r>
        <w:rPr>
          <w:rFonts w:hint="eastAsia" w:ascii="仿宋" w:hAnsi="仿宋" w:eastAsia="仿宋" w:cs="仿宋"/>
          <w:b/>
          <w:bCs/>
          <w:color w:val="auto"/>
          <w:kern w:val="0"/>
          <w:sz w:val="28"/>
          <w:szCs w:val="28"/>
          <w:lang w:val="en-US" w:eastAsia="zh-CN"/>
        </w:rPr>
        <w:t>大模型领域</w:t>
      </w:r>
      <w:r>
        <w:rPr>
          <w:rFonts w:hint="eastAsia" w:ascii="仿宋" w:hAnsi="仿宋" w:eastAsia="仿宋" w:cs="仿宋"/>
          <w:b w:val="0"/>
          <w:bCs w:val="0"/>
          <w:color w:val="auto"/>
          <w:kern w:val="0"/>
          <w:sz w:val="28"/>
          <w:szCs w:val="28"/>
          <w:lang w:val="en-US" w:eastAsia="zh-CN"/>
        </w:rPr>
        <w:t>，龙头企业逐步加大金融、法律、教育、医疗等特定领域或行业的专用大模型，如微软推出的医疗多模态大模型LLaVA-Med，可用于处理医学影像、推测病理状况。在</w:t>
      </w:r>
      <w:r>
        <w:rPr>
          <w:rFonts w:hint="eastAsia" w:ascii="仿宋" w:hAnsi="仿宋" w:eastAsia="仿宋" w:cs="仿宋"/>
          <w:b/>
          <w:bCs/>
          <w:color w:val="auto"/>
          <w:kern w:val="0"/>
          <w:sz w:val="28"/>
          <w:szCs w:val="28"/>
          <w:lang w:val="en-US" w:eastAsia="zh-CN"/>
        </w:rPr>
        <w:t>大模型应用领域</w:t>
      </w:r>
      <w:r>
        <w:rPr>
          <w:rFonts w:hint="eastAsia" w:ascii="仿宋" w:hAnsi="仿宋" w:eastAsia="仿宋" w:cs="仿宋"/>
          <w:b w:val="0"/>
          <w:bCs w:val="0"/>
          <w:color w:val="auto"/>
          <w:kern w:val="0"/>
          <w:sz w:val="28"/>
          <w:szCs w:val="28"/>
          <w:lang w:val="en-US" w:eastAsia="zh-CN"/>
        </w:rPr>
        <w:t>，龙头企业纷纷布局端侧大模型，推动大模型从AI PC和智能手机向智能汽车、具身机器人和扫地机等边缘智能设备拓展，覆盖个人AI助理、智能驾驶、医疗护理、智能家居和金融服务等专业服务领域。如微软的 phi-3.5-mini 其内存占用被减少到1.8GB，苹果推出的MobileCLIP是高效紧凑的图像-文本模型。</w:t>
      </w:r>
    </w:p>
    <w:p w14:paraId="5613D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 w14:paraId="2B68E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3、组织优化：整合资源、研产协同</w:t>
      </w:r>
    </w:p>
    <w:p w14:paraId="0E49284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firstLine="602" w:firstLineChars="200"/>
        <w:jc w:val="left"/>
        <w:textAlignment w:val="auto"/>
        <w:rPr>
          <w:rStyle w:val="9"/>
          <w:rFonts w:hint="eastAsia" w:ascii="Times New Roman" w:hAnsi="Times New Roman" w:eastAsia="仿宋" w:cs="Times New Roman"/>
          <w:b w:val="0"/>
          <w:bCs w:val="0"/>
          <w:color w:val="30353A"/>
          <w:sz w:val="30"/>
          <w:szCs w:val="30"/>
          <w:lang w:val="en-US" w:eastAsia="zh-CN"/>
        </w:rPr>
      </w:pPr>
      <w:r>
        <w:rPr>
          <w:rStyle w:val="9"/>
          <w:rFonts w:hint="eastAsia" w:ascii="Times New Roman" w:hAnsi="Times New Roman" w:eastAsia="仿宋" w:cs="Times New Roman"/>
          <w:b/>
          <w:bCs/>
          <w:i w:val="0"/>
          <w:iCs w:val="0"/>
          <w:caps w:val="0"/>
          <w:color w:val="30353A"/>
          <w:spacing w:val="0"/>
          <w:sz w:val="30"/>
          <w:szCs w:val="30"/>
          <w:lang w:val="en-US" w:eastAsia="zh-CN"/>
        </w:rPr>
        <w:t>一是</w:t>
      </w:r>
      <w:r>
        <w:rPr>
          <w:rStyle w:val="9"/>
          <w:rFonts w:hint="eastAsia" w:ascii="Times New Roman" w:hAnsi="Times New Roman" w:eastAsia="仿宋" w:cs="Times New Roman"/>
          <w:b/>
          <w:bCs/>
          <w:color w:val="30353A"/>
          <w:sz w:val="30"/>
          <w:szCs w:val="30"/>
          <w:lang w:val="en-US" w:eastAsia="zh-CN"/>
        </w:rPr>
        <w:t>合并领域相近的AI</w:t>
      </w:r>
      <w:r>
        <w:rPr>
          <w:rStyle w:val="9"/>
          <w:rFonts w:hint="default" w:ascii="Times New Roman" w:hAnsi="Times New Roman" w:eastAsia="仿宋" w:cs="Times New Roman"/>
          <w:b/>
          <w:bCs/>
          <w:color w:val="30353A"/>
          <w:sz w:val="30"/>
          <w:szCs w:val="30"/>
          <w:lang w:val="en-US" w:eastAsia="zh-CN"/>
        </w:rPr>
        <w:t>部门，</w:t>
      </w:r>
      <w:r>
        <w:rPr>
          <w:rStyle w:val="9"/>
          <w:rFonts w:hint="eastAsia" w:ascii="Times New Roman" w:hAnsi="Times New Roman" w:eastAsia="仿宋" w:cs="Times New Roman"/>
          <w:b/>
          <w:bCs/>
          <w:color w:val="30353A"/>
          <w:sz w:val="30"/>
          <w:szCs w:val="30"/>
          <w:lang w:val="en-US" w:eastAsia="zh-CN"/>
        </w:rPr>
        <w:t>简化内部结构，</w:t>
      </w:r>
      <w:r>
        <w:rPr>
          <w:rStyle w:val="9"/>
          <w:rFonts w:hint="default" w:ascii="Times New Roman" w:hAnsi="Times New Roman" w:eastAsia="仿宋" w:cs="Times New Roman"/>
          <w:b/>
          <w:bCs/>
          <w:color w:val="30353A"/>
          <w:sz w:val="30"/>
          <w:szCs w:val="30"/>
          <w:lang w:val="en-US" w:eastAsia="zh-CN"/>
        </w:rPr>
        <w:t>提高</w:t>
      </w:r>
      <w:r>
        <w:rPr>
          <w:rStyle w:val="9"/>
          <w:rFonts w:hint="eastAsia" w:ascii="Times New Roman" w:hAnsi="Times New Roman" w:eastAsia="仿宋" w:cs="Times New Roman"/>
          <w:b/>
          <w:bCs/>
          <w:color w:val="30353A"/>
          <w:sz w:val="30"/>
          <w:szCs w:val="30"/>
          <w:lang w:val="en-US" w:eastAsia="zh-CN"/>
        </w:rPr>
        <w:t>资源利用率和研发效率</w:t>
      </w:r>
      <w:r>
        <w:rPr>
          <w:rStyle w:val="9"/>
          <w:rFonts w:hint="eastAsia" w:ascii="Times New Roman" w:hAnsi="Times New Roman" w:eastAsia="仿宋" w:cs="Times New Roman"/>
          <w:b w:val="0"/>
          <w:bCs w:val="0"/>
          <w:color w:val="30353A"/>
          <w:sz w:val="30"/>
          <w:szCs w:val="30"/>
          <w:lang w:val="en-US" w:eastAsia="zh-CN"/>
        </w:rPr>
        <w:t>。与传统的软件应用相比，大模型的工程化和产品化面临更庞大的资源需求。即便是Google这样规模的公司，也必须集中优势资源专注于最关键的项目。2023年Google合并了DeepMind和Google Brain两大关键AI部门，缓解了因内部竞争导致的算力紧缺，同时也简化了部门结构，提高了决策速度和研发效率。二是</w:t>
      </w:r>
      <w:r>
        <w:rPr>
          <w:rStyle w:val="9"/>
          <w:rFonts w:hint="eastAsia" w:ascii="Times New Roman" w:hAnsi="Times New Roman" w:eastAsia="仿宋" w:cs="Times New Roman"/>
          <w:b/>
          <w:bCs/>
          <w:color w:val="30353A"/>
          <w:sz w:val="30"/>
          <w:szCs w:val="30"/>
          <w:lang w:val="en-US" w:eastAsia="zh-CN"/>
        </w:rPr>
        <w:t>打破技术研究和产品开发部门（团队）间的界限，增强研产协同，加速大模型技术的产品化进程</w:t>
      </w:r>
      <w:r>
        <w:rPr>
          <w:rStyle w:val="9"/>
          <w:rFonts w:hint="eastAsia" w:ascii="Times New Roman" w:hAnsi="Times New Roman" w:eastAsia="仿宋" w:cs="Times New Roman"/>
          <w:b w:val="0"/>
          <w:bCs w:val="0"/>
          <w:color w:val="30353A"/>
          <w:sz w:val="30"/>
          <w:szCs w:val="30"/>
          <w:lang w:val="en-US" w:eastAsia="zh-CN"/>
        </w:rPr>
        <w:t>。如，Meta于2022年取消了单独的AI研究机构，并将其整合到各产品组中，2024年初又将著名的基础AI研究团队FAIR并入产品部门GenAI，旨在推动Llama系列大模型的工程化和产品化进程。</w:t>
      </w:r>
    </w:p>
    <w:p w14:paraId="572B0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4、人才团队：跨学科+顶尖人才</w:t>
      </w:r>
    </w:p>
    <w:p w14:paraId="497B3EB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firstLine="602" w:firstLineChars="200"/>
        <w:jc w:val="both"/>
        <w:textAlignment w:val="auto"/>
        <w:rPr>
          <w:rStyle w:val="9"/>
          <w:rFonts w:hint="default" w:ascii="Times New Roman" w:hAnsi="Times New Roman" w:eastAsia="仿宋" w:cs="Times New Roman"/>
          <w:b w:val="0"/>
          <w:bCs w:val="0"/>
          <w:color w:val="30353A"/>
          <w:sz w:val="30"/>
          <w:szCs w:val="30"/>
          <w:lang w:val="en-US" w:eastAsia="zh-CN"/>
        </w:rPr>
      </w:pPr>
      <w:r>
        <w:rPr>
          <w:rStyle w:val="9"/>
          <w:rFonts w:hint="eastAsia" w:ascii="Times New Roman" w:hAnsi="Times New Roman" w:eastAsia="仿宋" w:cs="Times New Roman"/>
          <w:b/>
          <w:bCs/>
          <w:color w:val="30353A"/>
          <w:sz w:val="30"/>
          <w:szCs w:val="30"/>
          <w:lang w:val="en-US" w:eastAsia="zh-CN"/>
        </w:rPr>
        <w:t>一是构建跨学科、年轻化的研究团队。</w:t>
      </w:r>
      <w:r>
        <w:rPr>
          <w:rStyle w:val="9"/>
          <w:rFonts w:hint="eastAsia" w:ascii="Times New Roman" w:hAnsi="Times New Roman" w:eastAsia="仿宋" w:cs="Times New Roman"/>
          <w:b w:val="0"/>
          <w:bCs w:val="0"/>
          <w:color w:val="30353A"/>
          <w:sz w:val="30"/>
          <w:szCs w:val="30"/>
          <w:lang w:val="en-US" w:eastAsia="zh-CN"/>
        </w:rPr>
        <w:t>大模型（特别是多模态大模型）本身就是多学科交叉的产物，涉及计算机科学、语言学、伦理学乃至艺术学等多个学科，构建跨学科的研究团队，不仅能够整合各领域知识以解决复杂的技术问题，同时也能促进知识碰撞、激发创新思维。例如，OpenAI的Sora团队中不仅包含技术专家，还有公共传播学、艺术学等多个领域的专家。ChatGPT团队成员的平均年龄为32岁，其中低于30岁的成员占比达到34%。</w:t>
      </w:r>
      <w:r>
        <w:rPr>
          <w:rStyle w:val="9"/>
          <w:rFonts w:hint="eastAsia" w:ascii="Times New Roman" w:hAnsi="Times New Roman" w:eastAsia="仿宋" w:cs="Times New Roman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二是构建由顶尖人才领衔的研发团队。</w:t>
      </w:r>
      <w:r>
        <w:rPr>
          <w:rStyle w:val="9"/>
          <w:rFonts w:hint="eastAsia" w:ascii="Times New Roman" w:hAnsi="Times New Roman" w:eastAsia="仿宋" w:cs="Times New Roman"/>
          <w:b w:val="0"/>
          <w:bCs w:val="0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大模型的技术难度和复杂性极为突出，有具备深厚AI理论基础、扎实技术能力和卓越创新思维的顶尖科学家领衔是成功的关键。如，OpenAI的前首席科学家Ilya Sutskever师从图灵奖、诺贝尔物理学奖得主Geoffrey Hinton，参与设计过AlexNet、Seq2seq等著名的AI算法；ChatGPT团队中，有超过40%的成员来自于斯坦福、麻省理工等顶尖高校，这些研究人才在团队中担任研发工程师和研发科学家等职务，推动了ChatGPT的问世。</w:t>
      </w:r>
    </w:p>
    <w:p w14:paraId="4A1FB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5、投资：广撒网+强化核心优势</w:t>
      </w:r>
    </w:p>
    <w:p w14:paraId="0AA993C7">
      <w:pPr>
        <w:keepNext w:val="0"/>
        <w:keepLines w:val="0"/>
        <w:widowControl/>
        <w:numPr>
          <w:ilvl w:val="-1"/>
          <w:numId w:val="0"/>
        </w:numPr>
        <w:suppressLineNumbers w:val="0"/>
        <w:pBdr>
          <w:left w:val="none" w:color="auto" w:sz="0" w:space="0"/>
        </w:pBdr>
        <w:spacing w:before="120" w:beforeAutospacing="0" w:after="120" w:afterAutospacing="0" w:line="360" w:lineRule="auto"/>
        <w:ind w:left="0" w:firstLine="420"/>
        <w:rPr>
          <w:rStyle w:val="9"/>
          <w:rFonts w:hint="default" w:ascii="Times New Roman" w:hAnsi="Times New Roman" w:eastAsia="仿宋" w:cs="Times New Roman"/>
          <w:b w:val="0"/>
          <w:bCs/>
          <w:color w:val="30353A"/>
          <w:sz w:val="30"/>
          <w:szCs w:val="30"/>
        </w:rPr>
      </w:pPr>
      <w:r>
        <w:rPr>
          <w:rStyle w:val="9"/>
          <w:rFonts w:hint="eastAsia" w:ascii="Times New Roman" w:hAnsi="Times New Roman" w:eastAsia="仿宋" w:cs="Times New Roman"/>
          <w:b/>
          <w:bCs w:val="0"/>
          <w:color w:val="30353A"/>
          <w:sz w:val="30"/>
          <w:szCs w:val="30"/>
          <w:lang w:val="en-US" w:eastAsia="zh-CN"/>
        </w:rPr>
        <w:t>一是</w:t>
      </w:r>
      <w:r>
        <w:rPr>
          <w:rStyle w:val="9"/>
          <w:rFonts w:hint="eastAsia" w:ascii="Times New Roman" w:hAnsi="Times New Roman" w:eastAsia="仿宋" w:cs="Times New Roman"/>
          <w:b/>
          <w:bCs w:val="0"/>
          <w:color w:val="30353A"/>
          <w:sz w:val="30"/>
          <w:szCs w:val="30"/>
        </w:rPr>
        <w:t>广撒网</w:t>
      </w:r>
      <w:r>
        <w:rPr>
          <w:rStyle w:val="9"/>
          <w:rFonts w:hint="eastAsia" w:ascii="Times New Roman" w:hAnsi="Times New Roman" w:eastAsia="仿宋" w:cs="Times New Roman"/>
          <w:b/>
          <w:bCs w:val="0"/>
          <w:color w:val="30353A"/>
          <w:sz w:val="30"/>
          <w:szCs w:val="30"/>
          <w:lang w:val="en-US" w:eastAsia="zh-CN"/>
        </w:rPr>
        <w:t>拓展</w:t>
      </w:r>
      <w:r>
        <w:rPr>
          <w:rStyle w:val="9"/>
          <w:rFonts w:hint="eastAsia" w:ascii="Times New Roman" w:hAnsi="Times New Roman" w:eastAsia="仿宋" w:cs="Times New Roman"/>
          <w:b/>
          <w:bCs w:val="0"/>
          <w:color w:val="30353A"/>
          <w:sz w:val="30"/>
          <w:szCs w:val="30"/>
        </w:rPr>
        <w:t>机会</w:t>
      </w:r>
      <w:r>
        <w:rPr>
          <w:rStyle w:val="9"/>
          <w:rFonts w:hint="eastAsia" w:ascii="Times New Roman" w:hAnsi="Times New Roman" w:eastAsia="仿宋" w:cs="Times New Roman"/>
          <w:b/>
          <w:bCs w:val="0"/>
          <w:color w:val="30353A"/>
          <w:sz w:val="30"/>
          <w:szCs w:val="30"/>
          <w:lang w:val="en-US" w:eastAsia="zh-CN"/>
        </w:rPr>
        <w:t>边界，</w:t>
      </w:r>
      <w:r>
        <w:rPr>
          <w:rStyle w:val="9"/>
          <w:rFonts w:hint="eastAsia" w:ascii="Times New Roman" w:hAnsi="Times New Roman" w:eastAsia="仿宋" w:cs="Times New Roman"/>
          <w:b w:val="0"/>
          <w:bCs/>
          <w:color w:val="30353A"/>
          <w:sz w:val="30"/>
          <w:szCs w:val="30"/>
        </w:rPr>
        <w:t>分散投资风险</w:t>
      </w:r>
      <w:r>
        <w:rPr>
          <w:rStyle w:val="9"/>
          <w:rFonts w:hint="eastAsia" w:ascii="Times New Roman" w:hAnsi="Times New Roman" w:eastAsia="仿宋" w:cs="Times New Roman"/>
          <w:b w:val="0"/>
          <w:bCs/>
          <w:color w:val="30353A"/>
          <w:sz w:val="30"/>
          <w:szCs w:val="30"/>
          <w:lang w:eastAsia="zh-CN"/>
        </w:rPr>
        <w:t>、</w:t>
      </w:r>
      <w:r>
        <w:rPr>
          <w:rStyle w:val="9"/>
          <w:rFonts w:hint="eastAsia" w:ascii="Times New Roman" w:hAnsi="Times New Roman" w:eastAsia="仿宋" w:cs="Times New Roman"/>
          <w:b w:val="0"/>
          <w:bCs/>
          <w:color w:val="30353A"/>
          <w:sz w:val="30"/>
          <w:szCs w:val="30"/>
        </w:rPr>
        <w:t>完善产业链布局</w:t>
      </w:r>
      <w:r>
        <w:rPr>
          <w:rStyle w:val="9"/>
          <w:rFonts w:hint="eastAsia" w:ascii="Times New Roman" w:hAnsi="Times New Roman" w:eastAsia="仿宋" w:cs="Times New Roman"/>
          <w:b w:val="0"/>
          <w:bCs/>
          <w:color w:val="30353A"/>
          <w:sz w:val="30"/>
          <w:szCs w:val="30"/>
          <w:lang w:eastAsia="zh-CN"/>
        </w:rPr>
        <w:t>。</w:t>
      </w:r>
      <w:r>
        <w:rPr>
          <w:rStyle w:val="9"/>
          <w:rFonts w:hint="eastAsia" w:ascii="Times New Roman" w:hAnsi="Times New Roman" w:eastAsia="仿宋" w:cs="Times New Roman"/>
          <w:b w:val="0"/>
          <w:bCs/>
          <w:i w:val="0"/>
          <w:iCs w:val="0"/>
          <w:caps w:val="0"/>
          <w:color w:val="30353A"/>
          <w:spacing w:val="0"/>
          <w:sz w:val="30"/>
          <w:szCs w:val="30"/>
          <w:shd w:val="clear"/>
          <w:lang w:val="en-US" w:eastAsia="zh-CN"/>
        </w:rPr>
        <w:t>以</w:t>
      </w:r>
      <w:r>
        <w:rPr>
          <w:rStyle w:val="9"/>
          <w:rFonts w:hint="eastAsia" w:ascii="Times New Roman" w:hAnsi="Times New Roman" w:eastAsia="仿宋" w:cs="Times New Roman"/>
          <w:b w:val="0"/>
          <w:bCs/>
          <w:color w:val="30353A"/>
          <w:sz w:val="30"/>
          <w:szCs w:val="30"/>
        </w:rPr>
        <w:t>微软</w:t>
      </w:r>
      <w:r>
        <w:rPr>
          <w:rStyle w:val="9"/>
          <w:rFonts w:hint="eastAsia" w:ascii="Times New Roman" w:hAnsi="Times New Roman" w:eastAsia="仿宋" w:cs="Times New Roman"/>
          <w:b w:val="0"/>
          <w:bCs/>
          <w:color w:val="30353A"/>
          <w:sz w:val="30"/>
          <w:szCs w:val="30"/>
          <w:lang w:val="en-US" w:eastAsia="zh-CN"/>
        </w:rPr>
        <w:t>为例，在</w:t>
      </w:r>
      <w:r>
        <w:rPr>
          <w:rStyle w:val="9"/>
          <w:rFonts w:hint="eastAsia" w:ascii="Times New Roman" w:hAnsi="Times New Roman" w:eastAsia="仿宋" w:cs="Times New Roman"/>
          <w:b w:val="0"/>
          <w:bCs/>
          <w:i w:val="0"/>
          <w:iCs w:val="0"/>
          <w:caps w:val="0"/>
          <w:color w:val="30353A"/>
          <w:spacing w:val="0"/>
          <w:sz w:val="30"/>
          <w:szCs w:val="30"/>
          <w:shd w:val="clear"/>
        </w:rPr>
        <w:t>AI 领域</w:t>
      </w:r>
      <w:r>
        <w:rPr>
          <w:rStyle w:val="9"/>
          <w:rFonts w:hint="eastAsia" w:ascii="Times New Roman" w:hAnsi="Times New Roman" w:eastAsia="仿宋" w:cs="Times New Roman"/>
          <w:b w:val="0"/>
          <w:bCs/>
          <w:color w:val="30353A"/>
          <w:sz w:val="30"/>
          <w:szCs w:val="30"/>
          <w:lang w:val="en-US" w:eastAsia="zh-CN"/>
        </w:rPr>
        <w:t>风险投资方面</w:t>
      </w:r>
      <w:r>
        <w:rPr>
          <w:rStyle w:val="9"/>
          <w:rFonts w:hint="eastAsia" w:ascii="Times New Roman" w:hAnsi="Times New Roman" w:eastAsia="仿宋" w:cs="Times New Roman"/>
          <w:b w:val="0"/>
          <w:bCs/>
          <w:color w:val="30353A"/>
          <w:sz w:val="30"/>
          <w:szCs w:val="30"/>
        </w:rPr>
        <w:t>广泛关注各类初创企业，涉及多个细分方向</w:t>
      </w:r>
      <w:r>
        <w:rPr>
          <w:rStyle w:val="9"/>
          <w:rFonts w:hint="eastAsia" w:ascii="Times New Roman" w:hAnsi="Times New Roman" w:eastAsia="仿宋" w:cs="Times New Roman"/>
          <w:b w:val="0"/>
          <w:bCs/>
          <w:color w:val="30353A"/>
          <w:sz w:val="30"/>
          <w:szCs w:val="30"/>
          <w:lang w:eastAsia="zh-CN"/>
        </w:rPr>
        <w:t>，</w:t>
      </w:r>
      <w:r>
        <w:rPr>
          <w:rStyle w:val="9"/>
          <w:rFonts w:hint="eastAsia" w:ascii="Times New Roman" w:hAnsi="Times New Roman" w:eastAsia="仿宋" w:cs="Times New Roman"/>
          <w:b w:val="0"/>
          <w:bCs/>
          <w:color w:val="30353A"/>
          <w:sz w:val="30"/>
          <w:szCs w:val="30"/>
          <w:lang w:val="en-US" w:eastAsia="zh-CN"/>
        </w:rPr>
        <w:t>今年上半年的投资就涉及网络安全、自动驾驶、人形机器人等多个方向</w:t>
      </w:r>
      <w:r>
        <w:rPr>
          <w:rStyle w:val="9"/>
          <w:rFonts w:hint="eastAsia" w:ascii="Times New Roman" w:hAnsi="Times New Roman" w:eastAsia="仿宋" w:cs="Times New Roman"/>
          <w:b w:val="0"/>
          <w:bCs/>
          <w:color w:val="30353A"/>
          <w:sz w:val="30"/>
          <w:szCs w:val="30"/>
          <w:lang w:eastAsia="zh-CN"/>
        </w:rPr>
        <w:t>（</w:t>
      </w:r>
      <w:r>
        <w:rPr>
          <w:rStyle w:val="9"/>
          <w:rFonts w:hint="eastAsia" w:ascii="Times New Roman" w:hAnsi="Times New Roman" w:eastAsia="仿宋" w:cs="Times New Roman"/>
          <w:b w:val="0"/>
          <w:bCs/>
          <w:color w:val="30353A"/>
          <w:sz w:val="30"/>
          <w:szCs w:val="30"/>
          <w:lang w:val="en-US" w:eastAsia="zh-CN"/>
        </w:rPr>
        <w:t>如表1所示）。</w:t>
      </w:r>
    </w:p>
    <w:p w14:paraId="28489F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jc w:val="center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表1 微软 2024 年上半年在 AI 领域的资本投资</w:t>
      </w:r>
    </w:p>
    <w:p w14:paraId="04F2E5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jc w:val="left"/>
        <w:textAlignment w:val="auto"/>
      </w:pPr>
      <w:r>
        <w:drawing>
          <wp:inline distT="0" distB="0" distL="114300" distR="114300">
            <wp:extent cx="5269865" cy="1995805"/>
            <wp:effectExtent l="0" t="0" r="63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94A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jc w:val="right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数据来源：天翼智库根据公开资料整理</w:t>
      </w:r>
    </w:p>
    <w:p w14:paraId="07749555">
      <w:pPr>
        <w:keepNext w:val="0"/>
        <w:keepLines w:val="0"/>
        <w:widowControl/>
        <w:numPr>
          <w:ilvl w:val="-1"/>
          <w:numId w:val="0"/>
        </w:numPr>
        <w:suppressLineNumbers w:val="0"/>
        <w:pBdr>
          <w:left w:val="none" w:color="auto" w:sz="0" w:space="0"/>
        </w:pBdr>
        <w:spacing w:before="120" w:beforeAutospacing="0" w:after="120" w:afterAutospacing="0" w:line="360" w:lineRule="auto"/>
        <w:ind w:firstLine="602" w:firstLineChars="200"/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val="en-US" w:eastAsia="zh-CN"/>
        </w:rPr>
        <w:t>二是聚焦优势领域巩固领先地位。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eastAsia="zh-CN"/>
        </w:rPr>
        <w:t>（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val="en-US" w:eastAsia="zh-CN"/>
        </w:rPr>
        <w:t>见图1）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eastAsia="zh-CN"/>
        </w:rPr>
        <w:t>。例如，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val="en-US" w:eastAsia="zh-CN"/>
        </w:rPr>
        <w:t>Google母公司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eastAsia="zh-CN"/>
        </w:rPr>
        <w:t>Alphabet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val="en-US" w:eastAsia="zh-CN"/>
        </w:rPr>
        <w:t>在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eastAsia="zh-CN"/>
        </w:rPr>
        <w:t>核心AI、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val="en-US" w:eastAsia="zh-CN"/>
        </w:rPr>
        <w:t>健康及金融科技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eastAsia="zh-CN"/>
        </w:rPr>
        <w:t>领域广泛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val="en-US" w:eastAsia="zh-CN"/>
        </w:rPr>
        <w:t>开展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eastAsia="zh-CN"/>
        </w:rPr>
        <w:t>风险投资，有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val="en-US" w:eastAsia="zh-CN"/>
        </w:rPr>
        <w:t>力地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eastAsia="zh-CN"/>
        </w:rPr>
        <w:t>维持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val="en-US" w:eastAsia="zh-CN"/>
        </w:rPr>
        <w:t>了其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eastAsia="zh-CN"/>
        </w:rPr>
        <w:t>在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val="en-US" w:eastAsia="zh-CN"/>
        </w:rPr>
        <w:t>相关领域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eastAsia="zh-CN"/>
        </w:rPr>
        <w:t>的领先地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</w:rPr>
        <w:t>位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eastAsia="zh-CN"/>
        </w:rPr>
        <w:t>；亚马逊在能源、交通和机器人技术领域领先，其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val="en-US" w:eastAsia="zh-CN"/>
        </w:rPr>
        <w:t>投资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eastAsia="zh-CN"/>
        </w:rPr>
        <w:t>项目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val="en-US" w:eastAsia="zh-CN"/>
        </w:rPr>
        <w:t>涵盖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eastAsia="zh-CN"/>
        </w:rPr>
        <w:t>使用可再生能源的项目、先进的物流解决方案和自动化技术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</w:rPr>
        <w:t>。</w:t>
      </w:r>
    </w:p>
    <w:p w14:paraId="15843C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120" w:beforeAutospacing="0" w:after="120" w:afterAutospacing="0" w:line="360" w:lineRule="auto"/>
        <w:ind w:left="0" w:right="0" w:firstLine="420" w:firstLineChars="0"/>
        <w:jc w:val="left"/>
      </w:pPr>
      <w:r>
        <w:drawing>
          <wp:inline distT="0" distB="0" distL="114300" distR="114300">
            <wp:extent cx="4869815" cy="2872740"/>
            <wp:effectExtent l="0" t="0" r="698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9815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C03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图1 2013-2023年，美国科技巨头在AI细分领域风险投资（VC）轮次参与情况</w:t>
      </w:r>
    </w:p>
    <w:p w14:paraId="6B4DDD99">
      <w:pPr>
        <w:keepNext w:val="0"/>
        <w:keepLines w:val="0"/>
        <w:widowControl/>
        <w:numPr>
          <w:ilvl w:val="-1"/>
          <w:numId w:val="0"/>
        </w:numPr>
        <w:suppressLineNumbers w:val="0"/>
        <w:pBdr>
          <w:left w:val="none" w:color="auto" w:sz="0" w:space="0"/>
        </w:pBdr>
        <w:spacing w:before="120" w:beforeAutospacing="0" w:after="120" w:afterAutospacing="0" w:line="360" w:lineRule="auto"/>
        <w:ind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222222"/>
          <w:spacing w:val="0"/>
          <w:sz w:val="18"/>
          <w:szCs w:val="18"/>
          <w:shd w:val="clear" w:fill="FFFFFF"/>
        </w:rPr>
      </w:pPr>
      <w:r>
        <w:rPr>
          <w:rFonts w:hint="eastAsia"/>
          <w:lang w:val="en-US" w:eastAsia="zh-CN"/>
        </w:rPr>
        <w:t>数据来源：</w:t>
      </w:r>
      <w:r>
        <w:rPr>
          <w:rFonts w:ascii="微软雅黑" w:hAnsi="微软雅黑" w:eastAsia="微软雅黑" w:cs="微软雅黑"/>
          <w:i w:val="0"/>
          <w:iCs w:val="0"/>
          <w:caps w:val="0"/>
          <w:color w:val="222222"/>
          <w:spacing w:val="0"/>
          <w:sz w:val="18"/>
          <w:szCs w:val="18"/>
          <w:shd w:val="clear" w:fill="FFFFFF"/>
        </w:rPr>
        <w:t>英国投资数据平台Dealroom和咨询公司Flow Partners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8"/>
          <w:szCs w:val="18"/>
          <w:shd w:val="clear" w:fill="FFFFFF"/>
          <w:lang w:val="en-US" w:eastAsia="zh-CN"/>
        </w:rPr>
        <w:t>，</w:t>
      </w:r>
      <w:r>
        <w:rPr>
          <w:rFonts w:ascii="微软雅黑" w:hAnsi="微软雅黑" w:eastAsia="微软雅黑" w:cs="微软雅黑"/>
          <w:i w:val="0"/>
          <w:iCs w:val="0"/>
          <w:caps w:val="0"/>
          <w:color w:val="222222"/>
          <w:spacing w:val="0"/>
          <w:sz w:val="18"/>
          <w:szCs w:val="18"/>
          <w:shd w:val="clear" w:fill="FFFFFF"/>
        </w:rPr>
        <w:t>《风险投资前沿与新的人工智能狂野西部》</w:t>
      </w:r>
    </w:p>
    <w:p w14:paraId="12B30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6、开放合作：基于平台的生态赋能</w:t>
      </w:r>
    </w:p>
    <w:p w14:paraId="5014212F">
      <w:pPr>
        <w:widowControl/>
        <w:shd w:val="clear" w:fill="FFFFFF"/>
        <w:spacing w:before="120" w:after="120" w:line="360" w:lineRule="auto"/>
        <w:ind w:firstLine="602" w:firstLineChars="200"/>
        <w:rPr>
          <w:rFonts w:hint="eastAsia" w:ascii="仿宋" w:hAnsi="仿宋" w:eastAsia="仿宋" w:cs="仿宋"/>
          <w:color w:val="2C2C36"/>
          <w:sz w:val="30"/>
          <w:szCs w:val="30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2C2C36"/>
          <w:sz w:val="30"/>
          <w:szCs w:val="30"/>
          <w:shd w:val="clear" w:fill="FFFFFF"/>
          <w:lang w:val="en-US" w:eastAsia="zh-CN"/>
        </w:rPr>
        <w:t>AI龙头企业通过全栈布局、搭建平台来强化生态链主导地位。</w:t>
      </w:r>
      <w:r>
        <w:rPr>
          <w:rFonts w:hint="eastAsia" w:ascii="仿宋" w:hAnsi="仿宋" w:eastAsia="仿宋" w:cs="仿宋"/>
          <w:color w:val="2C2C36"/>
          <w:sz w:val="30"/>
          <w:szCs w:val="30"/>
          <w:shd w:val="clear" w:fill="FFFFFF"/>
          <w:lang w:val="en-US" w:eastAsia="zh-CN"/>
        </w:rPr>
        <w:t>例如，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</w:rPr>
        <w:t>百度全面布局AI生态链，通过自研的昆仑芯片提供算力支持，飞桨平台奠定开发基础，文心大模型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val="en-US" w:eastAsia="zh-CN"/>
        </w:rPr>
        <w:t>不断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</w:rPr>
        <w:t>突破，并在应用层广泛赋能各行各业。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val="en-US" w:eastAsia="zh-CN"/>
        </w:rPr>
        <w:t>此外，</w:t>
      </w:r>
      <w:r>
        <w:rPr>
          <w:rFonts w:hint="eastAsia" w:ascii="仿宋" w:hAnsi="仿宋" w:eastAsia="仿宋" w:cs="仿宋"/>
          <w:b w:val="0"/>
          <w:bCs w:val="0"/>
          <w:color w:val="2C2C36"/>
          <w:sz w:val="30"/>
          <w:szCs w:val="30"/>
          <w:shd w:val="clear" w:fill="FFFFFF"/>
          <w:lang w:val="en-US" w:eastAsia="zh-CN"/>
        </w:rPr>
        <w:t>科技龙头企业致力于挖掘潜力创新企</w:t>
      </w:r>
      <w:r>
        <w:rPr>
          <w:rFonts w:hint="eastAsia" w:ascii="仿宋" w:hAnsi="仿宋" w:eastAsia="仿宋" w:cs="仿宋"/>
          <w:color w:val="2C2C36"/>
          <w:sz w:val="30"/>
          <w:szCs w:val="30"/>
          <w:shd w:val="clear" w:fill="FFFFFF"/>
          <w:lang w:val="en-US" w:eastAsia="zh-CN"/>
        </w:rPr>
        <w:t>业并为其赋能，打造大模型全链路生态支持体系，提供定向专属支持和激励，构建“以我为主”的生态体系。例如，百度搭建AI加速器为创新企业提供应用孵化支持，并建设千帆社区和飞浆社区，为开发者提供交流和资源支持，促进了以百度为核心的生态体系建设，推动了生态内企业的共同发展。</w:t>
      </w:r>
    </w:p>
    <w:p w14:paraId="475FF663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firstLine="0"/>
        <w:jc w:val="center"/>
        <w:textAlignment w:val="auto"/>
        <w:rPr>
          <w:rFonts w:hint="eastAsia" w:ascii="仿宋" w:hAnsi="仿宋" w:eastAsia="仿宋" w:cs="仿宋"/>
          <w:b/>
          <w:bCs/>
          <w:color w:val="2C2C36"/>
          <w:sz w:val="28"/>
          <w:szCs w:val="28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2C2C36"/>
          <w:sz w:val="28"/>
          <w:szCs w:val="28"/>
          <w:shd w:val="clear" w:fill="FFFFFF"/>
          <w:lang w:val="en-US" w:eastAsia="zh-CN"/>
        </w:rPr>
        <w:t>7、对运营商发展AI大模型业务的启示</w:t>
      </w:r>
    </w:p>
    <w:p w14:paraId="1E84C0CC">
      <w:pPr>
        <w:widowControl/>
        <w:shd w:val="clear" w:fill="FFFFFF"/>
        <w:spacing w:before="120" w:after="120" w:line="360" w:lineRule="auto"/>
        <w:ind w:firstLine="600" w:firstLineChars="200"/>
        <w:rPr>
          <w:rFonts w:hint="default" w:ascii="仿宋" w:hAnsi="仿宋" w:eastAsia="仿宋" w:cs="仿宋"/>
          <w:color w:val="2C2C36"/>
          <w:sz w:val="30"/>
          <w:szCs w:val="30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2C2C36"/>
          <w:sz w:val="30"/>
          <w:szCs w:val="30"/>
          <w:shd w:val="clear" w:fill="FFFFFF"/>
          <w:lang w:val="en-US" w:eastAsia="zh-CN"/>
        </w:rPr>
        <w:t>一是要发挥智算、数据和用户规模优势，面向高价值场景，加快产品创新和商用落地；二是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2C2C36"/>
          <w:spacing w:val="0"/>
          <w:sz w:val="30"/>
          <w:szCs w:val="30"/>
          <w:shd w:val="clear" w:fill="FFFFFF"/>
        </w:rPr>
        <w:t>整合</w:t>
      </w:r>
      <w:r>
        <w:rPr>
          <w:rFonts w:hint="eastAsia" w:ascii="仿宋" w:hAnsi="仿宋" w:eastAsia="仿宋" w:cs="仿宋"/>
          <w:b w:val="0"/>
          <w:bCs w:val="0"/>
          <w:color w:val="2C2C36"/>
          <w:sz w:val="30"/>
          <w:szCs w:val="30"/>
          <w:shd w:val="clear" w:fill="FFFFFF"/>
          <w:lang w:val="en-US" w:eastAsia="zh-CN"/>
        </w:rPr>
        <w:t>技术研究、产品开发、现网运营及云计算等部门的优势资源，完善跨部门协作机制，战略性合并业务紧密关联的部门等。三是持续加强AI人才队伍建设，持续引进顶尖科学家和高水平的架构、算法工程师等。四是</w:t>
      </w:r>
      <w:r>
        <w:rPr>
          <w:rFonts w:hint="eastAsia" w:ascii="仿宋" w:hAnsi="仿宋" w:eastAsia="仿宋" w:cs="仿宋"/>
          <w:i w:val="0"/>
          <w:iCs w:val="0"/>
          <w:caps w:val="0"/>
          <w:color w:val="2C2C36"/>
          <w:spacing w:val="0"/>
          <w:sz w:val="30"/>
          <w:szCs w:val="30"/>
          <w:shd w:val="clear" w:fill="FFFFFF"/>
          <w:lang w:val="en-US" w:eastAsia="zh-CN"/>
        </w:rPr>
        <w:t>积极投资前沿技术与创新应用，强化跟现网优势业务的战略协同。如设立专项基金支持有潜力项目，加强与被投企业的技术合作等。五是</w:t>
      </w:r>
      <w:r>
        <w:rPr>
          <w:rFonts w:hint="eastAsia" w:ascii="仿宋" w:hAnsi="仿宋" w:eastAsia="仿宋" w:cs="仿宋"/>
          <w:color w:val="2C2C36"/>
          <w:sz w:val="30"/>
          <w:szCs w:val="30"/>
          <w:shd w:val="clear" w:fill="FFFFFF"/>
          <w:lang w:val="en-US" w:eastAsia="zh-CN"/>
        </w:rPr>
        <w:t>加强AI开放合作，推进开源，扩大开发者数量，为行业合作伙伴赋能。</w:t>
      </w:r>
    </w:p>
    <w:p w14:paraId="73710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jc w:val="left"/>
        <w:textAlignment w:val="auto"/>
        <w:rPr>
          <w:rFonts w:hint="eastAsia" w:ascii="仿宋" w:hAnsi="仿宋" w:eastAsia="仿宋" w:cs="仿宋"/>
          <w:b w:val="0"/>
          <w:bCs w:val="0"/>
          <w:color w:val="2C2C36"/>
          <w:kern w:val="0"/>
          <w:sz w:val="28"/>
          <w:szCs w:val="28"/>
          <w:lang w:val="en-US" w:eastAsia="zh-CN"/>
        </w:rPr>
      </w:pPr>
    </w:p>
    <w:p w14:paraId="7CB44AB0">
      <w:pPr>
        <w:spacing w:line="360" w:lineRule="auto"/>
        <w:jc w:val="both"/>
        <w:rPr>
          <w:rFonts w:hint="eastAsia" w:ascii="仿宋" w:hAnsi="仿宋" w:eastAsia="仿宋" w:cs="仿宋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IwMTFhZmVhMGNlYThiNTgzYjdhZmY3OTgzZTVjYTIifQ=="/>
  </w:docVars>
  <w:rsids>
    <w:rsidRoot w:val="008D4997"/>
    <w:rsid w:val="00017092"/>
    <w:rsid w:val="00274B3E"/>
    <w:rsid w:val="0028367C"/>
    <w:rsid w:val="00662B17"/>
    <w:rsid w:val="008D4997"/>
    <w:rsid w:val="00A8505C"/>
    <w:rsid w:val="00C82126"/>
    <w:rsid w:val="00F43310"/>
    <w:rsid w:val="03221ADF"/>
    <w:rsid w:val="045B7728"/>
    <w:rsid w:val="05892992"/>
    <w:rsid w:val="06310C24"/>
    <w:rsid w:val="07243989"/>
    <w:rsid w:val="08237BDF"/>
    <w:rsid w:val="0A583F4F"/>
    <w:rsid w:val="0E285278"/>
    <w:rsid w:val="0E7416AE"/>
    <w:rsid w:val="11B049D9"/>
    <w:rsid w:val="144558CB"/>
    <w:rsid w:val="17C64EFB"/>
    <w:rsid w:val="1B534F9D"/>
    <w:rsid w:val="1EA335FC"/>
    <w:rsid w:val="1EB11AF4"/>
    <w:rsid w:val="21A23D87"/>
    <w:rsid w:val="24925035"/>
    <w:rsid w:val="25377889"/>
    <w:rsid w:val="29AA3F2E"/>
    <w:rsid w:val="29D32067"/>
    <w:rsid w:val="2AD14C0D"/>
    <w:rsid w:val="2BA03B29"/>
    <w:rsid w:val="2C3A21ED"/>
    <w:rsid w:val="2FA14534"/>
    <w:rsid w:val="35FC5F6E"/>
    <w:rsid w:val="37A80000"/>
    <w:rsid w:val="38855FF5"/>
    <w:rsid w:val="3BDB3B97"/>
    <w:rsid w:val="3C5E2A45"/>
    <w:rsid w:val="3FBB5FE4"/>
    <w:rsid w:val="419A4A77"/>
    <w:rsid w:val="4979225F"/>
    <w:rsid w:val="4DBA3BE5"/>
    <w:rsid w:val="511351AF"/>
    <w:rsid w:val="5181429F"/>
    <w:rsid w:val="51BE1EE4"/>
    <w:rsid w:val="563E0581"/>
    <w:rsid w:val="57BB39F8"/>
    <w:rsid w:val="57E34108"/>
    <w:rsid w:val="587A5D36"/>
    <w:rsid w:val="59527CF0"/>
    <w:rsid w:val="5A6F276F"/>
    <w:rsid w:val="5C787086"/>
    <w:rsid w:val="5E015A86"/>
    <w:rsid w:val="5E767EDE"/>
    <w:rsid w:val="64BD686F"/>
    <w:rsid w:val="681A6017"/>
    <w:rsid w:val="6C042E80"/>
    <w:rsid w:val="717B3E92"/>
    <w:rsid w:val="78B57239"/>
    <w:rsid w:val="79195F3C"/>
    <w:rsid w:val="7A144B16"/>
    <w:rsid w:val="7A3B7F9A"/>
    <w:rsid w:val="7B812728"/>
    <w:rsid w:val="7F0B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link w:val="10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  <w:bCs/>
    </w:rPr>
  </w:style>
  <w:style w:type="character" w:customStyle="1" w:styleId="10">
    <w:name w:val="标题 3 字符"/>
    <w:basedOn w:val="8"/>
    <w:link w:val="3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1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2378</Words>
  <Characters>2672</Characters>
  <Lines>9</Lines>
  <Paragraphs>2</Paragraphs>
  <TotalTime>24</TotalTime>
  <ScaleCrop>false</ScaleCrop>
  <LinksUpToDate>false</LinksUpToDate>
  <CharactersWithSpaces>2690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2024-07-30T02:51:00Z</dcterms:created>
  <dc:creator>13316</dc:creator>
  <cp:lastModifiedBy>13316</cp:lastModifiedBy>
  <dcterms:modified xsi:type="dcterms:W3CDTF">2024-11-13T06:50:57Z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56F24DFD1E3142229F85DCFA3D96B5DF_13</vt:lpwstr>
  </property>
</Properties>
</file>