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451FA">
      <w:pPr>
        <w:widowControl/>
        <w:jc w:val="center"/>
        <w:rPr>
          <w:sz w:val="28"/>
          <w:szCs w:val="28"/>
        </w:rPr>
      </w:pPr>
      <w:r>
        <w:rPr>
          <w:rFonts w:hint="eastAsia"/>
          <w:b/>
          <w:bCs/>
          <w:sz w:val="28"/>
          <w:szCs w:val="28"/>
        </w:rPr>
        <w:t>全球量超融合技术发展现状及启示</w:t>
      </w:r>
    </w:p>
    <w:p w14:paraId="0D702F01">
      <w:pPr>
        <w:widowControl/>
        <w:jc w:val="center"/>
        <w:rPr>
          <w:rFonts w:hint="default" w:eastAsiaTheme="minorEastAsia"/>
          <w:szCs w:val="21"/>
          <w:lang w:val="en-US" w:eastAsia="zh-CN"/>
        </w:rPr>
      </w:pPr>
      <w:r>
        <w:rPr>
          <w:rFonts w:hint="eastAsia"/>
          <w:szCs w:val="21"/>
          <w:lang w:val="en-US" w:eastAsia="zh-CN"/>
        </w:rPr>
        <w:t>彭淇、于明月</w:t>
      </w:r>
    </w:p>
    <w:p w14:paraId="72F84D37">
      <w:pPr>
        <w:widowControl/>
        <w:ind w:firstLine="420" w:firstLineChars="200"/>
        <w:jc w:val="left"/>
        <w:rPr>
          <w:szCs w:val="21"/>
        </w:rPr>
      </w:pPr>
      <w:r>
        <w:rPr>
          <w:rFonts w:hint="eastAsia"/>
          <w:szCs w:val="21"/>
        </w:rPr>
        <w:t>“量超融合”是指将量子计算和经典超级计算机协同工作，实现量子算力和经典算力异构融合，是量子计算-经典计算混合协作的新型计算架构。随着超级计算机规模不断扩大，“能耗墙”、“存算墙”、“编译墙”等问题相继出现，将量子计算机的强大并行处理能力和超级计算机的高效数值计算能力结合，能够大幅提升计算效率，甚至解算经典计算无法解算的难题，已成为未来算力发展的必然趋势。</w:t>
      </w:r>
    </w:p>
    <w:p w14:paraId="0C5CDB8D">
      <w:pPr>
        <w:widowControl/>
        <w:ind w:firstLine="420" w:firstLineChars="200"/>
        <w:jc w:val="left"/>
        <w:rPr>
          <w:szCs w:val="21"/>
        </w:rPr>
      </w:pPr>
      <w:r>
        <w:rPr>
          <w:rFonts w:hint="eastAsia"/>
          <w:szCs w:val="21"/>
        </w:rPr>
        <w:t>全球各国纷纷发力推动量超融合技术发展，布局提升自身竞争优势的新型算力支撑，未来5年“量超融合”将步入发展黄金期，基于“量超融合”的新应用将陆续诞生，为企业提供新的产品创新机会，加速推动量子产业生态构建。</w:t>
      </w:r>
    </w:p>
    <w:p w14:paraId="2E2FF3BB">
      <w:pPr>
        <w:widowControl/>
        <w:jc w:val="left"/>
        <w:rPr>
          <w:szCs w:val="21"/>
        </w:rPr>
      </w:pPr>
      <w:bookmarkStart w:id="0" w:name="_GoBack"/>
      <w:bookmarkEnd w:id="0"/>
    </w:p>
    <w:p w14:paraId="2DFE80DB">
      <w:pPr>
        <w:numPr>
          <w:ilvl w:val="0"/>
          <w:numId w:val="1"/>
        </w:numPr>
        <w:rPr>
          <w:b/>
          <w:bCs/>
          <w:szCs w:val="21"/>
        </w:rPr>
      </w:pPr>
      <w:r>
        <w:rPr>
          <w:rFonts w:hint="eastAsia"/>
          <w:b/>
          <w:bCs/>
          <w:szCs w:val="21"/>
        </w:rPr>
        <w:t>全球主要国家量超融合的发展现状</w:t>
      </w:r>
    </w:p>
    <w:p w14:paraId="563424FE">
      <w:pPr>
        <w:ind w:firstLine="440"/>
        <w:rPr>
          <w:rFonts w:hint="default" w:ascii="宋体" w:hAnsi="宋体" w:eastAsia="宋体" w:cs="宋体"/>
          <w:kern w:val="0"/>
          <w:szCs w:val="21"/>
          <w:lang w:val="en-US" w:eastAsia="zh-CN" w:bidi="ar"/>
        </w:rPr>
      </w:pPr>
      <w:r>
        <w:rPr>
          <w:rFonts w:hint="eastAsia" w:ascii="宋体" w:hAnsi="宋体" w:eastAsia="宋体" w:cs="宋体"/>
          <w:kern w:val="0"/>
          <w:szCs w:val="21"/>
          <w:lang w:bidi="ar"/>
        </w:rPr>
        <w:t>近年来，量超融合在全球范围内取得了显著进展，成为推动高性能计算和量子计算领域发展的重要趋势。2</w:t>
      </w:r>
      <w:r>
        <w:rPr>
          <w:rFonts w:ascii="宋体" w:hAnsi="宋体" w:eastAsia="宋体" w:cs="宋体"/>
          <w:kern w:val="0"/>
          <w:szCs w:val="21"/>
          <w:lang w:bidi="ar"/>
        </w:rPr>
        <w:t>021-2024</w:t>
      </w:r>
      <w:r>
        <w:rPr>
          <w:rFonts w:hint="eastAsia" w:ascii="宋体" w:hAnsi="宋体" w:eastAsia="宋体" w:cs="宋体"/>
          <w:kern w:val="0"/>
          <w:szCs w:val="21"/>
          <w:lang w:bidi="ar"/>
        </w:rPr>
        <w:t>年欧美已有</w:t>
      </w:r>
      <w:r>
        <w:rPr>
          <w:rFonts w:hint="eastAsia" w:ascii="宋体" w:hAnsi="宋体" w:eastAsia="宋体" w:cs="宋体"/>
          <w:kern w:val="0"/>
          <w:szCs w:val="21"/>
          <w:lang w:val="en-US" w:eastAsia="zh-CN" w:bidi="ar"/>
        </w:rPr>
        <w:t>超过</w:t>
      </w:r>
      <w:r>
        <w:rPr>
          <w:rFonts w:hint="eastAsia" w:ascii="宋体" w:hAnsi="宋体" w:eastAsia="宋体" w:cs="宋体"/>
          <w:kern w:val="0"/>
          <w:szCs w:val="21"/>
          <w:lang w:bidi="ar"/>
        </w:rPr>
        <w:t>1</w:t>
      </w:r>
      <w:r>
        <w:rPr>
          <w:rFonts w:ascii="宋体" w:hAnsi="宋体" w:eastAsia="宋体" w:cs="宋体"/>
          <w:kern w:val="0"/>
          <w:szCs w:val="21"/>
          <w:lang w:bidi="ar"/>
        </w:rPr>
        <w:t>2</w:t>
      </w:r>
      <w:r>
        <w:rPr>
          <w:rFonts w:hint="eastAsia" w:ascii="宋体" w:hAnsi="宋体" w:eastAsia="宋体" w:cs="宋体"/>
          <w:kern w:val="0"/>
          <w:szCs w:val="21"/>
          <w:lang w:bidi="ar"/>
        </w:rPr>
        <w:t>个国家实施了</w:t>
      </w:r>
      <w:r>
        <w:rPr>
          <w:rFonts w:hint="eastAsia" w:ascii="宋体" w:hAnsi="宋体" w:eastAsia="宋体" w:cs="宋体"/>
          <w:kern w:val="0"/>
          <w:szCs w:val="21"/>
          <w:lang w:val="en-US" w:eastAsia="zh-CN" w:bidi="ar"/>
        </w:rPr>
        <w:t>20余个</w:t>
      </w:r>
      <w:r>
        <w:rPr>
          <w:rFonts w:hint="eastAsia" w:ascii="宋体" w:hAnsi="宋体" w:eastAsia="宋体" w:cs="宋体"/>
          <w:kern w:val="0"/>
          <w:szCs w:val="21"/>
          <w:lang w:bidi="ar"/>
        </w:rPr>
        <w:t>量超融合探索项目，美国、德国、日本等</w:t>
      </w:r>
      <w:r>
        <w:rPr>
          <w:rFonts w:hint="eastAsia" w:ascii="宋体" w:hAnsi="宋体" w:eastAsia="宋体" w:cs="宋体"/>
          <w:kern w:val="0"/>
          <w:szCs w:val="21"/>
          <w:lang w:val="en-US" w:eastAsia="zh-CN" w:bidi="ar"/>
        </w:rPr>
        <w:t>领先国家在</w:t>
      </w:r>
      <w:r>
        <w:rPr>
          <w:rFonts w:hint="eastAsia" w:ascii="宋体" w:hAnsi="宋体" w:eastAsia="宋体" w:cs="宋体"/>
          <w:kern w:val="0"/>
          <w:szCs w:val="21"/>
          <w:lang w:bidi="ar"/>
        </w:rPr>
        <w:t>超算中心建设、技术突破、系统方案、</w:t>
      </w:r>
      <w:r>
        <w:rPr>
          <w:rFonts w:hint="eastAsia" w:ascii="宋体" w:hAnsi="宋体" w:eastAsia="宋体" w:cs="宋体"/>
          <w:kern w:val="0"/>
          <w:szCs w:val="21"/>
          <w:lang w:val="en-US" w:eastAsia="zh-CN" w:bidi="ar"/>
        </w:rPr>
        <w:t>行业</w:t>
      </w:r>
      <w:r>
        <w:rPr>
          <w:rFonts w:hint="eastAsia" w:ascii="宋体" w:hAnsi="宋体" w:eastAsia="宋体" w:cs="宋体"/>
          <w:kern w:val="0"/>
          <w:szCs w:val="21"/>
          <w:lang w:bidi="ar"/>
        </w:rPr>
        <w:t>应用等</w:t>
      </w:r>
      <w:r>
        <w:rPr>
          <w:rFonts w:hint="eastAsia" w:ascii="宋体" w:hAnsi="宋体" w:eastAsia="宋体" w:cs="宋体"/>
          <w:kern w:val="0"/>
          <w:szCs w:val="21"/>
          <w:lang w:val="en-US" w:eastAsia="zh-CN" w:bidi="ar"/>
        </w:rPr>
        <w:t>方面开展量超融合的多方面探索和实践。欧美对量超融合的研究已进入以</w:t>
      </w:r>
      <w:r>
        <w:rPr>
          <w:rFonts w:hint="eastAsia" w:ascii="宋体" w:hAnsi="宋体" w:eastAsia="宋体" w:cs="宋体"/>
          <w:kern w:val="0"/>
          <w:szCs w:val="21"/>
          <w:lang w:bidi="ar"/>
        </w:rPr>
        <w:t>解决实际问题为核心的融合算力应用型研究</w:t>
      </w:r>
      <w:r>
        <w:rPr>
          <w:rFonts w:hint="eastAsia" w:ascii="宋体" w:hAnsi="宋体" w:eastAsia="宋体" w:cs="宋体"/>
          <w:kern w:val="0"/>
          <w:szCs w:val="21"/>
          <w:lang w:eastAsia="zh-CN" w:bidi="ar"/>
        </w:rPr>
        <w:t>，</w:t>
      </w:r>
      <w:r>
        <w:rPr>
          <w:rFonts w:hint="eastAsia" w:ascii="宋体" w:hAnsi="宋体" w:eastAsia="宋体" w:cs="宋体"/>
          <w:kern w:val="0"/>
          <w:szCs w:val="21"/>
          <w:lang w:bidi="ar"/>
        </w:rPr>
        <w:t>从理论探索阶段逐步</w:t>
      </w:r>
      <w:r>
        <w:rPr>
          <w:rFonts w:hint="eastAsia" w:ascii="宋体" w:hAnsi="宋体" w:eastAsia="宋体" w:cs="宋体"/>
          <w:kern w:val="0"/>
          <w:szCs w:val="21"/>
          <w:lang w:val="en-US" w:eastAsia="zh-CN" w:bidi="ar"/>
        </w:rPr>
        <w:t>迈向</w:t>
      </w:r>
      <w:r>
        <w:rPr>
          <w:rFonts w:hint="eastAsia" w:ascii="宋体" w:hAnsi="宋体" w:eastAsia="宋体" w:cs="宋体"/>
          <w:kern w:val="0"/>
          <w:szCs w:val="21"/>
          <w:lang w:bidi="ar"/>
        </w:rPr>
        <w:t>实践应用阶段。</w:t>
      </w:r>
    </w:p>
    <w:p w14:paraId="746B1A97">
      <w:pPr>
        <w:ind w:firstLine="440"/>
        <w:rPr>
          <w:b/>
          <w:bCs/>
          <w:szCs w:val="21"/>
        </w:rPr>
      </w:pPr>
      <w:r>
        <w:rPr>
          <w:rFonts w:hint="eastAsia"/>
          <w:b/>
          <w:bCs/>
          <w:szCs w:val="21"/>
        </w:rPr>
        <w:t>1、德国：超算中心处全球领先水平，重点攻坚量超融合技术以提升计算性能</w:t>
      </w:r>
    </w:p>
    <w:p w14:paraId="5EB92755">
      <w:pPr>
        <w:ind w:firstLine="480"/>
        <w:rPr>
          <w:rFonts w:ascii="宋体" w:hAnsi="宋体" w:eastAsia="宋体" w:cs="宋体"/>
          <w:kern w:val="0"/>
          <w:szCs w:val="21"/>
          <w:lang w:bidi="ar"/>
        </w:rPr>
      </w:pPr>
      <w:r>
        <w:rPr>
          <w:rFonts w:hint="eastAsia" w:ascii="宋体" w:hAnsi="宋体" w:eastAsia="宋体" w:cs="宋体"/>
          <w:kern w:val="0"/>
          <w:szCs w:val="21"/>
          <w:lang w:bidi="ar"/>
        </w:rPr>
        <w:t>德国在量超融合领域进展迅速，早在1</w:t>
      </w:r>
      <w:r>
        <w:rPr>
          <w:rFonts w:ascii="宋体" w:hAnsi="宋体" w:eastAsia="宋体" w:cs="宋体"/>
          <w:kern w:val="0"/>
          <w:szCs w:val="21"/>
          <w:lang w:bidi="ar"/>
        </w:rPr>
        <w:t>962</w:t>
      </w:r>
      <w:r>
        <w:rPr>
          <w:rFonts w:hint="eastAsia" w:ascii="宋体" w:hAnsi="宋体" w:eastAsia="宋体" w:cs="宋体"/>
          <w:kern w:val="0"/>
          <w:szCs w:val="21"/>
          <w:lang w:bidi="ar"/>
        </w:rPr>
        <w:t>和1</w:t>
      </w:r>
      <w:r>
        <w:rPr>
          <w:rFonts w:ascii="宋体" w:hAnsi="宋体" w:eastAsia="宋体" w:cs="宋体"/>
          <w:kern w:val="0"/>
          <w:szCs w:val="21"/>
          <w:lang w:bidi="ar"/>
        </w:rPr>
        <w:t>987</w:t>
      </w:r>
      <w:r>
        <w:rPr>
          <w:rFonts w:hint="eastAsia" w:ascii="宋体" w:hAnsi="宋体" w:eastAsia="宋体" w:cs="宋体"/>
          <w:kern w:val="0"/>
          <w:szCs w:val="21"/>
          <w:lang w:bidi="ar"/>
        </w:rPr>
        <w:t>年就建设完成莱布尼茨（LRZ）和于利希（JSC）超算中心，</w:t>
      </w:r>
      <w:r>
        <w:rPr>
          <w:rFonts w:hint="eastAsia" w:ascii="宋体" w:hAnsi="宋体" w:eastAsia="宋体" w:cs="宋体"/>
          <w:kern w:val="0"/>
          <w:szCs w:val="21"/>
          <w:lang w:val="en-US" w:eastAsia="zh-CN" w:bidi="ar"/>
        </w:rPr>
        <w:t>在</w:t>
      </w:r>
      <w:r>
        <w:rPr>
          <w:rFonts w:hint="eastAsia" w:ascii="宋体" w:hAnsi="宋体" w:eastAsia="宋体" w:cs="宋体"/>
          <w:kern w:val="0"/>
          <w:szCs w:val="21"/>
          <w:lang w:bidi="ar"/>
        </w:rPr>
        <w:t>基础设施、技术积累等方面优势突出，</w:t>
      </w:r>
      <w:r>
        <w:rPr>
          <w:rFonts w:hint="eastAsia" w:ascii="宋体" w:hAnsi="宋体" w:eastAsia="宋体" w:cs="宋体"/>
          <w:kern w:val="0"/>
          <w:szCs w:val="21"/>
          <w:lang w:val="en-US" w:eastAsia="zh-CN" w:bidi="ar"/>
        </w:rPr>
        <w:t>处于</w:t>
      </w:r>
      <w:r>
        <w:rPr>
          <w:rFonts w:hint="eastAsia" w:ascii="宋体" w:hAnsi="宋体" w:eastAsia="宋体" w:cs="宋体"/>
          <w:kern w:val="0"/>
          <w:szCs w:val="21"/>
          <w:lang w:bidi="ar"/>
        </w:rPr>
        <w:t>全球领先水平。</w:t>
      </w:r>
    </w:p>
    <w:p w14:paraId="70DFC9E0">
      <w:pPr>
        <w:ind w:firstLine="480"/>
        <w:rPr>
          <w:rFonts w:ascii="宋体" w:hAnsi="宋体" w:eastAsia="宋体" w:cs="宋体"/>
          <w:kern w:val="0"/>
          <w:szCs w:val="21"/>
          <w:lang w:bidi="ar"/>
        </w:rPr>
      </w:pPr>
      <w:r>
        <w:rPr>
          <w:rFonts w:hint="eastAsia" w:ascii="宋体" w:hAnsi="宋体" w:eastAsia="宋体" w:cs="宋体"/>
          <w:kern w:val="0"/>
          <w:szCs w:val="21"/>
          <w:lang w:bidi="ar"/>
        </w:rPr>
        <w:t>LRZ超算中心致力于用量子处理器作为超算的加速器，推动前沿量子—经典混合计算架构的发展。与联想和英特尔合作，打造出曾在全球高性能计算TOP500榜单中排名第9的超级计算机SuperMUC-NG。计划在未来10年内推出比SuperMUC-NG强大5</w:t>
      </w:r>
      <w:r>
        <w:rPr>
          <w:rFonts w:ascii="宋体" w:hAnsi="宋体" w:eastAsia="宋体" w:cs="宋体"/>
          <w:kern w:val="0"/>
          <w:szCs w:val="21"/>
          <w:lang w:bidi="ar"/>
        </w:rPr>
        <w:t>-</w:t>
      </w:r>
      <w:r>
        <w:rPr>
          <w:rFonts w:hint="eastAsia" w:ascii="宋体" w:hAnsi="宋体" w:eastAsia="宋体" w:cs="宋体"/>
          <w:kern w:val="0"/>
          <w:szCs w:val="21"/>
          <w:lang w:bidi="ar"/>
        </w:rPr>
        <w:t>10倍的超大规模系统ExaMUC，并正在与包括联想在内的创新合作伙伴</w:t>
      </w:r>
      <w:r>
        <w:rPr>
          <w:rFonts w:hint="eastAsia" w:ascii="宋体" w:hAnsi="宋体" w:eastAsia="宋体" w:cs="宋体"/>
          <w:kern w:val="0"/>
          <w:szCs w:val="21"/>
          <w:lang w:val="en-US" w:eastAsia="zh-CN" w:bidi="ar"/>
        </w:rPr>
        <w:t>共同</w:t>
      </w:r>
      <w:r>
        <w:rPr>
          <w:rFonts w:hint="eastAsia" w:ascii="宋体" w:hAnsi="宋体" w:eastAsia="宋体" w:cs="宋体"/>
          <w:kern w:val="0"/>
          <w:szCs w:val="21"/>
          <w:lang w:bidi="ar"/>
        </w:rPr>
        <w:t>开发和优化原型。2</w:t>
      </w:r>
      <w:r>
        <w:rPr>
          <w:rFonts w:ascii="宋体" w:hAnsi="宋体" w:eastAsia="宋体" w:cs="宋体"/>
          <w:kern w:val="0"/>
          <w:szCs w:val="21"/>
          <w:lang w:bidi="ar"/>
        </w:rPr>
        <w:t>024</w:t>
      </w:r>
      <w:r>
        <w:rPr>
          <w:rFonts w:hint="eastAsia" w:ascii="宋体" w:hAnsi="宋体" w:eastAsia="宋体" w:cs="宋体"/>
          <w:kern w:val="0"/>
          <w:szCs w:val="21"/>
          <w:lang w:bidi="ar"/>
        </w:rPr>
        <w:t>年9月，慕尼黑量子谷（MQV）与LRZ合作，成功部署了首台离子阱量子计算机，标志着量子计算技术在超级计算中心的首次应用。</w:t>
      </w:r>
    </w:p>
    <w:p w14:paraId="4F66E4A5">
      <w:pPr>
        <w:ind w:firstLine="480"/>
        <w:rPr>
          <w:rFonts w:ascii="宋体" w:hAnsi="宋体" w:eastAsia="宋体" w:cs="宋体"/>
          <w:kern w:val="0"/>
          <w:szCs w:val="21"/>
          <w:lang w:bidi="ar"/>
        </w:rPr>
      </w:pPr>
      <w:r>
        <w:rPr>
          <w:rFonts w:hint="eastAsia" w:ascii="宋体" w:hAnsi="宋体" w:eastAsia="宋体" w:cs="宋体"/>
          <w:kern w:val="0"/>
          <w:szCs w:val="21"/>
          <w:lang w:bidi="ar"/>
        </w:rPr>
        <w:t>JSC超算中心已将量子计算纳入中心业务，2022年JSC购入的D-Wave量子退火机已投入使用，为研究人员提供基于云端的各种量子系统的访问权限。</w:t>
      </w:r>
    </w:p>
    <w:p w14:paraId="0ADEA316">
      <w:pPr>
        <w:rPr>
          <w:b/>
          <w:bCs/>
          <w:szCs w:val="21"/>
        </w:rPr>
      </w:pPr>
      <w:r>
        <w:rPr>
          <w:rFonts w:hint="eastAsia"/>
          <w:b/>
          <w:bCs/>
          <w:szCs w:val="21"/>
        </w:rPr>
        <w:t>2、美国：发力量超融合应用，在医药、化学、军事等多领域探索布局</w:t>
      </w:r>
    </w:p>
    <w:p w14:paraId="4A45F759">
      <w:pPr>
        <w:ind w:firstLine="480"/>
        <w:rPr>
          <w:rFonts w:ascii="宋体" w:hAnsi="宋体" w:eastAsia="宋体" w:cs="宋体"/>
          <w:kern w:val="0"/>
          <w:szCs w:val="21"/>
          <w:lang w:bidi="ar"/>
        </w:rPr>
      </w:pPr>
      <w:r>
        <w:rPr>
          <w:rFonts w:hint="eastAsia" w:ascii="宋体" w:hAnsi="宋体" w:eastAsia="宋体" w:cs="宋体"/>
          <w:kern w:val="0"/>
          <w:szCs w:val="21"/>
          <w:lang w:bidi="ar"/>
        </w:rPr>
        <w:t>美国拥有全球最多的超级计算中心及相关实验室，如美国国家超级计算应用中心、美国橡树岭国家实验室、美国阿贡国家实验室等。基础设施充分保障了美国在量超融合应用的进一步探索，目前已在医药、化学、军事等多领域布局。</w:t>
      </w:r>
    </w:p>
    <w:p w14:paraId="4724CAAE">
      <w:pPr>
        <w:ind w:firstLine="480"/>
        <w:rPr>
          <w:rFonts w:ascii="宋体" w:hAnsi="宋体" w:eastAsia="宋体" w:cs="宋体"/>
          <w:kern w:val="0"/>
          <w:szCs w:val="21"/>
          <w:lang w:bidi="ar"/>
        </w:rPr>
      </w:pPr>
      <w:r>
        <w:rPr>
          <w:rFonts w:hint="eastAsia" w:ascii="宋体" w:hAnsi="宋体" w:eastAsia="宋体" w:cs="宋体"/>
          <w:kern w:val="0"/>
          <w:szCs w:val="21"/>
          <w:lang w:bidi="ar"/>
        </w:rPr>
        <w:t>医药领域，戴尔公司和离子阱量子计算公司IonQ共同测试了混合经典-量子平台，该平台可以为药理学开发建模更大、更复杂的分子；Qubit Pharmaceuticals 公司使用基于英伟达量子优化设备架构的混合经典计算和量子计算构建平台Atlas以加速药物发现，通过量子&amp;经典混合方式，Atlas平台将计算速度提高了100000倍。</w:t>
      </w:r>
    </w:p>
    <w:p w14:paraId="7E71CAFB">
      <w:pPr>
        <w:ind w:firstLine="480"/>
        <w:rPr>
          <w:rFonts w:ascii="宋体" w:hAnsi="宋体" w:eastAsia="宋体" w:cs="宋体"/>
          <w:kern w:val="0"/>
          <w:szCs w:val="21"/>
          <w:lang w:bidi="ar"/>
        </w:rPr>
      </w:pPr>
      <w:r>
        <w:rPr>
          <w:rFonts w:hint="eastAsia" w:ascii="宋体" w:hAnsi="宋体" w:eastAsia="宋体" w:cs="宋体"/>
          <w:kern w:val="0"/>
          <w:szCs w:val="21"/>
          <w:lang w:bidi="ar"/>
        </w:rPr>
        <w:t>化学领域，2024年6月，IBM和Pasqal宣布合作开发一种以量子为中心的超级计算的通用方法并促进化学和材料科学的应用研究 。</w:t>
      </w:r>
    </w:p>
    <w:p w14:paraId="1926EFE3">
      <w:pPr>
        <w:ind w:firstLine="480"/>
        <w:rPr>
          <w:rFonts w:ascii="宋体" w:hAnsi="宋体" w:eastAsia="宋体" w:cs="宋体"/>
          <w:kern w:val="0"/>
          <w:szCs w:val="21"/>
          <w:lang w:bidi="ar"/>
        </w:rPr>
      </w:pPr>
      <w:r>
        <w:rPr>
          <w:rFonts w:hint="eastAsia"/>
          <w:bCs/>
          <w:szCs w:val="21"/>
        </w:rPr>
        <w:t>军</w:t>
      </w:r>
      <w:r>
        <w:rPr>
          <w:rFonts w:hint="eastAsia" w:ascii="宋体" w:hAnsi="宋体" w:eastAsia="宋体" w:cs="宋体"/>
          <w:kern w:val="0"/>
          <w:szCs w:val="21"/>
          <w:lang w:bidi="ar"/>
        </w:rPr>
        <w:t>事领域，</w:t>
      </w:r>
      <w:r>
        <w:rPr>
          <w:rFonts w:ascii="宋体" w:hAnsi="宋体" w:eastAsia="宋体" w:cs="宋体"/>
          <w:kern w:val="0"/>
          <w:szCs w:val="21"/>
          <w:lang w:bidi="ar"/>
        </w:rPr>
        <w:t>美国国防高级研究计划局资助了军用级量子激光器原型的开发，并计划建立专注于军事应用的量子计算卓越中心。</w:t>
      </w:r>
    </w:p>
    <w:p w14:paraId="1FE75591">
      <w:pPr>
        <w:rPr>
          <w:b/>
          <w:bCs/>
          <w:szCs w:val="21"/>
        </w:rPr>
      </w:pPr>
      <w:r>
        <w:rPr>
          <w:b/>
          <w:bCs/>
          <w:szCs w:val="21"/>
        </w:rPr>
        <w:t>3</w:t>
      </w:r>
      <w:r>
        <w:rPr>
          <w:rFonts w:hint="eastAsia"/>
          <w:b/>
          <w:bCs/>
          <w:szCs w:val="21"/>
        </w:rPr>
        <w:t>、日本：国立科研机构与企业深度合作，部署量子计算机及系统解决方案</w:t>
      </w:r>
    </w:p>
    <w:p w14:paraId="426AAD5D">
      <w:pPr>
        <w:rPr>
          <w:bCs/>
          <w:szCs w:val="21"/>
        </w:rPr>
      </w:pPr>
      <w:r>
        <w:rPr>
          <w:rFonts w:hint="eastAsia"/>
          <w:b/>
          <w:bCs/>
          <w:szCs w:val="21"/>
        </w:rPr>
        <w:t xml:space="preserve"> </w:t>
      </w:r>
      <w:r>
        <w:rPr>
          <w:b/>
          <w:bCs/>
          <w:szCs w:val="21"/>
        </w:rPr>
        <w:t xml:space="preserve">   </w:t>
      </w:r>
      <w:r>
        <w:rPr>
          <w:rFonts w:hint="eastAsia"/>
          <w:bCs/>
          <w:szCs w:val="21"/>
        </w:rPr>
        <w:t>日本在量超融合领域展现出了前瞻性布局，其产业技术综合研究所（AIST）成立了量子与人工智能融合技术业务发展全球研究中心，旨在推动新型融合计算技术的社会落地及业务发展。该中心不仅部署了专为运行量子模拟器设计的超级计算机，还与合作伙伴共同推进研发工作，以支持大型量子硬件的研发和评估。</w:t>
      </w:r>
    </w:p>
    <w:p w14:paraId="14986088">
      <w:pPr>
        <w:ind w:firstLine="420" w:firstLineChars="200"/>
        <w:rPr>
          <w:bCs/>
          <w:szCs w:val="21"/>
        </w:rPr>
      </w:pPr>
      <w:r>
        <w:rPr>
          <w:rFonts w:hint="eastAsia"/>
          <w:bCs/>
          <w:szCs w:val="21"/>
        </w:rPr>
        <w:t>富士通作为日本量子计算领域的领军企业，也展现出了在量超融合方面的强劲实力，与AIST签订了超导量子计算机订单，并致力于推动量子技术的研发和工业应用。此外，富士通还积极开发量子/HPC混合计算技术，以优化客户的工作负载选择，为量子化学等问题提供有效的解决方案。2023年，日本国立自然科学研究所也与富士通专家联合开展项目，计划在2025年之前将量子计算能力集成到富岳超级计算机中，旨在提高日本公司在尖端药物、材料和其他领域的竞争地位。</w:t>
      </w:r>
    </w:p>
    <w:p w14:paraId="01EB65E7">
      <w:pPr>
        <w:widowControl/>
        <w:numPr>
          <w:numId w:val="0"/>
        </w:numPr>
        <w:jc w:val="left"/>
        <w:rPr>
          <w:rFonts w:hint="eastAsia" w:ascii="宋体" w:hAnsi="宋体" w:eastAsia="宋体" w:cs="宋体"/>
          <w:b/>
          <w:bCs/>
          <w:kern w:val="0"/>
          <w:szCs w:val="21"/>
          <w:lang w:bidi="ar"/>
        </w:rPr>
      </w:pPr>
    </w:p>
    <w:p w14:paraId="3A8B570F">
      <w:pPr>
        <w:widowControl/>
        <w:numPr>
          <w:ilvl w:val="0"/>
          <w:numId w:val="1"/>
        </w:numPr>
        <w:ind w:left="420" w:leftChars="0" w:firstLine="0" w:firstLineChars="0"/>
        <w:jc w:val="left"/>
        <w:rPr>
          <w:rFonts w:hint="eastAsia" w:ascii="宋体" w:hAnsi="宋体" w:eastAsia="宋体" w:cs="宋体"/>
          <w:b/>
          <w:bCs/>
          <w:kern w:val="0"/>
          <w:szCs w:val="21"/>
          <w:lang w:bidi="ar"/>
        </w:rPr>
      </w:pPr>
      <w:r>
        <w:rPr>
          <w:rFonts w:hint="eastAsia" w:ascii="宋体" w:hAnsi="宋体" w:eastAsia="宋体" w:cs="宋体"/>
          <w:b/>
          <w:bCs/>
          <w:kern w:val="0"/>
          <w:szCs w:val="21"/>
          <w:lang w:bidi="ar"/>
        </w:rPr>
        <w:t>我国量超融合的发展现状</w:t>
      </w:r>
    </w:p>
    <w:p w14:paraId="2232608E">
      <w:pPr>
        <w:ind w:firstLine="420" w:firstLineChars="200"/>
        <w:rPr>
          <w:rFonts w:hint="eastAsia" w:ascii="宋体" w:hAnsi="宋体" w:eastAsia="宋体" w:cs="宋体"/>
          <w:kern w:val="0"/>
          <w:szCs w:val="21"/>
          <w:lang w:bidi="ar"/>
        </w:rPr>
      </w:pPr>
      <w:r>
        <w:rPr>
          <w:rFonts w:hint="eastAsia" w:ascii="宋体" w:hAnsi="宋体" w:eastAsia="宋体" w:cs="宋体"/>
          <w:kern w:val="0"/>
          <w:szCs w:val="21"/>
          <w:lang w:bidi="ar"/>
        </w:rPr>
        <w:t>对比国外</w:t>
      </w:r>
      <w:r>
        <w:rPr>
          <w:rFonts w:hint="eastAsia" w:ascii="宋体" w:hAnsi="宋体" w:eastAsia="宋体" w:cs="宋体"/>
          <w:kern w:val="0"/>
          <w:szCs w:val="21"/>
          <w:lang w:val="en-US" w:eastAsia="zh-CN" w:bidi="ar"/>
        </w:rPr>
        <w:t>领先国家</w:t>
      </w:r>
      <w:r>
        <w:rPr>
          <w:rFonts w:hint="eastAsia" w:ascii="宋体" w:hAnsi="宋体" w:eastAsia="宋体" w:cs="宋体"/>
          <w:kern w:val="0"/>
          <w:szCs w:val="21"/>
          <w:lang w:bidi="ar"/>
        </w:rPr>
        <w:t>，我国在量超融合领域的发展起步较晚，国家层面统筹推动较少，相关落地项目也规划较少，量子计算与经典计算协同等关键技术也面临</w:t>
      </w:r>
      <w:r>
        <w:rPr>
          <w:rFonts w:hint="eastAsia" w:ascii="宋体" w:hAnsi="宋体" w:eastAsia="宋体" w:cs="宋体"/>
          <w:kern w:val="0"/>
          <w:szCs w:val="21"/>
          <w:lang w:val="en-US" w:eastAsia="zh-CN" w:bidi="ar"/>
        </w:rPr>
        <w:t>着来自</w:t>
      </w:r>
      <w:r>
        <w:rPr>
          <w:rFonts w:hint="eastAsia" w:ascii="宋体" w:hAnsi="宋体" w:eastAsia="宋体" w:cs="宋体"/>
          <w:kern w:val="0"/>
          <w:szCs w:val="21"/>
          <w:lang w:bidi="ar"/>
        </w:rPr>
        <w:t>欧美国家的竞争和封锁。但从目前积累来看，我国已具备超算中心、量超融合软硬件等多方面基础条件，在量超融合领域仍有较大潜力和发展空间。</w:t>
      </w:r>
    </w:p>
    <w:p w14:paraId="3185ED31">
      <w:pPr>
        <w:rPr>
          <w:bCs/>
          <w:szCs w:val="21"/>
        </w:rPr>
      </w:pPr>
      <w:r>
        <w:rPr>
          <w:rFonts w:hint="eastAsia"/>
          <w:b/>
          <w:bCs/>
          <w:szCs w:val="21"/>
        </w:rPr>
        <w:t xml:space="preserve"> </w:t>
      </w:r>
      <w:r>
        <w:rPr>
          <w:b/>
          <w:bCs/>
          <w:szCs w:val="21"/>
        </w:rPr>
        <w:t xml:space="preserve">  </w:t>
      </w:r>
      <w:r>
        <w:rPr>
          <w:rFonts w:hint="eastAsia"/>
          <w:bCs/>
          <w:szCs w:val="21"/>
        </w:rPr>
        <w:t>目前，中国已建设多个超算中心，如中国安徽省量子计算工程研究中心、上海超级计算中心等，为推动量超融合奠定了良好基础。</w:t>
      </w:r>
    </w:p>
    <w:p w14:paraId="0F4F1542">
      <w:pPr>
        <w:ind w:firstLine="422" w:firstLineChars="200"/>
        <w:rPr>
          <w:bCs/>
          <w:szCs w:val="21"/>
        </w:rPr>
      </w:pPr>
      <w:r>
        <w:rPr>
          <w:rFonts w:hint="eastAsia"/>
          <w:b/>
          <w:szCs w:val="21"/>
        </w:rPr>
        <w:t>在量超融合软硬件方面，</w:t>
      </w:r>
      <w:r>
        <w:rPr>
          <w:rFonts w:hint="eastAsia"/>
          <w:bCs/>
          <w:szCs w:val="21"/>
        </w:rPr>
        <w:t>我国</w:t>
      </w:r>
      <w:r>
        <w:rPr>
          <w:bCs/>
          <w:szCs w:val="21"/>
        </w:rPr>
        <w:t>已研发出一系列具有自主知识产权的量子计算设备</w:t>
      </w:r>
      <w:r>
        <w:rPr>
          <w:rFonts w:hint="eastAsia"/>
          <w:bCs/>
          <w:szCs w:val="21"/>
        </w:rPr>
        <w:t>和</w:t>
      </w:r>
      <w:r>
        <w:rPr>
          <w:bCs/>
          <w:szCs w:val="21"/>
        </w:rPr>
        <w:t>超算系统</w:t>
      </w:r>
      <w:r>
        <w:rPr>
          <w:rFonts w:hint="eastAsia"/>
          <w:bCs/>
          <w:szCs w:val="21"/>
        </w:rPr>
        <w:t>。量子计算机方面，2</w:t>
      </w:r>
      <w:r>
        <w:rPr>
          <w:bCs/>
          <w:szCs w:val="21"/>
        </w:rPr>
        <w:t>024</w:t>
      </w:r>
      <w:r>
        <w:rPr>
          <w:rFonts w:hint="eastAsia"/>
          <w:bCs/>
          <w:szCs w:val="21"/>
        </w:rPr>
        <w:t>年1</w:t>
      </w:r>
      <w:r>
        <w:rPr>
          <w:bCs/>
          <w:szCs w:val="21"/>
        </w:rPr>
        <w:t>0</w:t>
      </w:r>
      <w:r>
        <w:rPr>
          <w:rFonts w:hint="eastAsia"/>
          <w:bCs/>
          <w:szCs w:val="21"/>
        </w:rPr>
        <w:t>月我国首条超导量子计算机制造链启动升级扩建，自主量子芯片生产、整机组装等超导量子计算机制造核心环节将进一步提升；系统软件方面，2023年8月中微达信与信大协同推出了国内首个适用于经典超级计算机、支持多路量子操控和读出的全新“量超协同”的融合计算测控单元，能实现高效协同以完成异构计算任务。</w:t>
      </w:r>
    </w:p>
    <w:p w14:paraId="4AF64471">
      <w:pPr>
        <w:ind w:firstLine="422" w:firstLineChars="200"/>
        <w:rPr>
          <w:rFonts w:hint="eastAsia"/>
          <w:szCs w:val="21"/>
        </w:rPr>
      </w:pPr>
      <w:r>
        <w:rPr>
          <w:rFonts w:hint="eastAsia"/>
          <w:b/>
          <w:szCs w:val="21"/>
        </w:rPr>
        <w:t>在平台方面，</w:t>
      </w:r>
      <w:r>
        <w:rPr>
          <w:rFonts w:hint="eastAsia"/>
          <w:szCs w:val="21"/>
        </w:rPr>
        <w:t>2</w:t>
      </w:r>
      <w:r>
        <w:rPr>
          <w:szCs w:val="21"/>
        </w:rPr>
        <w:t>023</w:t>
      </w:r>
      <w:r>
        <w:rPr>
          <w:rFonts w:hint="eastAsia"/>
          <w:szCs w:val="21"/>
        </w:rPr>
        <w:t>年9月，</w:t>
      </w:r>
      <w:r>
        <w:rPr>
          <w:rFonts w:ascii="Helvetica" w:hAnsi="Helvetica" w:cs="Helvetica"/>
          <w:color w:val="333333"/>
          <w:szCs w:val="21"/>
          <w:shd w:val="clear" w:color="auto" w:fill="FFFFFF"/>
        </w:rPr>
        <w:t>由本源量子联合上海超级计算中心、国家超级计算郑州中心</w:t>
      </w:r>
      <w:r>
        <w:rPr>
          <w:rFonts w:hint="eastAsia" w:ascii="Helvetica" w:hAnsi="Helvetica" w:cs="Helvetica"/>
          <w:color w:val="333333"/>
          <w:szCs w:val="21"/>
          <w:shd w:val="clear" w:color="auto" w:fill="FFFFFF"/>
        </w:rPr>
        <w:t>、</w:t>
      </w:r>
      <w:r>
        <w:rPr>
          <w:rFonts w:ascii="Helvetica" w:hAnsi="Helvetica" w:cs="Helvetica"/>
          <w:color w:val="333333"/>
          <w:szCs w:val="21"/>
          <w:shd w:val="clear" w:color="auto" w:fill="FFFFFF"/>
        </w:rPr>
        <w:t>移动云能力中心共同打造</w:t>
      </w:r>
      <w:r>
        <w:rPr>
          <w:rFonts w:hint="eastAsia" w:ascii="Helvetica" w:hAnsi="Helvetica" w:cs="Helvetica"/>
          <w:color w:val="333333"/>
          <w:szCs w:val="21"/>
          <w:shd w:val="clear" w:color="auto" w:fill="FFFFFF"/>
        </w:rPr>
        <w:t>的</w:t>
      </w:r>
      <w:r>
        <w:rPr>
          <w:rStyle w:val="13"/>
          <w:rFonts w:ascii="Helvetica" w:hAnsi="Helvetica" w:cs="Helvetica"/>
          <w:color w:val="333333"/>
          <w:szCs w:val="21"/>
          <w:shd w:val="clear" w:color="auto" w:fill="FFFFFF"/>
        </w:rPr>
        <w:t>量超融合先进计算平台正式发布上线</w:t>
      </w:r>
      <w:r>
        <w:rPr>
          <w:rStyle w:val="13"/>
          <w:rFonts w:hint="eastAsia" w:ascii="Helvetica" w:hAnsi="Helvetica" w:cs="Helvetica"/>
          <w:color w:val="333333"/>
          <w:szCs w:val="21"/>
          <w:shd w:val="clear" w:color="auto" w:fill="FFFFFF"/>
        </w:rPr>
        <w:t>，</w:t>
      </w:r>
      <w:r>
        <w:rPr>
          <w:rFonts w:ascii="Helvetica" w:hAnsi="Helvetica" w:cs="Helvetica"/>
          <w:color w:val="333333"/>
          <w:szCs w:val="21"/>
          <w:shd w:val="clear" w:color="auto" w:fill="FFFFFF"/>
        </w:rPr>
        <w:t>可便捷利用各计算体系优势，综合提升计算速度</w:t>
      </w:r>
      <w:r>
        <w:rPr>
          <w:rFonts w:hint="eastAsia" w:ascii="Helvetica" w:hAnsi="Helvetica" w:cs="Helvetica"/>
          <w:color w:val="333333"/>
          <w:szCs w:val="21"/>
          <w:shd w:val="clear" w:color="auto" w:fill="FFFFFF"/>
        </w:rPr>
        <w:t>、</w:t>
      </w:r>
      <w:r>
        <w:rPr>
          <w:rFonts w:ascii="Helvetica" w:hAnsi="Helvetica" w:cs="Helvetica"/>
          <w:color w:val="333333"/>
          <w:szCs w:val="21"/>
          <w:shd w:val="clear" w:color="auto" w:fill="FFFFFF"/>
        </w:rPr>
        <w:t>增强算力</w:t>
      </w:r>
      <w:r>
        <w:rPr>
          <w:rFonts w:hint="eastAsia" w:ascii="Helvetica" w:hAnsi="Helvetica" w:cs="Helvetica"/>
          <w:color w:val="333333"/>
          <w:szCs w:val="21"/>
          <w:shd w:val="clear" w:color="auto" w:fill="FFFFFF"/>
        </w:rPr>
        <w:t>。</w:t>
      </w:r>
      <w:r>
        <w:rPr>
          <w:rFonts w:hint="eastAsia"/>
          <w:bCs/>
          <w:szCs w:val="21"/>
        </w:rPr>
        <w:t>中国移动、中国电信</w:t>
      </w:r>
      <w:r>
        <w:rPr>
          <w:rFonts w:hint="eastAsia"/>
          <w:bCs/>
          <w:szCs w:val="21"/>
          <w:lang w:val="en-US" w:eastAsia="zh-CN"/>
        </w:rPr>
        <w:t>也</w:t>
      </w:r>
      <w:r>
        <w:rPr>
          <w:rFonts w:hint="eastAsia"/>
          <w:bCs/>
          <w:szCs w:val="21"/>
        </w:rPr>
        <w:t>相继</w:t>
      </w:r>
      <w:r>
        <w:rPr>
          <w:rFonts w:hint="eastAsia"/>
          <w:bCs/>
          <w:szCs w:val="21"/>
          <w:lang w:val="en-US" w:eastAsia="zh-CN"/>
        </w:rPr>
        <w:t>与头部量子科技公司合作</w:t>
      </w:r>
      <w:r>
        <w:rPr>
          <w:rFonts w:hint="eastAsia"/>
          <w:bCs/>
          <w:szCs w:val="21"/>
        </w:rPr>
        <w:t>推出了量子计算云平台，实现了经典算力与量子算力融合。</w:t>
      </w:r>
    </w:p>
    <w:p w14:paraId="3058B0C3">
      <w:pPr>
        <w:ind w:firstLine="422" w:firstLineChars="200"/>
        <w:rPr>
          <w:bCs/>
          <w:szCs w:val="21"/>
        </w:rPr>
      </w:pPr>
      <w:r>
        <w:rPr>
          <w:rFonts w:hint="eastAsia"/>
          <w:b/>
          <w:szCs w:val="21"/>
        </w:rPr>
        <w:t>在应用方面，</w:t>
      </w:r>
      <w:r>
        <w:rPr>
          <w:rFonts w:hint="eastAsia"/>
          <w:bCs/>
          <w:szCs w:val="21"/>
        </w:rPr>
        <w:t>今年启科量子已联合中交大数据等共建“量超融合”算力枢纽中心，服务国家交通运输、海事、港口、航运等行业的信息化、智能化发展，并不断打造面向智慧城市交通管理、智慧海事、智慧航运、智慧港口、交通运输大数据应用等一系列产品及能力。</w:t>
      </w:r>
    </w:p>
    <w:p w14:paraId="635C689E">
      <w:pPr>
        <w:widowControl/>
        <w:jc w:val="left"/>
        <w:rPr>
          <w:rFonts w:ascii="宋体" w:hAnsi="宋体" w:eastAsia="宋体" w:cs="宋体"/>
          <w:kern w:val="0"/>
          <w:szCs w:val="21"/>
          <w:lang w:bidi="ar"/>
        </w:rPr>
      </w:pPr>
    </w:p>
    <w:p w14:paraId="376380E3">
      <w:pPr>
        <w:widowControl/>
        <w:numPr>
          <w:ilvl w:val="0"/>
          <w:numId w:val="1"/>
        </w:numPr>
        <w:jc w:val="left"/>
        <w:rPr>
          <w:rFonts w:ascii="宋体" w:hAnsi="宋体" w:eastAsia="宋体" w:cs="宋体"/>
          <w:b/>
          <w:bCs/>
          <w:kern w:val="0"/>
          <w:szCs w:val="21"/>
          <w:lang w:bidi="ar"/>
        </w:rPr>
      </w:pPr>
      <w:r>
        <w:rPr>
          <w:rFonts w:hint="eastAsia" w:ascii="宋体" w:hAnsi="宋体" w:eastAsia="宋体" w:cs="宋体"/>
          <w:b/>
          <w:bCs/>
          <w:kern w:val="0"/>
          <w:szCs w:val="21"/>
          <w:lang w:bidi="ar"/>
        </w:rPr>
        <w:t>推动我国量超融合的发展建议</w:t>
      </w:r>
    </w:p>
    <w:p w14:paraId="6C3E5130">
      <w:pPr>
        <w:widowControl/>
        <w:ind w:firstLine="420" w:firstLineChars="200"/>
        <w:jc w:val="left"/>
        <w:rPr>
          <w:rFonts w:ascii="宋体" w:hAnsi="宋体" w:eastAsia="宋体" w:cs="宋体"/>
          <w:kern w:val="0"/>
          <w:szCs w:val="21"/>
          <w:lang w:bidi="ar"/>
        </w:rPr>
      </w:pPr>
      <w:r>
        <w:rPr>
          <w:rFonts w:hint="eastAsia" w:ascii="宋体" w:hAnsi="宋体" w:eastAsia="宋体" w:cs="宋体"/>
          <w:kern w:val="0"/>
          <w:szCs w:val="21"/>
          <w:lang w:bidi="ar"/>
        </w:rPr>
        <w:t>为推动我国在“量超融合”赛道加速发展，形成强大算力支撑，应从国家层面加强统筹规划，牵头出台相关研发及应用战略性支持政策。首先，加快超级计算中心的投资规划建设，为发展量超融合提供基础设施保障；其次，启动国家级量超融合项目，积极部署超算中心与国产量子计算机融合的量超融合算力中心，并在探索气象预测、生物医药、材料科学等领域的应用型研究，推动相关行业突破和产业发展；最后，从长远发展来看还应开展对“量超融合”人才的培养规划，在具备量子计算机的企业和科研院所中以项目形式率先开展相关人才的培养，同时为未来即将配备量子计算教研平台的高校制定系统性培养方案。</w:t>
      </w:r>
    </w:p>
    <w:p w14:paraId="6983D7E9">
      <w:pPr>
        <w:widowControl/>
        <w:ind w:firstLine="420" w:firstLineChars="200"/>
        <w:jc w:val="left"/>
        <w:rPr>
          <w:szCs w:val="21"/>
        </w:rPr>
      </w:pPr>
      <w:r>
        <w:rPr>
          <w:rFonts w:hint="eastAsia" w:ascii="宋体" w:hAnsi="宋体" w:eastAsia="宋体" w:cs="宋体"/>
          <w:kern w:val="0"/>
          <w:szCs w:val="21"/>
          <w:lang w:bidi="ar"/>
        </w:rPr>
        <w:t>对运营商来说，目前已相继开始量超融合布局并取得重大突破。中国电信推出基于超量混合云架构的“天衍”量子计算云平台，实现了超算和量子计算在云上混合调度，加速量子计算在化学研究、医药研发、气象模拟等场景的应用；中国移动基于“五岳”量子云平台与玻色量子实现量子算力并网，通过移动云对外提供光量子计算机的算力资源服务。未来运营商应加强“量超融合”领域的研发及应用，持续提升量子计算云平台性能，积极推动通、智、超、量一体化并网，实现算力资源的协同调度与高效计算，赋能更多实用化场景应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8A4247"/>
    <w:multiLevelType w:val="singleLevel"/>
    <w:tmpl w:val="488A4247"/>
    <w:lvl w:ilvl="0" w:tentative="0">
      <w:start w:val="1"/>
      <w:numFmt w:val="chineseCounting"/>
      <w:suff w:val="nothing"/>
      <w:lvlText w:val="%1、"/>
      <w:lvlJc w:val="left"/>
      <w:pPr>
        <w:ind w:left="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Yjg0YmQ5ZGZkNmRiOGJhYzg0MWE1OThkOWU3MGMifQ=="/>
  </w:docVars>
  <w:rsids>
    <w:rsidRoot w:val="00F42F0E"/>
    <w:rsid w:val="00033C28"/>
    <w:rsid w:val="00041E2A"/>
    <w:rsid w:val="0009010B"/>
    <w:rsid w:val="000B49C9"/>
    <w:rsid w:val="000D21CA"/>
    <w:rsid w:val="000F1C8D"/>
    <w:rsid w:val="000F64C9"/>
    <w:rsid w:val="00125B37"/>
    <w:rsid w:val="00146479"/>
    <w:rsid w:val="001579F3"/>
    <w:rsid w:val="00203A3E"/>
    <w:rsid w:val="00206568"/>
    <w:rsid w:val="00242E87"/>
    <w:rsid w:val="00244185"/>
    <w:rsid w:val="00247FBC"/>
    <w:rsid w:val="002D2F6F"/>
    <w:rsid w:val="002E1D9E"/>
    <w:rsid w:val="002E3295"/>
    <w:rsid w:val="003875F4"/>
    <w:rsid w:val="003A470A"/>
    <w:rsid w:val="003D0C70"/>
    <w:rsid w:val="00414841"/>
    <w:rsid w:val="00443F7E"/>
    <w:rsid w:val="004C09A2"/>
    <w:rsid w:val="004E005F"/>
    <w:rsid w:val="004F061D"/>
    <w:rsid w:val="004F4475"/>
    <w:rsid w:val="00500C1C"/>
    <w:rsid w:val="00512AC2"/>
    <w:rsid w:val="00513AED"/>
    <w:rsid w:val="0054742D"/>
    <w:rsid w:val="00560CDD"/>
    <w:rsid w:val="005A15D8"/>
    <w:rsid w:val="005A4E12"/>
    <w:rsid w:val="005A79ED"/>
    <w:rsid w:val="005C3D30"/>
    <w:rsid w:val="006177BB"/>
    <w:rsid w:val="00634898"/>
    <w:rsid w:val="00656134"/>
    <w:rsid w:val="006C4831"/>
    <w:rsid w:val="006F1B42"/>
    <w:rsid w:val="00720664"/>
    <w:rsid w:val="00752E4D"/>
    <w:rsid w:val="007C7763"/>
    <w:rsid w:val="007D1D99"/>
    <w:rsid w:val="00800E78"/>
    <w:rsid w:val="00807E11"/>
    <w:rsid w:val="00817020"/>
    <w:rsid w:val="00854A28"/>
    <w:rsid w:val="008A1B9E"/>
    <w:rsid w:val="00907D1D"/>
    <w:rsid w:val="009167DC"/>
    <w:rsid w:val="00917AB3"/>
    <w:rsid w:val="00927553"/>
    <w:rsid w:val="009475A3"/>
    <w:rsid w:val="009625F6"/>
    <w:rsid w:val="00990389"/>
    <w:rsid w:val="009A0A96"/>
    <w:rsid w:val="009B2F64"/>
    <w:rsid w:val="009D6AB3"/>
    <w:rsid w:val="00A049AE"/>
    <w:rsid w:val="00A32224"/>
    <w:rsid w:val="00A365ED"/>
    <w:rsid w:val="00A60374"/>
    <w:rsid w:val="00A67CA9"/>
    <w:rsid w:val="00A83149"/>
    <w:rsid w:val="00AC4650"/>
    <w:rsid w:val="00AD6BDC"/>
    <w:rsid w:val="00BA07B0"/>
    <w:rsid w:val="00BB00CB"/>
    <w:rsid w:val="00BB238F"/>
    <w:rsid w:val="00BB748E"/>
    <w:rsid w:val="00C340D4"/>
    <w:rsid w:val="00C45210"/>
    <w:rsid w:val="00C770AC"/>
    <w:rsid w:val="00D50887"/>
    <w:rsid w:val="00D52034"/>
    <w:rsid w:val="00DB2958"/>
    <w:rsid w:val="00DC30EB"/>
    <w:rsid w:val="00DE4199"/>
    <w:rsid w:val="00E466C1"/>
    <w:rsid w:val="00ED0207"/>
    <w:rsid w:val="00F0185D"/>
    <w:rsid w:val="00F140E9"/>
    <w:rsid w:val="00F42F0E"/>
    <w:rsid w:val="00F62373"/>
    <w:rsid w:val="00F735B9"/>
    <w:rsid w:val="00FB6B0F"/>
    <w:rsid w:val="00FF76BC"/>
    <w:rsid w:val="06441289"/>
    <w:rsid w:val="0C752D71"/>
    <w:rsid w:val="0FBA04D3"/>
    <w:rsid w:val="1CB87B8F"/>
    <w:rsid w:val="287E78B7"/>
    <w:rsid w:val="289B5A1A"/>
    <w:rsid w:val="2932578B"/>
    <w:rsid w:val="2A2E6EC4"/>
    <w:rsid w:val="3107511F"/>
    <w:rsid w:val="34854488"/>
    <w:rsid w:val="38086694"/>
    <w:rsid w:val="3F166ED8"/>
    <w:rsid w:val="464C1081"/>
    <w:rsid w:val="51C31FBC"/>
    <w:rsid w:val="601414FE"/>
    <w:rsid w:val="72164BBD"/>
    <w:rsid w:val="7D91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10"/>
    <w:qFormat/>
    <w:uiPriority w:val="0"/>
    <w:rPr>
      <w:sz w:val="18"/>
      <w:szCs w:val="18"/>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Autospacing="1" w:afterAutospacing="1"/>
      <w:jc w:val="left"/>
    </w:pPr>
    <w:rPr>
      <w:rFonts w:cs="Times New Roman"/>
      <w:kern w:val="0"/>
      <w:sz w:val="24"/>
    </w:rPr>
  </w:style>
  <w:style w:type="character" w:styleId="9">
    <w:name w:val="annotation reference"/>
    <w:basedOn w:val="8"/>
    <w:qFormat/>
    <w:uiPriority w:val="0"/>
    <w:rPr>
      <w:sz w:val="21"/>
      <w:szCs w:val="21"/>
    </w:rPr>
  </w:style>
  <w:style w:type="character" w:customStyle="1" w:styleId="10">
    <w:name w:val="批注框文本 字符"/>
    <w:basedOn w:val="8"/>
    <w:link w:val="3"/>
    <w:qFormat/>
    <w:uiPriority w:val="0"/>
    <w:rPr>
      <w:rFonts w:asciiTheme="minorHAnsi" w:hAnsiTheme="minorHAnsi" w:eastAsiaTheme="minorEastAsia" w:cstheme="minorBidi"/>
      <w:kern w:val="2"/>
      <w:sz w:val="18"/>
      <w:szCs w:val="18"/>
    </w:rPr>
  </w:style>
  <w:style w:type="character" w:customStyle="1" w:styleId="11">
    <w:name w:val="页眉 字符"/>
    <w:basedOn w:val="8"/>
    <w:link w:val="5"/>
    <w:qFormat/>
    <w:uiPriority w:val="0"/>
    <w:rPr>
      <w:rFonts w:asciiTheme="minorHAnsi" w:hAnsiTheme="minorHAnsi" w:eastAsiaTheme="minorEastAsia" w:cstheme="minorBidi"/>
      <w:kern w:val="2"/>
      <w:sz w:val="18"/>
      <w:szCs w:val="18"/>
    </w:rPr>
  </w:style>
  <w:style w:type="character" w:customStyle="1" w:styleId="12">
    <w:name w:val="页脚 字符"/>
    <w:basedOn w:val="8"/>
    <w:link w:val="4"/>
    <w:qFormat/>
    <w:uiPriority w:val="0"/>
    <w:rPr>
      <w:rFonts w:asciiTheme="minorHAnsi" w:hAnsiTheme="minorHAnsi" w:eastAsiaTheme="minorEastAsia" w:cstheme="minorBidi"/>
      <w:kern w:val="2"/>
      <w:sz w:val="18"/>
      <w:szCs w:val="18"/>
    </w:rPr>
  </w:style>
  <w:style w:type="character" w:customStyle="1" w:styleId="13">
    <w:name w:val="text_h038s"/>
    <w:basedOn w:val="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2789</Words>
  <Characters>2934</Characters>
  <Lines>21</Lines>
  <Paragraphs>5</Paragraphs>
  <TotalTime>11</TotalTime>
  <ScaleCrop>false</ScaleCrop>
  <LinksUpToDate>false</LinksUpToDate>
  <CharactersWithSpaces>2944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2024-09-09T02:33:00Z</dcterms:created>
  <dc:creator>彭淇</dc:creator>
  <cp:lastModifiedBy>PQ</cp:lastModifiedBy>
  <dcterms:modified xsi:type="dcterms:W3CDTF">2024-10-24T08:19:20Z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0D8B158A47E44424AA4D46D9B629702F_13</vt:lpwstr>
  </property>
</Properties>
</file>