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"/>
        <w:spacing w:before="210" w:line="18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全球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Open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RAN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 xml:space="preserve"> 的发展驱动力分析及建议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2475"/>
        <w:spacing w:before="109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李为民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陈元谋  施宇</w:t>
      </w:r>
      <w:r>
        <w:rPr>
          <w:rFonts w:ascii="STKaiti" w:hAnsi="STKaiti" w:eastAsia="STKaiti" w:cs="STKaiti"/>
          <w:sz w:val="30"/>
          <w:szCs w:val="30"/>
          <w:spacing w:val="1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韩琳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一、事件回顾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23" w:right="252" w:firstLine="596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2023 </w:t>
      </w:r>
      <w:r>
        <w:rPr>
          <w:spacing w:val="-7"/>
        </w:rPr>
        <w:t>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  </w:t>
      </w:r>
      <w:r>
        <w:rPr>
          <w:spacing w:val="-7"/>
        </w:rPr>
        <w:t>日，美国移动运营商巨头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AT&amp;T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8"/>
        </w:rPr>
        <w:t>宣布已与爱</w:t>
      </w:r>
      <w:r>
        <w:rPr>
          <w:spacing w:val="-7"/>
        </w:rPr>
        <w:t>立信签署总支出近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140 </w:t>
      </w:r>
      <w:r>
        <w:rPr>
          <w:spacing w:val="-7"/>
        </w:rPr>
        <w:t>亿美元（约 </w:t>
      </w:r>
      <w:r>
        <w:rPr>
          <w:rFonts w:ascii="Times New Roman" w:hAnsi="Times New Roman" w:eastAsia="Times New Roman" w:cs="Times New Roman"/>
          <w:spacing w:val="-7"/>
        </w:rPr>
        <w:t>1000  </w:t>
      </w:r>
      <w:r>
        <w:rPr>
          <w:spacing w:val="-7"/>
        </w:rPr>
        <w:t>亿元人民币）、为期五</w:t>
      </w:r>
      <w:r>
        <w:rPr>
          <w:spacing w:val="-9"/>
        </w:rPr>
        <w:t>年的合同，从而建设一个支持 </w:t>
      </w:r>
      <w:r>
        <w:rPr>
          <w:rFonts w:ascii="Times New Roman" w:hAnsi="Times New Roman" w:eastAsia="Times New Roman" w:cs="Times New Roman"/>
          <w:spacing w:val="-9"/>
        </w:rPr>
        <w:t>Open RAN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9"/>
        </w:rPr>
        <w:t>的电信网络，预计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2024</w:t>
      </w:r>
      <w:r>
        <w:rPr>
          <w:spacing w:val="-2"/>
        </w:rPr>
        <w:t>年开始运营集成爱立信和富士通的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2"/>
        </w:rPr>
        <w:t>站点；</w:t>
      </w:r>
      <w:r>
        <w:rPr>
          <w:rFonts w:ascii="Times New Roman" w:hAnsi="Times New Roman" w:eastAsia="Times New Roman" w:cs="Times New Roman"/>
          <w:spacing w:val="-2"/>
        </w:rPr>
        <w:t>2025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年将</w:t>
      </w:r>
      <w:r>
        <w:rPr>
          <w:spacing w:val="-16"/>
        </w:rPr>
        <w:t>与供应商如康宁公司、戴尔科技、爱立信、富士</w:t>
      </w:r>
      <w:r>
        <w:rPr>
          <w:spacing w:val="-17"/>
        </w:rPr>
        <w:t>通和英特尔协调，</w:t>
      </w:r>
      <w:r>
        <w:rPr/>
        <w:t>将 </w:t>
      </w:r>
      <w:r>
        <w:rPr>
          <w:rFonts w:ascii="Times New Roman" w:hAnsi="Times New Roman" w:eastAsia="Times New Roman" w:cs="Times New Roman"/>
        </w:rPr>
        <w:t>Open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RAN  </w:t>
      </w:r>
      <w:r>
        <w:rPr/>
        <w:t>环境扩展到其所有无线网络中；到 </w:t>
      </w:r>
      <w:r>
        <w:rPr>
          <w:rFonts w:ascii="Times New Roman" w:hAnsi="Times New Roman" w:eastAsia="Times New Roman" w:cs="Times New Roman"/>
        </w:rPr>
        <w:t>2026  </w:t>
      </w:r>
      <w:r>
        <w:rPr/>
        <w:t>年</w:t>
      </w:r>
      <w:r>
        <w:rPr>
          <w:spacing w:val="-1"/>
        </w:rPr>
        <w:t>底，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  </w:t>
      </w:r>
      <w:r>
        <w:rPr>
          <w:spacing w:val="-2"/>
        </w:rPr>
        <w:t>网络将覆盖其在美国境内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70%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3"/>
        </w:rPr>
        <w:t>的无线流量。本次事</w:t>
      </w:r>
      <w:r>
        <w:rPr>
          <w:spacing w:val="-6"/>
        </w:rPr>
        <w:t>件导致诺基亚在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AT&amp;T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的份额将被爱立信取代。</w:t>
      </w:r>
    </w:p>
    <w:p>
      <w:pPr>
        <w:pStyle w:val="BodyText"/>
        <w:ind w:left="19" w:firstLine="608"/>
        <w:spacing w:before="303" w:line="332" w:lineRule="auto"/>
        <w:jc w:val="both"/>
        <w:rPr/>
      </w:pPr>
      <w:r>
        <w:rPr>
          <w:spacing w:val="-3"/>
        </w:rPr>
        <w:t>美国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3"/>
        </w:rPr>
        <w:t>市场竞争的加剧将带来更多的创新和更高的效</w:t>
      </w:r>
      <w:r>
        <w:rPr>
          <w:spacing w:val="-4"/>
        </w:rPr>
        <w:t>率。</w:t>
      </w:r>
      <w:r>
        <w:rPr>
          <w:spacing w:val="-1"/>
        </w:rPr>
        <w:t>美国运营商致力于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Open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spacing w:val="-1"/>
        </w:rPr>
        <w:t>，即部署开放硬件，业务迁移到云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RAN</w:t>
      </w:r>
      <w:r>
        <w:rPr>
          <w:spacing w:val="-5"/>
        </w:rPr>
        <w:t>，并引入第三方无线设备供应商，从而在设备选择上更具灵</w:t>
      </w:r>
      <w:r>
        <w:rPr>
          <w:spacing w:val="-1"/>
        </w:rPr>
        <w:t>活性，网络成本更低，运营效率更高。根据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O-RAN </w:t>
      </w:r>
      <w:r>
        <w:rPr>
          <w:spacing w:val="-1"/>
        </w:rPr>
        <w:t>数据，目前</w:t>
      </w:r>
      <w:r>
        <w:rPr>
          <w:spacing w:val="-3"/>
        </w:rPr>
        <w:t>已经部署了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网络的有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家运营商</w:t>
      </w:r>
      <w:r>
        <w:rPr>
          <w:rFonts w:ascii="Times New Roman" w:hAnsi="Times New Roman" w:eastAsia="Times New Roman" w:cs="Times New Roman"/>
          <w:spacing w:val="-3"/>
        </w:rPr>
        <w:t>,</w:t>
      </w:r>
      <w:r>
        <w:rPr>
          <w:spacing w:val="-3"/>
        </w:rPr>
        <w:t>含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rFonts w:ascii="Times New Roman" w:hAnsi="Times New Roman" w:eastAsia="Times New Roman" w:cs="Times New Roman"/>
          <w:spacing w:val="-4"/>
        </w:rPr>
        <w:t>ish</w:t>
      </w:r>
      <w:r>
        <w:rPr>
          <w:spacing w:val="-4"/>
        </w:rPr>
        <w:t>、日本乐天</w:t>
      </w:r>
      <w:r>
        <w:rPr>
          <w:spacing w:val="-13"/>
        </w:rPr>
        <w:t>（ </w:t>
      </w:r>
      <w:r>
        <w:rPr>
          <w:rFonts w:ascii="Times New Roman" w:hAnsi="Times New Roman" w:eastAsia="Times New Roman" w:cs="Times New Roman"/>
          <w:spacing w:val="-13"/>
        </w:rPr>
        <w:t>Rakuten  </w:t>
      </w:r>
      <w:r>
        <w:rPr>
          <w:spacing w:val="-13"/>
        </w:rPr>
        <w:t>）、沃达丰、</w:t>
      </w:r>
      <w:r>
        <w:rPr>
          <w:rFonts w:ascii="Times New Roman" w:hAnsi="Times New Roman" w:eastAsia="Times New Roman" w:cs="Times New Roman"/>
          <w:spacing w:val="-13"/>
        </w:rPr>
        <w:t>KDDI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NTT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Docomo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1und1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Airtel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13"/>
        </w:rPr>
        <w:t>等，</w:t>
      </w:r>
    </w:p>
    <w:p>
      <w:pPr>
        <w:pStyle w:val="BodyText"/>
        <w:ind w:left="28" w:right="254" w:firstLine="3"/>
        <w:spacing w:before="2" w:line="322" w:lineRule="auto"/>
        <w:jc w:val="both"/>
        <w:rPr/>
      </w:pPr>
      <w:r>
        <w:rPr>
          <w:spacing w:val="-6"/>
        </w:rPr>
        <w:t>商用发布的除上述运营商外、新增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TIM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IPT </w:t>
      </w:r>
      <w:r>
        <w:rPr>
          <w:spacing w:val="-6"/>
        </w:rPr>
        <w:t>等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 </w:t>
      </w:r>
      <w:r>
        <w:rPr>
          <w:spacing w:val="-6"/>
        </w:rPr>
        <w:t>运营商共计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spacing w:val="-3"/>
        </w:rPr>
        <w:t>家、台湾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Chunghwa Telecom </w:t>
      </w:r>
      <w:r>
        <w:rPr>
          <w:spacing w:val="-3"/>
        </w:rPr>
        <w:t>也计划部</w:t>
      </w:r>
      <w:r>
        <w:rPr>
          <w:spacing w:val="-4"/>
        </w:rPr>
        <w:t>署。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</w:t>
      </w:r>
      <w:r>
        <w:rPr>
          <w:rFonts w:ascii="SimHei" w:hAnsi="SimHei" w:eastAsia="SimHei" w:cs="SimHei"/>
          <w:sz w:val="31"/>
          <w:szCs w:val="31"/>
          <w:b/>
          <w:bCs/>
        </w:rPr>
        <w:t>Open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3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的驱动力分析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2" w:lineRule="auto"/>
        <w:outlineLvl w:val="2"/>
        <w:rPr/>
      </w:pPr>
      <w:r>
        <w:rPr>
          <w:b/>
          <w:bCs/>
          <w:spacing w:val="-4"/>
        </w:rPr>
        <w:t>（一）降低网络建设成本是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Open RAN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b/>
          <w:bCs/>
          <w:spacing w:val="-4"/>
        </w:rPr>
        <w:t>的最初驱</w:t>
      </w:r>
      <w:r>
        <w:rPr>
          <w:b/>
          <w:bCs/>
          <w:spacing w:val="-5"/>
        </w:rPr>
        <w:t>动力</w:t>
      </w:r>
    </w:p>
    <w:p>
      <w:pPr>
        <w:spacing w:line="212" w:lineRule="auto"/>
        <w:sectPr>
          <w:pgSz w:w="11907" w:h="16839"/>
          <w:pgMar w:top="1431" w:right="1542" w:bottom="0" w:left="1785" w:header="0" w:footer="0" w:gutter="0"/>
        </w:sectPr>
        <w:rPr/>
      </w:pPr>
    </w:p>
    <w:p>
      <w:pPr>
        <w:pStyle w:val="BodyText"/>
        <w:ind w:left="636"/>
        <w:spacing w:before="180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．传统无线网络建设成本高、设备商集中度高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6" w:right="12" w:firstLine="602"/>
        <w:spacing w:before="98" w:line="333" w:lineRule="auto"/>
        <w:jc w:val="both"/>
        <w:rPr/>
      </w:pPr>
      <w:r>
        <w:rPr>
          <w:spacing w:val="-5"/>
        </w:rPr>
        <w:t>无线接入网（</w:t>
      </w:r>
      <w:r>
        <w:rPr>
          <w:rFonts w:ascii="Times New Roman" w:hAnsi="Times New Roman" w:eastAsia="Times New Roman" w:cs="Times New Roman"/>
          <w:spacing w:val="-5"/>
        </w:rPr>
        <w:t>RAN</w:t>
      </w:r>
      <w:r>
        <w:rPr>
          <w:spacing w:val="-5"/>
        </w:rPr>
        <w:t>）一直是移动通信运营商</w:t>
      </w:r>
      <w:r>
        <w:rPr>
          <w:spacing w:val="-6"/>
        </w:rPr>
        <w:t>综合成本的核心</w:t>
      </w:r>
      <w:r>
        <w:rPr>
          <w:spacing w:val="-4"/>
        </w:rPr>
        <w:t>组成部分，基本上能够占据其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TCO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Total Cost of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Ownership</w:t>
      </w:r>
      <w:r>
        <w:rPr>
          <w:spacing w:val="-4"/>
        </w:rPr>
        <w:t>，拥</w:t>
      </w:r>
      <w:r>
        <w:rPr>
          <w:spacing w:val="-4"/>
        </w:rPr>
        <w:t>有总成本）的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60~70%</w:t>
      </w:r>
      <w:r>
        <w:rPr>
          <w:spacing w:val="-4"/>
        </w:rPr>
        <w:t>。自 </w:t>
      </w:r>
      <w:r>
        <w:rPr>
          <w:rFonts w:ascii="Times New Roman" w:hAnsi="Times New Roman" w:eastAsia="Times New Roman" w:cs="Times New Roman"/>
          <w:spacing w:val="-4"/>
        </w:rPr>
        <w:t>2001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年以来，</w:t>
      </w:r>
      <w:r>
        <w:rPr>
          <w:rFonts w:ascii="Times New Roman" w:hAnsi="Times New Roman" w:eastAsia="Times New Roman" w:cs="Times New Roman"/>
          <w:spacing w:val="-4"/>
        </w:rPr>
        <w:t>RAN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设备供应商逐步</w:t>
      </w:r>
      <w:r>
        <w:rPr>
          <w:spacing w:val="-4"/>
        </w:rPr>
        <w:t>集中化，根据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Dell’oro group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4"/>
        </w:rPr>
        <w:t>的报告，截至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2019 </w:t>
      </w:r>
      <w:r>
        <w:rPr>
          <w:spacing w:val="-4"/>
        </w:rPr>
        <w:t>年，在全球市场</w:t>
      </w:r>
      <w:r>
        <w:rPr>
          <w:spacing w:val="-2"/>
        </w:rPr>
        <w:t>上，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2"/>
        </w:rPr>
        <w:t>基础设施市场收入的 </w:t>
      </w:r>
      <w:r>
        <w:rPr>
          <w:rFonts w:ascii="Times New Roman" w:hAnsi="Times New Roman" w:eastAsia="Times New Roman" w:cs="Times New Roman"/>
          <w:spacing w:val="-2"/>
        </w:rPr>
        <w:t>80%</w:t>
      </w:r>
      <w:r>
        <w:rPr>
          <w:spacing w:val="-2"/>
        </w:rPr>
        <w:t>掌握在前三大网络供应</w:t>
      </w:r>
      <w:r>
        <w:rPr>
          <w:spacing w:val="-3"/>
        </w:rPr>
        <w:t>商手</w:t>
      </w:r>
      <w:r>
        <w:rPr>
          <w:spacing w:val="-10"/>
        </w:rPr>
        <w:t>中，</w:t>
      </w:r>
      <w:r>
        <w:rPr>
          <w:rFonts w:ascii="Times New Roman" w:hAnsi="Times New Roman" w:eastAsia="Times New Roman" w:cs="Times New Roman"/>
          <w:spacing w:val="-10"/>
        </w:rPr>
        <w:t>90%</w:t>
      </w:r>
      <w:r>
        <w:rPr>
          <w:spacing w:val="-10"/>
        </w:rPr>
        <w:t>掌握在前五名手中，</w:t>
      </w:r>
      <w:r>
        <w:rPr>
          <w:rFonts w:ascii="Times New Roman" w:hAnsi="Times New Roman" w:eastAsia="Times New Roman" w:cs="Times New Roman"/>
          <w:spacing w:val="-10"/>
        </w:rPr>
        <w:t>25~30 </w:t>
      </w:r>
      <w:r>
        <w:rPr>
          <w:spacing w:val="-10"/>
        </w:rPr>
        <w:t>家公司分享剩余的市场</w:t>
      </w:r>
      <w:r>
        <w:rPr>
          <w:spacing w:val="-11"/>
        </w:rPr>
        <w:t>收入。</w:t>
      </w:r>
    </w:p>
    <w:p>
      <w:pPr>
        <w:pStyle w:val="BodyText"/>
        <w:ind w:left="624"/>
        <w:spacing w:before="271" w:line="232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．运营商成立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O-RAN </w:t>
      </w:r>
      <w:r>
        <w:rPr>
          <w:b/>
          <w:bCs/>
          <w:spacing w:val="-3"/>
        </w:rPr>
        <w:t>联盟提高议价能力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9" w:right="9" w:firstLine="605"/>
        <w:spacing w:before="98" w:line="327" w:lineRule="auto"/>
        <w:rPr/>
      </w:pPr>
      <w:r>
        <w:rPr>
          <w:spacing w:val="-15"/>
        </w:rPr>
        <w:t>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5G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5"/>
        </w:rPr>
        <w:t>网络建设前夕（</w:t>
      </w:r>
      <w:r>
        <w:rPr>
          <w:rFonts w:ascii="Times New Roman" w:hAnsi="Times New Roman" w:eastAsia="Times New Roman" w:cs="Times New Roman"/>
          <w:spacing w:val="-15"/>
        </w:rPr>
        <w:t>2018 </w:t>
      </w:r>
      <w:r>
        <w:rPr>
          <w:spacing w:val="-15"/>
        </w:rPr>
        <w:t>年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2 </w:t>
      </w:r>
      <w:r>
        <w:rPr>
          <w:spacing w:val="-15"/>
        </w:rPr>
        <w:t>月</w:t>
      </w:r>
      <w:r>
        <w:rPr>
          <w:spacing w:val="-57"/>
          <w:w w:val="72"/>
        </w:rPr>
        <w:t>），</w:t>
      </w:r>
      <w:r>
        <w:rPr>
          <w:spacing w:val="-15"/>
        </w:rPr>
        <w:t>中国移动、美国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AT&amp;T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15"/>
        </w:rPr>
        <w:t>、</w:t>
      </w:r>
      <w:r>
        <w:rPr>
          <w:spacing w:val="2"/>
        </w:rPr>
        <w:t>德国电信、日本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</w:rPr>
        <w:t>NTT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DOCOMO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和法国</w:t>
      </w:r>
      <w:r>
        <w:rPr>
          <w:rFonts w:ascii="Times New Roman" w:hAnsi="Times New Roman" w:eastAsia="Times New Roman" w:cs="Times New Roman"/>
        </w:rPr>
        <w:t>Orange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五家运营商在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C-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-3"/>
        </w:rPr>
        <w:t>和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xRAN</w:t>
      </w:r>
      <w:r>
        <w:rPr>
          <w:rFonts w:ascii="Times New Roman" w:hAnsi="Times New Roman" w:eastAsia="Times New Roman" w:cs="Times New Roman"/>
          <w:spacing w:val="68"/>
          <w:w w:val="101"/>
        </w:rPr>
        <w:t xml:space="preserve"> </w:t>
      </w:r>
      <w:r>
        <w:rPr>
          <w:spacing w:val="-3"/>
        </w:rPr>
        <w:t>的基础上共同发起成立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O-RAN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联盟，意在通过</w:t>
      </w:r>
      <w:r>
        <w:rPr>
          <w:spacing w:val="-4"/>
        </w:rPr>
        <w:t>接口开放化和硬件白盒化、通用硬件代替专用设备的方式解耦软</w:t>
      </w:r>
      <w:r>
        <w:rPr>
          <w:spacing w:val="-4"/>
        </w:rPr>
        <w:t>件与硬件供应商，推动供应链的多元化，避免运营商被几家传统</w:t>
      </w:r>
      <w:r>
        <w:rPr>
          <w:spacing w:val="-4"/>
        </w:rPr>
        <w:t>设备供应商锁定，从而降低成本，提升议价能力，实现更具竞争</w:t>
      </w:r>
      <w:r>
        <w:rPr>
          <w:spacing w:val="-2"/>
        </w:rPr>
        <w:t>力和活力的供应商生态系统。乐天认为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 </w:t>
      </w:r>
      <w:r>
        <w:rPr>
          <w:spacing w:val="-2"/>
        </w:rPr>
        <w:t>可节省</w:t>
      </w:r>
      <w:r>
        <w:rPr>
          <w:rFonts w:ascii="Times New Roman" w:hAnsi="Times New Roman" w:eastAsia="Times New Roman" w:cs="Times New Roman"/>
          <w:spacing w:val="-2"/>
        </w:rPr>
        <w:t>40%</w:t>
      </w:r>
      <w:r>
        <w:rPr>
          <w:spacing w:val="-2"/>
        </w:rPr>
        <w:t>的</w:t>
      </w:r>
      <w:r>
        <w:rPr>
          <w:spacing w:val="-5"/>
        </w:rPr>
        <w:t>网络建设成本和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spacing w:val="-5"/>
        </w:rPr>
        <w:t>的运营成本；部分专家认为对于农村网络来</w:t>
      </w:r>
      <w:r>
        <w:rPr>
          <w:spacing w:val="-2"/>
        </w:rPr>
        <w:t>说，</w:t>
      </w:r>
      <w:r>
        <w:rPr>
          <w:rFonts w:ascii="Times New Roman" w:hAnsi="Times New Roman" w:eastAsia="Times New Roman" w:cs="Times New Roman"/>
          <w:spacing w:val="-2"/>
        </w:rPr>
        <w:t>Open RAN </w:t>
      </w:r>
      <w:r>
        <w:rPr>
          <w:spacing w:val="-2"/>
        </w:rPr>
        <w:t>可以节省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34%</w:t>
      </w:r>
      <w:r>
        <w:rPr>
          <w:spacing w:val="-2"/>
        </w:rPr>
        <w:t>的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TCO</w:t>
      </w:r>
      <w:r>
        <w:rPr>
          <w:spacing w:val="-2"/>
        </w:rPr>
        <w:t>。</w:t>
      </w:r>
    </w:p>
    <w:p>
      <w:pPr>
        <w:ind w:firstLine="1182"/>
        <w:spacing w:line="3232" w:lineRule="exact"/>
        <w:rPr/>
      </w:pPr>
      <w:r>
        <w:rPr>
          <w:position w:val="-64"/>
        </w:rPr>
        <w:drawing>
          <wp:inline distT="0" distB="0" distL="0" distR="0">
            <wp:extent cx="3781043" cy="20528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043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32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636"/>
        <w:spacing w:before="181" w:line="212" w:lineRule="auto"/>
        <w:outlineLvl w:val="2"/>
        <w:rPr/>
      </w:pPr>
      <w:r>
        <w:rPr>
          <w:b/>
          <w:bCs/>
          <w:spacing w:val="-7"/>
        </w:rPr>
        <w:t>（二）</w:t>
      </w:r>
      <w:r>
        <w:rPr>
          <w:spacing w:val="-80"/>
        </w:rPr>
        <w:t xml:space="preserve"> </w:t>
      </w:r>
      <w:r>
        <w:rPr>
          <w:b/>
          <w:bCs/>
          <w:spacing w:val="-7"/>
        </w:rPr>
        <w:t>大国博弈成为目前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Open RAN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b/>
          <w:bCs/>
          <w:spacing w:val="-7"/>
        </w:rPr>
        <w:t>的主要驱动力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．美国全面推动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Open RAN </w:t>
      </w:r>
      <w:r>
        <w:rPr>
          <w:b/>
          <w:bCs/>
          <w:spacing w:val="-3"/>
        </w:rPr>
        <w:t>部署保障供应链安全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0" w:firstLine="614"/>
        <w:spacing w:before="97" w:line="328" w:lineRule="auto"/>
        <w:jc w:val="both"/>
        <w:rPr/>
      </w:pPr>
      <w:r>
        <w:rPr>
          <w:spacing w:val="-1"/>
        </w:rPr>
        <w:t>在政策上，自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2019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年以来，通信设备供应</w:t>
      </w:r>
      <w:r>
        <w:rPr>
          <w:spacing w:val="-2"/>
        </w:rPr>
        <w:t>商多样化是保障</w:t>
      </w:r>
      <w:r>
        <w:rPr>
          <w:spacing w:val="-15"/>
        </w:rPr>
        <w:t>其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5G </w:t>
      </w:r>
      <w:r>
        <w:rPr>
          <w:spacing w:val="-15"/>
        </w:rPr>
        <w:t>供应链安全国家战略的一部分。</w:t>
      </w:r>
      <w:r>
        <w:rPr>
          <w:rFonts w:ascii="Times New Roman" w:hAnsi="Times New Roman" w:eastAsia="Times New Roman" w:cs="Times New Roman"/>
          <w:spacing w:val="-15"/>
        </w:rPr>
        <w:t>2020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5"/>
        </w:rPr>
        <w:t>年，</w:t>
      </w:r>
      <w:r>
        <w:rPr>
          <w:spacing w:val="-16"/>
        </w:rPr>
        <w:t>召集微软、</w:t>
      </w:r>
      <w:r>
        <w:rPr>
          <w:rFonts w:ascii="Times New Roman" w:hAnsi="Times New Roman" w:eastAsia="Times New Roman" w:cs="Times New Roman"/>
          <w:spacing w:val="-16"/>
        </w:rPr>
        <w:t>AT&amp;T</w:t>
      </w:r>
      <w:r>
        <w:rPr>
          <w:spacing w:val="-16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NTT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DOCOMO </w:t>
      </w:r>
      <w:r>
        <w:rPr/>
        <w:t>和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</w:rPr>
        <w:t>NEC </w:t>
      </w:r>
      <w:r>
        <w:rPr/>
        <w:t>等企业成立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Open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RAN </w:t>
      </w:r>
      <w:r>
        <w:rPr>
          <w:spacing w:val="-1"/>
        </w:rPr>
        <w:t>政策联盟，并推</w:t>
      </w:r>
      <w:r>
        <w:rPr>
          <w:spacing w:val="-4"/>
        </w:rPr>
        <w:t>动欧洲通讯企业使用。</w:t>
      </w:r>
    </w:p>
    <w:p>
      <w:pPr>
        <w:pStyle w:val="BodyText"/>
        <w:ind w:left="25" w:right="105" w:firstLine="599"/>
        <w:spacing w:before="303" w:line="329" w:lineRule="auto"/>
        <w:rPr/>
      </w:pPr>
      <w:r>
        <w:rPr>
          <w:spacing w:val="-4"/>
        </w:rPr>
        <w:t>在资金上，</w:t>
      </w:r>
      <w:r>
        <w:rPr>
          <w:rFonts w:ascii="Times New Roman" w:hAnsi="Times New Roman" w:eastAsia="Times New Roman" w:cs="Times New Roman"/>
          <w:spacing w:val="-4"/>
        </w:rPr>
        <w:t>2020 </w:t>
      </w:r>
      <w:r>
        <w:rPr>
          <w:spacing w:val="-4"/>
        </w:rPr>
        <w:t>年，国会提出并通过了设立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7.5 </w:t>
      </w:r>
      <w:r>
        <w:rPr>
          <w:spacing w:val="-4"/>
        </w:rPr>
        <w:t>亿美元基金</w:t>
      </w:r>
      <w:r>
        <w:rPr/>
        <w:t>支持；</w:t>
      </w:r>
      <w:r>
        <w:rPr>
          <w:rFonts w:ascii="Times New Roman" w:hAnsi="Times New Roman" w:eastAsia="Times New Roman" w:cs="Times New Roman"/>
        </w:rPr>
        <w:t>FCC </w:t>
      </w:r>
      <w:r>
        <w:rPr/>
        <w:t>有意向运营商提供超过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20 </w:t>
      </w:r>
      <w:r>
        <w:rPr/>
        <w:t>亿美</w:t>
      </w:r>
      <w:r>
        <w:rPr>
          <w:spacing w:val="-1"/>
        </w:rPr>
        <w:t>元的资金拆除华为、</w:t>
      </w:r>
      <w:r>
        <w:rPr>
          <w:spacing w:val="-4"/>
        </w:rPr>
        <w:t>中兴的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4G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RAN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4"/>
        </w:rPr>
        <w:t>的传统设备。</w:t>
      </w:r>
      <w:r>
        <w:rPr>
          <w:rFonts w:ascii="Times New Roman" w:hAnsi="Times New Roman" w:eastAsia="Times New Roman" w:cs="Times New Roman"/>
          <w:spacing w:val="-4"/>
        </w:rPr>
        <w:t>2023 </w:t>
      </w:r>
      <w:r>
        <w:rPr>
          <w:spacing w:val="-4"/>
        </w:rPr>
        <w:t>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月，商务部启动公</w:t>
      </w:r>
      <w:r>
        <w:rPr>
          <w:spacing w:val="-3"/>
        </w:rPr>
        <w:t>共无线供应链创新基金资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 </w:t>
      </w:r>
      <w:r>
        <w:rPr>
          <w:spacing w:val="-3"/>
        </w:rPr>
        <w:t>亿美元用于开发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网络。</w:t>
      </w:r>
      <w:r>
        <w:rPr>
          <w:spacing w:val="-4"/>
        </w:rPr>
        <w:t>美三大运营商先后启动面向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Open RAN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4"/>
        </w:rPr>
        <w:t>的采购。</w:t>
      </w:r>
    </w:p>
    <w:p>
      <w:pPr>
        <w:pStyle w:val="BodyText"/>
        <w:ind w:left="28" w:right="105" w:firstLine="596"/>
        <w:spacing w:before="309" w:line="324" w:lineRule="auto"/>
        <w:rPr/>
      </w:pPr>
      <w:r>
        <w:rPr>
          <w:spacing w:val="-1"/>
        </w:rPr>
        <w:t>在技术上，</w:t>
      </w:r>
      <w:r>
        <w:rPr>
          <w:rFonts w:ascii="Times New Roman" w:hAnsi="Times New Roman" w:eastAsia="Times New Roman" w:cs="Times New Roman"/>
          <w:spacing w:val="-1"/>
        </w:rPr>
        <w:t>2023 </w:t>
      </w:r>
      <w:r>
        <w:rPr>
          <w:spacing w:val="-1"/>
        </w:rPr>
        <w:t>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"/>
        </w:rPr>
        <w:t>月，</w:t>
      </w:r>
      <w:r>
        <w:rPr>
          <w:rFonts w:ascii="Times New Roman" w:hAnsi="Times New Roman" w:eastAsia="Times New Roman" w:cs="Times New Roman"/>
          <w:spacing w:val="-1"/>
        </w:rPr>
        <w:t>NTIA </w:t>
      </w:r>
      <w:r>
        <w:rPr>
          <w:spacing w:val="-1"/>
        </w:rPr>
        <w:t>发布了</w:t>
      </w:r>
      <w:r>
        <w:rPr>
          <w:rFonts w:ascii="Times New Roman" w:hAnsi="Times New Roman" w:eastAsia="Times New Roman" w:cs="Times New Roman"/>
          <w:spacing w:val="-1"/>
        </w:rPr>
        <w:t>Open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 </w:t>
      </w:r>
      <w:r>
        <w:rPr>
          <w:spacing w:val="-1"/>
        </w:rPr>
        <w:t>安全的结</w:t>
      </w:r>
      <w:r>
        <w:rPr>
          <w:spacing w:val="-4"/>
        </w:rPr>
        <w:t>论，增强同盟对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Open RAN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的技术信心。</w:t>
      </w:r>
    </w:p>
    <w:p>
      <w:pPr>
        <w:pStyle w:val="BodyText"/>
        <w:ind w:left="624"/>
        <w:spacing w:before="306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．美、日、韩、印借机推动本地区设备商的发展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9" w:right="103" w:firstLine="605"/>
        <w:spacing w:before="98" w:line="330" w:lineRule="auto"/>
        <w:jc w:val="both"/>
        <w:rPr/>
      </w:pPr>
      <w:r>
        <w:rPr>
          <w:spacing w:val="6"/>
        </w:rPr>
        <w:t>政策方面，日英美积极支持。日本总务省报告证明“</w:t>
      </w:r>
      <w:r>
        <w:rPr>
          <w:rFonts w:ascii="Times New Roman" w:hAnsi="Times New Roman" w:eastAsia="Times New Roman" w:cs="Times New Roman"/>
        </w:rPr>
        <w:t>Open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RAN </w:t>
      </w:r>
      <w:r>
        <w:rPr>
          <w:spacing w:val="-4"/>
        </w:rPr>
        <w:t>和传统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RAN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的安全风险相当，只</w:t>
      </w:r>
      <w:r>
        <w:rPr>
          <w:spacing w:val="-5"/>
        </w:rPr>
        <w:t>有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4%</w:t>
      </w:r>
      <w:r>
        <w:rPr>
          <w:spacing w:val="-5"/>
        </w:rPr>
        <w:t>的威胁时</w:t>
      </w:r>
      <w:r>
        <w:rPr>
          <w:rFonts w:ascii="Times New Roman" w:hAnsi="Times New Roman" w:eastAsia="Times New Roman" w:cs="Times New Roman"/>
          <w:spacing w:val="-5"/>
        </w:rPr>
        <w:t>Open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RAN</w:t>
      </w:r>
      <w:r>
        <w:rPr>
          <w:spacing w:val="-6"/>
        </w:rPr>
        <w:t>独有”。英国当局希望，到 </w:t>
      </w:r>
      <w:r>
        <w:rPr>
          <w:rFonts w:ascii="Times New Roman" w:hAnsi="Times New Roman" w:eastAsia="Times New Roman" w:cs="Times New Roman"/>
          <w:spacing w:val="-6"/>
        </w:rPr>
        <w:t>2030  </w:t>
      </w:r>
      <w:r>
        <w:rPr>
          <w:spacing w:val="-6"/>
        </w:rPr>
        <w:t>年该国 </w:t>
      </w:r>
      <w:r>
        <w:rPr>
          <w:rFonts w:ascii="Times New Roman" w:hAnsi="Times New Roman" w:eastAsia="Times New Roman" w:cs="Times New Roman"/>
          <w:spacing w:val="-6"/>
        </w:rPr>
        <w:t>35%</w:t>
      </w:r>
      <w:r>
        <w:rPr>
          <w:spacing w:val="-6"/>
        </w:rPr>
        <w:t>的移动流量将通过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网络承载。韩国科学和信息通信技术部以及国家信息</w:t>
      </w:r>
      <w:r>
        <w:rPr>
          <w:spacing w:val="-1"/>
        </w:rPr>
        <w:t>社会局运营（</w:t>
      </w:r>
      <w:r>
        <w:rPr>
          <w:rFonts w:ascii="Times New Roman" w:hAnsi="Times New Roman" w:eastAsia="Times New Roman" w:cs="Times New Roman"/>
          <w:spacing w:val="-1"/>
        </w:rPr>
        <w:t>NIA</w:t>
      </w:r>
      <w:r>
        <w:rPr>
          <w:spacing w:val="-1"/>
        </w:rPr>
        <w:t>）积极参与虚拟化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Open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vO</w:t>
      </w:r>
      <w:r>
        <w:rPr>
          <w:rFonts w:ascii="Times New Roman" w:hAnsi="Times New Roman" w:eastAsia="Times New Roman" w:cs="Times New Roman"/>
          <w:spacing w:val="-2"/>
        </w:rPr>
        <w:t>pen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spacing w:val="-2"/>
        </w:rPr>
        <w:t>）</w:t>
      </w:r>
      <w:r>
        <w:rPr>
          <w:spacing w:val="-6"/>
        </w:rPr>
        <w:t>互操作性测试。</w:t>
      </w:r>
    </w:p>
    <w:p>
      <w:pPr>
        <w:pStyle w:val="BodyText"/>
        <w:ind w:left="29" w:right="106" w:firstLine="604"/>
        <w:spacing w:before="306" w:line="334" w:lineRule="auto"/>
        <w:rPr/>
      </w:pPr>
      <w:r>
        <w:rPr>
          <w:spacing w:val="-5"/>
        </w:rPr>
        <w:t>市场方面，持续增长，并从北美和亚太地区向欧洲、印度逐</w:t>
      </w:r>
      <w:r>
        <w:rPr>
          <w:spacing w:val="-3"/>
        </w:rPr>
        <w:t>步拓展。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  </w:t>
      </w:r>
      <w:r>
        <w:rPr>
          <w:spacing w:val="-3"/>
        </w:rPr>
        <w:t>市场规模未来不断扩</w:t>
      </w:r>
      <w:r>
        <w:rPr>
          <w:spacing w:val="-4"/>
        </w:rPr>
        <w:t>大，如 </w:t>
      </w:r>
      <w:r>
        <w:rPr>
          <w:rFonts w:ascii="Times New Roman" w:hAnsi="Times New Roman" w:eastAsia="Times New Roman" w:cs="Times New Roman"/>
          <w:spacing w:val="-4"/>
        </w:rPr>
        <w:t>Omdia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4"/>
        </w:rPr>
        <w:t>估测，</w:t>
      </w:r>
    </w:p>
    <w:p>
      <w:pPr>
        <w:spacing w:line="334" w:lineRule="auto"/>
        <w:sectPr>
          <w:pgSz w:w="11907" w:h="16839"/>
          <w:pgMar w:top="1431" w:right="1692" w:bottom="0" w:left="1785" w:header="0" w:footer="0" w:gutter="0"/>
        </w:sectPr>
        <w:rPr/>
      </w:pPr>
    </w:p>
    <w:p>
      <w:pPr>
        <w:pStyle w:val="BodyText"/>
        <w:ind w:left="19" w:right="102" w:firstLine="5"/>
        <w:spacing w:before="179" w:line="333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将占据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2"/>
        </w:rPr>
        <w:t>年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420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2"/>
        </w:rPr>
        <w:t>亿美元销售</w:t>
      </w:r>
      <w:r>
        <w:rPr>
          <w:spacing w:val="-3"/>
        </w:rPr>
        <w:t>额的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7%</w:t>
      </w:r>
      <w:r>
        <w:rPr>
          <w:spacing w:val="-3"/>
        </w:rPr>
        <w:t>左右，高于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年的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6%</w:t>
      </w:r>
      <w:r>
        <w:rPr>
          <w:spacing w:val="-2"/>
        </w:rPr>
        <w:t>；北美、亚太两者占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2"/>
        </w:rPr>
        <w:t>年前三季度收入的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95%</w:t>
      </w:r>
      <w:r>
        <w:rPr>
          <w:spacing w:val="-1"/>
        </w:rPr>
        <w:t>以上，目前欧洲市场较小，但</w:t>
      </w:r>
      <w:hyperlink w:history="true" r:id="rId2">
        <w:r>
          <w:rPr>
            <w:spacing w:val="-1"/>
          </w:rPr>
          <w:t>预计到</w:t>
        </w:r>
        <w:r>
          <w:rPr>
            <w:spacing w:val="-38"/>
          </w:rPr>
          <w:t xml:space="preserve"> </w:t>
        </w:r>
        <w:r>
          <w:rPr>
            <w:rFonts w:ascii="Times New Roman" w:hAnsi="Times New Roman" w:eastAsia="Times New Roman" w:cs="Times New Roman"/>
            <w:spacing w:val="-1"/>
          </w:rPr>
          <w:t>2027</w:t>
        </w:r>
        <w:r>
          <w:rPr>
            <w:rFonts w:ascii="Times New Roman" w:hAnsi="Times New Roman" w:eastAsia="Times New Roman" w:cs="Times New Roman"/>
            <w:spacing w:val="43"/>
          </w:rPr>
          <w:t xml:space="preserve"> </w:t>
        </w:r>
        <w:r>
          <w:rPr>
            <w:spacing w:val="-1"/>
          </w:rPr>
          <w:t>年，其市场规模将超</w:t>
        </w:r>
      </w:hyperlink>
      <w:hyperlink w:history="true" r:id="rId2">
        <w:r>
          <w:rPr>
            <w:spacing w:val="-3"/>
          </w:rPr>
          <w:t>过 </w:t>
        </w:r>
        <w:r>
          <w:rPr>
            <w:rFonts w:ascii="Times New Roman" w:hAnsi="Times New Roman" w:eastAsia="Times New Roman" w:cs="Times New Roman"/>
            <w:spacing w:val="-3"/>
          </w:rPr>
          <w:t>10  </w:t>
        </w:r>
        <w:r>
          <w:rPr>
            <w:spacing w:val="-3"/>
          </w:rPr>
          <w:t>亿美元</w:t>
        </w:r>
      </w:hyperlink>
      <w:r>
        <w:rPr>
          <w:spacing w:val="-3"/>
        </w:rPr>
        <w:t>，而在印度市场 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  </w:t>
      </w:r>
      <w:r>
        <w:rPr>
          <w:spacing w:val="-3"/>
        </w:rPr>
        <w:t>供应商 </w:t>
      </w:r>
      <w:r>
        <w:rPr>
          <w:rFonts w:ascii="Times New Roman" w:hAnsi="Times New Roman" w:eastAsia="Times New Roman" w:cs="Times New Roman"/>
          <w:spacing w:val="-3"/>
        </w:rPr>
        <w:t>Mavenir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3"/>
        </w:rPr>
        <w:t>将为</w:t>
      </w:r>
      <w:r>
        <w:rPr>
          <w:rFonts w:ascii="Times New Roman" w:hAnsi="Times New Roman" w:eastAsia="Times New Roman" w:cs="Times New Roman"/>
          <w:spacing w:val="-1"/>
        </w:rPr>
        <w:t>Bharti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Airtel </w:t>
      </w:r>
      <w:r>
        <w:rPr>
          <w:spacing w:val="-1"/>
        </w:rPr>
        <w:t>提供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2500 </w:t>
      </w:r>
      <w:r>
        <w:rPr>
          <w:spacing w:val="-1"/>
        </w:rPr>
        <w:t>个站点的设备。</w:t>
      </w:r>
    </w:p>
    <w:p>
      <w:pPr>
        <w:pStyle w:val="BodyText"/>
        <w:ind w:left="27" w:right="24" w:firstLine="603"/>
        <w:spacing w:before="273" w:line="333" w:lineRule="auto"/>
        <w:jc w:val="both"/>
        <w:rPr/>
      </w:pPr>
      <w:r>
        <w:rPr>
          <w:spacing w:val="-5"/>
        </w:rPr>
        <w:t>设备商方面，各国涌现了一批中小设备商。提供硬件服务的</w:t>
      </w:r>
      <w:r>
        <w:rPr>
          <w:spacing w:val="-19"/>
        </w:rPr>
        <w:t>美国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9"/>
        </w:rPr>
        <w:t>DeLL</w:t>
      </w:r>
      <w:r>
        <w:rPr>
          <w:spacing w:val="-19"/>
        </w:rPr>
        <w:t>、英特尔、</w:t>
      </w:r>
      <w:r>
        <w:rPr>
          <w:rFonts w:ascii="Times New Roman" w:hAnsi="Times New Roman" w:eastAsia="Times New Roman" w:cs="Times New Roman"/>
          <w:spacing w:val="-19"/>
        </w:rPr>
        <w:t>Nvidia</w:t>
      </w:r>
      <w:r>
        <w:rPr>
          <w:spacing w:val="-19"/>
        </w:rPr>
        <w:t>、</w:t>
      </w:r>
      <w:r>
        <w:rPr>
          <w:rFonts w:ascii="Times New Roman" w:hAnsi="Times New Roman" w:eastAsia="Times New Roman" w:cs="Times New Roman"/>
          <w:spacing w:val="-19"/>
        </w:rPr>
        <w:t>Xil</w:t>
      </w:r>
      <w:r>
        <w:rPr>
          <w:rFonts w:ascii="Times New Roman" w:hAnsi="Times New Roman" w:eastAsia="Times New Roman" w:cs="Times New Roman"/>
          <w:spacing w:val="-20"/>
        </w:rPr>
        <w:t>inx</w:t>
      </w:r>
      <w:r>
        <w:rPr>
          <w:spacing w:val="-20"/>
        </w:rPr>
        <w:t>、</w:t>
      </w:r>
      <w:r>
        <w:rPr>
          <w:rFonts w:ascii="Times New Roman" w:hAnsi="Times New Roman" w:eastAsia="Times New Roman" w:cs="Times New Roman"/>
          <w:spacing w:val="-20"/>
        </w:rPr>
        <w:t>Red Hat</w:t>
      </w:r>
      <w:r>
        <w:rPr>
          <w:spacing w:val="-20"/>
        </w:rPr>
        <w:t>、</w:t>
      </w:r>
      <w:r>
        <w:rPr>
          <w:rFonts w:ascii="Times New Roman" w:hAnsi="Times New Roman" w:eastAsia="Times New Roman" w:cs="Times New Roman"/>
          <w:spacing w:val="-20"/>
        </w:rPr>
        <w:t>VMWare</w:t>
      </w:r>
      <w:r>
        <w:rPr>
          <w:spacing w:val="-20"/>
        </w:rPr>
        <w:t>、</w:t>
      </w:r>
      <w:r>
        <w:rPr>
          <w:rFonts w:ascii="Times New Roman" w:hAnsi="Times New Roman" w:eastAsia="Times New Roman" w:cs="Times New Roman"/>
          <w:spacing w:val="-20"/>
        </w:rPr>
        <w:t>WindRive</w:t>
      </w:r>
      <w:r>
        <w:rPr>
          <w:spacing w:val="-20"/>
        </w:rPr>
        <w:t>；</w:t>
      </w:r>
      <w:r>
        <w:rPr>
          <w:spacing w:val="-2"/>
        </w:rPr>
        <w:t>提供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vRAN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RU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2"/>
        </w:rPr>
        <w:t>设备及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  </w:t>
      </w:r>
      <w:r>
        <w:rPr>
          <w:spacing w:val="-2"/>
        </w:rPr>
        <w:t>软件美国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Mavenir </w:t>
      </w:r>
      <w:r>
        <w:rPr>
          <w:spacing w:val="-3"/>
        </w:rPr>
        <w:t>及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Airspan</w:t>
      </w:r>
      <w:r>
        <w:rPr>
          <w:spacing w:val="-3"/>
        </w:rPr>
        <w:t>、韩</w:t>
      </w:r>
      <w:r>
        <w:rPr>
          <w:spacing w:val="-4"/>
        </w:rPr>
        <w:t>国三星、</w:t>
      </w:r>
      <w:r>
        <w:rPr>
          <w:spacing w:val="-87"/>
        </w:rPr>
        <w:t xml:space="preserve"> </w:t>
      </w:r>
      <w:r>
        <w:rPr>
          <w:spacing w:val="-4"/>
        </w:rPr>
        <w:t>日本富士通及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NEC</w:t>
      </w:r>
      <w:r>
        <w:rPr>
          <w:spacing w:val="-4"/>
        </w:rPr>
        <w:t>、德国 </w:t>
      </w:r>
      <w:r>
        <w:rPr>
          <w:rFonts w:ascii="Times New Roman" w:hAnsi="Times New Roman" w:eastAsia="Times New Roman" w:cs="Times New Roman"/>
          <w:spacing w:val="-4"/>
        </w:rPr>
        <w:t>KMW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5"/>
        </w:rPr>
        <w:t>；提供云平台的美国</w:t>
      </w:r>
      <w:r>
        <w:rPr>
          <w:spacing w:val="-2"/>
        </w:rPr>
        <w:t>风河及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VMware</w:t>
      </w:r>
      <w:r>
        <w:rPr>
          <w:spacing w:val="-2"/>
        </w:rPr>
        <w:t>、日本乐天；提供集成的美国是德及思博伦、法</w:t>
      </w:r>
      <w:r>
        <w:rPr>
          <w:spacing w:val="-1"/>
        </w:rPr>
        <w:t>国凯捷；印度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Bharti Airtel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提出购买本土厂商产品，应该</w:t>
      </w:r>
      <w:r>
        <w:rPr>
          <w:spacing w:val="-2"/>
        </w:rPr>
        <w:t>享受税</w:t>
      </w:r>
      <w:r>
        <w:rPr>
          <w:spacing w:val="-11"/>
        </w:rPr>
        <w:t>收优惠。</w:t>
      </w:r>
    </w:p>
    <w:p>
      <w:pPr>
        <w:pStyle w:val="BodyText"/>
        <w:ind w:left="36" w:right="112" w:firstLine="584"/>
        <w:spacing w:before="277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3</w:t>
      </w:r>
      <w:r>
        <w:rPr>
          <w:b/>
          <w:bCs/>
          <w:spacing w:val="-5"/>
        </w:rPr>
        <w:t>．欧洲全方位评估了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Open</w:t>
      </w:r>
      <w:r>
        <w:rPr>
          <w:rFonts w:ascii="Times New Roman" w:hAnsi="Times New Roman" w:eastAsia="Times New Roman" w:cs="Times New Roman"/>
          <w:b/>
          <w:bCs/>
          <w:spacing w:val="-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RAN</w:t>
      </w:r>
      <w:r>
        <w:rPr>
          <w:rFonts w:ascii="Times New Roman" w:hAnsi="Times New Roman" w:eastAsia="Times New Roman" w:cs="Times New Roman"/>
          <w:b/>
          <w:bCs/>
          <w:spacing w:val="38"/>
        </w:rPr>
        <w:t xml:space="preserve"> </w:t>
      </w:r>
      <w:r>
        <w:rPr>
          <w:b/>
          <w:bCs/>
          <w:spacing w:val="-5"/>
        </w:rPr>
        <w:t>的安全性，认为其会削弱</w:t>
      </w:r>
      <w:r>
        <w:rPr>
          <w:b/>
          <w:bCs/>
          <w:spacing w:val="-4"/>
        </w:rPr>
        <w:t>欧洲移动通信产业的竞争力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9" w:firstLine="601"/>
        <w:spacing w:before="98" w:line="332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2019 </w:t>
      </w:r>
      <w:r>
        <w:rPr>
          <w:spacing w:val="-3"/>
        </w:rPr>
        <w:t>年欧盟发布的《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 </w:t>
      </w:r>
      <w:r>
        <w:rPr>
          <w:spacing w:val="-3"/>
        </w:rPr>
        <w:t>安全性报告》中包括网络配</w:t>
      </w:r>
      <w:r>
        <w:rPr>
          <w:spacing w:val="-1"/>
        </w:rPr>
        <w:t>置错误、缺乏</w:t>
      </w:r>
      <w:hyperlink w:history="true" r:id="rId3">
        <w:r>
          <w:rPr>
            <w:spacing w:val="-1"/>
          </w:rPr>
          <w:t>访问控制</w:t>
        </w:r>
      </w:hyperlink>
      <w:r>
        <w:rPr>
          <w:spacing w:val="-1"/>
        </w:rPr>
        <w:t>、低产品质量、依赖性、通过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供应链</w:t>
      </w:r>
      <w:r>
        <w:rPr>
          <w:spacing w:val="-2"/>
        </w:rPr>
        <w:t>进行国家干扰、通过</w:t>
      </w:r>
      <w:hyperlink w:history="true" r:id="rId4">
        <w:r>
          <w:rPr>
            <w:spacing w:val="-2"/>
          </w:rPr>
          <w:t>有组织犯罪</w:t>
        </w:r>
      </w:hyperlink>
      <w:r>
        <w:rPr>
          <w:spacing w:val="-2"/>
        </w:rPr>
        <w:t>利用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网络</w:t>
      </w:r>
      <w:r>
        <w:rPr>
          <w:spacing w:val="-3"/>
        </w:rPr>
        <w:t>、关键基础设施或</w:t>
      </w:r>
      <w:r>
        <w:rPr>
          <w:spacing w:val="-4"/>
        </w:rPr>
        <w:t>服务的重大中断、由于供电或其他支持系统中断而造成的网络大</w:t>
      </w:r>
      <w:r>
        <w:rPr>
          <w:spacing w:val="-6"/>
        </w:rPr>
        <w:t>规模故障、物联网运营；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年欧盟又增加了</w:t>
      </w:r>
      <w:r>
        <w:rPr>
          <w:rFonts w:ascii="Times New Roman" w:hAnsi="Times New Roman" w:eastAsia="Times New Roman" w:cs="Times New Roman"/>
          <w:spacing w:val="-6"/>
        </w:rPr>
        <w:t>7 </w:t>
      </w:r>
      <w:r>
        <w:rPr>
          <w:spacing w:val="-6"/>
        </w:rPr>
        <w:t>个新的风险，分</w:t>
      </w:r>
      <w:r>
        <w:rPr>
          <w:spacing w:val="4"/>
        </w:rPr>
        <w:t>别是 </w:t>
      </w:r>
      <w:r>
        <w:rPr>
          <w:rFonts w:ascii="Times New Roman" w:hAnsi="Times New Roman" w:eastAsia="Times New Roman" w:cs="Times New Roman"/>
        </w:rPr>
        <w:t>Open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>RAN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功能和接口中扩展的威胁面和漏洞、在 </w:t>
      </w:r>
      <w:r>
        <w:rPr>
          <w:rFonts w:ascii="Times New Roman" w:hAnsi="Times New Roman" w:eastAsia="Times New Roman" w:cs="Times New Roman"/>
        </w:rPr>
        <w:t>Open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rFonts w:ascii="Times New Roman" w:hAnsi="Times New Roman" w:eastAsia="Times New Roman" w:cs="Times New Roman"/>
          <w:spacing w:val="87"/>
          <w:w w:val="101"/>
        </w:rPr>
        <w:t xml:space="preserve"> </w:t>
      </w:r>
      <w:r>
        <w:rPr>
          <w:spacing w:val="-3"/>
        </w:rPr>
        <w:t>中对</w:t>
      </w:r>
      <w:hyperlink w:history="true" r:id="rId5">
        <w:r>
          <w:rPr>
            <w:spacing w:val="-3"/>
          </w:rPr>
          <w:t>云服务</w:t>
        </w:r>
        <w:r>
          <w:rPr>
            <w:rFonts w:ascii="Times New Roman" w:hAnsi="Times New Roman" w:eastAsia="Times New Roman" w:cs="Times New Roman"/>
            <w:spacing w:val="-3"/>
          </w:rPr>
          <w:t>/</w:t>
        </w:r>
      </w:hyperlink>
      <w:r>
        <w:rPr>
          <w:spacing w:val="-3"/>
        </w:rPr>
        <w:t>基础设施提供商的新依赖性、欧盟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供应链</w:t>
      </w:r>
      <w:r>
        <w:rPr/>
        <w:t>的可持续性和对非欧盟能力的潜在依赖、</w:t>
      </w:r>
      <w:r>
        <w:rPr>
          <w:rFonts w:ascii="Times New Roman" w:hAnsi="Times New Roman" w:eastAsia="Times New Roman" w:cs="Times New Roman"/>
        </w:rPr>
        <w:t>O-RAN  </w:t>
      </w:r>
      <w:r>
        <w:rPr/>
        <w:t>技术规范开发</w:t>
      </w:r>
      <w:r>
        <w:rPr>
          <w:spacing w:val="-2"/>
        </w:rPr>
        <w:t>过程中的缺陷、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  </w:t>
      </w:r>
      <w:r>
        <w:rPr>
          <w:spacing w:val="-2"/>
        </w:rPr>
        <w:t>网络故障管理的复杂性、</w:t>
      </w:r>
      <w:r>
        <w:rPr>
          <w:rFonts w:ascii="Times New Roman" w:hAnsi="Times New Roman" w:eastAsia="Times New Roman" w:cs="Times New Roman"/>
          <w:spacing w:val="-2"/>
        </w:rPr>
        <w:t>Open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RAN</w:t>
      </w:r>
      <w:r>
        <w:rPr/>
        <w:t>网络混合和匹配方法对网络安全性和性能的影响、资源共享等。</w:t>
      </w:r>
    </w:p>
    <w:p>
      <w:pPr>
        <w:spacing w:line="332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ind w:left="676"/>
        <w:spacing w:before="166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</w:t>
      </w:r>
      <w:r>
        <w:rPr>
          <w:rFonts w:ascii="SimHei" w:hAnsi="SimHei" w:eastAsia="SimHei" w:cs="SimHei"/>
          <w:sz w:val="31"/>
          <w:szCs w:val="31"/>
          <w:b/>
          <w:bCs/>
        </w:rPr>
        <w:t>Open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RAN</w:t>
      </w:r>
      <w:r>
        <w:rPr>
          <w:rFonts w:ascii="SimHei" w:hAnsi="SimHei" w:eastAsia="SimHei" w:cs="SimHei"/>
          <w:sz w:val="31"/>
          <w:szCs w:val="31"/>
          <w:spacing w:val="-5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面临的挑战与趋势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6" w:right="103" w:firstLine="610"/>
        <w:spacing w:before="98" w:line="276" w:lineRule="auto"/>
        <w:outlineLvl w:val="2"/>
        <w:rPr/>
      </w:pPr>
      <w:r>
        <w:rPr>
          <w:b/>
          <w:bCs/>
          <w:spacing w:val="-5"/>
        </w:rPr>
        <w:t>（一）挑战：初期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Open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RAN</w:t>
      </w:r>
      <w:r>
        <w:rPr>
          <w:rFonts w:ascii="Times New Roman" w:hAnsi="Times New Roman" w:eastAsia="Times New Roman" w:cs="Times New Roman"/>
          <w:b/>
          <w:bCs/>
          <w:spacing w:val="37"/>
        </w:rPr>
        <w:t xml:space="preserve"> </w:t>
      </w:r>
      <w:r>
        <w:rPr>
          <w:b/>
          <w:bCs/>
          <w:spacing w:val="-5"/>
        </w:rPr>
        <w:t>困难重重，运营商直面成本</w:t>
      </w:r>
      <w:r>
        <w:rPr>
          <w:rFonts w:ascii="Times New Roman" w:hAnsi="Times New Roman" w:eastAsia="Times New Roman" w:cs="Times New Roman"/>
          <w:b/>
          <w:bCs/>
          <w:spacing w:val="-5"/>
        </w:rPr>
        <w:t>/</w:t>
      </w:r>
      <w:r>
        <w:rPr>
          <w:b/>
          <w:bCs/>
          <w:spacing w:val="-6"/>
        </w:rPr>
        <w:t>集成难题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1" w:right="110" w:firstLine="605"/>
        <w:spacing w:before="98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．在成本方面，乐天移动的部署成本成为负面样</w:t>
      </w:r>
      <w:r>
        <w:rPr>
          <w:b/>
          <w:bCs/>
          <w:spacing w:val="-3"/>
        </w:rPr>
        <w:t>板，</w:t>
      </w:r>
      <w:r>
        <w:rPr>
          <w:rFonts w:ascii="Times New Roman" w:hAnsi="Times New Roman" w:eastAsia="Times New Roman" w:cs="Times New Roman"/>
          <w:b/>
          <w:bCs/>
          <w:spacing w:val="-3"/>
        </w:rPr>
        <w:t>FCC</w:t>
      </w:r>
      <w:r>
        <w:rPr>
          <w:b/>
          <w:bCs/>
          <w:spacing w:val="-4"/>
        </w:rPr>
        <w:t>发布的设备单价亦无竞争力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5" w:right="106" w:firstLine="610"/>
        <w:spacing w:before="97" w:line="328" w:lineRule="auto"/>
        <w:jc w:val="both"/>
        <w:rPr/>
      </w:pPr>
      <w:r>
        <w:rPr>
          <w:spacing w:val="-7"/>
        </w:rPr>
        <w:t>乐天移动网络的固定投资原定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 </w:t>
      </w:r>
      <w:r>
        <w:rPr>
          <w:spacing w:val="-7"/>
        </w:rPr>
        <w:t>千亿日元，实际超过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万亿</w:t>
      </w:r>
      <w:r>
        <w:rPr>
          <w:spacing w:val="-6"/>
        </w:rPr>
        <w:t>日元，单基站投资是日本软银的两倍以上，投资超预期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60%</w:t>
      </w:r>
      <w:r>
        <w:rPr>
          <w:spacing w:val="-6"/>
        </w:rPr>
        <w:t>，亏</w:t>
      </w:r>
      <w:r>
        <w:rPr>
          <w:spacing w:val="2"/>
        </w:rPr>
        <w:t>损严重。</w:t>
      </w:r>
      <w:r>
        <w:rPr>
          <w:rFonts w:ascii="Times New Roman" w:hAnsi="Times New Roman" w:eastAsia="Times New Roman" w:cs="Times New Roman"/>
          <w:spacing w:val="2"/>
        </w:rPr>
        <w:t>2021  </w:t>
      </w:r>
      <w:r>
        <w:rPr>
          <w:spacing w:val="2"/>
        </w:rPr>
        <w:t>年 </w:t>
      </w:r>
      <w:r>
        <w:rPr>
          <w:rFonts w:ascii="Times New Roman" w:hAnsi="Times New Roman" w:eastAsia="Times New Roman" w:cs="Times New Roman"/>
        </w:rPr>
        <w:t>FCC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的移动通信网络设备价格调查报告中的</w:t>
      </w:r>
      <w:r>
        <w:rPr>
          <w:rFonts w:ascii="Times New Roman" w:hAnsi="Times New Roman" w:eastAsia="Times New Roman" w:cs="Times New Roman"/>
          <w:spacing w:val="-2"/>
        </w:rPr>
        <w:t>Open RAN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2"/>
        </w:rPr>
        <w:t>的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宏基站的价格显</w:t>
      </w:r>
      <w:r>
        <w:rPr>
          <w:spacing w:val="-3"/>
        </w:rPr>
        <w:t>著高于传统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spacing w:val="-3"/>
        </w:rPr>
        <w:t>。</w:t>
      </w:r>
    </w:p>
    <w:p>
      <w:pPr>
        <w:pStyle w:val="BodyText"/>
        <w:ind w:left="28" w:right="109" w:firstLine="595"/>
        <w:spacing w:before="308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．在集成方面，</w:t>
      </w:r>
      <w:r>
        <w:rPr>
          <w:rFonts w:ascii="Times New Roman" w:hAnsi="Times New Roman" w:eastAsia="Times New Roman" w:cs="Times New Roman"/>
          <w:b/>
          <w:bCs/>
          <w:spacing w:val="-2"/>
        </w:rPr>
        <w:t>Open</w:t>
      </w:r>
      <w:r>
        <w:rPr>
          <w:rFonts w:ascii="Times New Roman" w:hAnsi="Times New Roman" w:eastAsia="Times New Roman" w:cs="Times New Roman"/>
          <w:b/>
          <w:bCs/>
          <w:spacing w:val="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RAN </w:t>
      </w:r>
      <w:r>
        <w:rPr>
          <w:b/>
          <w:bCs/>
          <w:spacing w:val="-2"/>
        </w:rPr>
        <w:t>对运营商的技术和管理能力要</w:t>
      </w:r>
      <w:r>
        <w:rPr>
          <w:b/>
          <w:bCs/>
          <w:spacing w:val="-7"/>
        </w:rPr>
        <w:t>求高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6" w:firstLine="604"/>
        <w:spacing w:before="98" w:line="311" w:lineRule="auto"/>
        <w:jc w:val="both"/>
        <w:rPr/>
      </w:pPr>
      <w:r>
        <w:rPr>
          <w:spacing w:val="-1"/>
        </w:rPr>
        <w:t>一方面，</w:t>
      </w:r>
      <w:r>
        <w:rPr>
          <w:rFonts w:ascii="Times New Roman" w:hAnsi="Times New Roman" w:eastAsia="Times New Roman" w:cs="Times New Roman"/>
          <w:spacing w:val="-1"/>
        </w:rPr>
        <w:t>Open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 </w:t>
      </w:r>
      <w:r>
        <w:rPr>
          <w:spacing w:val="-1"/>
        </w:rPr>
        <w:t>取决于系统集成商和不同网络元素</w:t>
      </w:r>
      <w:r>
        <w:rPr>
          <w:spacing w:val="-2"/>
        </w:rPr>
        <w:t>的供</w:t>
      </w:r>
      <w:r>
        <w:rPr>
          <w:spacing w:val="-4"/>
        </w:rPr>
        <w:t>应商，增加网络供应商的数量往往意味着增加成本，乐天移动作</w:t>
      </w:r>
      <w:r>
        <w:rPr>
          <w:spacing w:val="-4"/>
        </w:rPr>
        <w:t>为自己的集成商仍无法降低成本。另一方面，运营商多不具备集</w:t>
      </w:r>
      <w:r>
        <w:rPr>
          <w:spacing w:val="-4"/>
        </w:rPr>
        <w:t>成商提供的整合能力，若在电信运营商内部完成系统集成，将是</w:t>
      </w:r>
      <w:r>
        <w:rPr/>
        <w:t>一种运营负担，如果将集成工作外包，则是一种潜在的新依赖。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2"/>
        <w:gridCol w:w="2125"/>
        <w:gridCol w:w="2550"/>
        <w:gridCol w:w="1785"/>
      </w:tblGrid>
      <w:tr>
        <w:trPr>
          <w:trHeight w:val="528" w:hRule="atLeast"/>
        </w:trPr>
        <w:tc>
          <w:tcPr>
            <w:tcW w:w="18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41" w:right="544" w:firstLine="51"/>
              <w:spacing w:before="31" w:line="214" w:lineRule="auto"/>
              <w:rPr>
                <w:rFonts w:ascii="FangSong" w:hAnsi="FangSong" w:eastAsia="FangSong" w:cs="FangSong"/>
              </w:rPr>
            </w:pPr>
            <w:r>
              <w:rPr>
                <w:spacing w:val="-4"/>
              </w:rPr>
              <w:t>4G</w:t>
            </w:r>
            <w:r>
              <w:rPr>
                <w:spacing w:val="17"/>
              </w:rPr>
              <w:t xml:space="preserve"> </w:t>
            </w:r>
            <w:r>
              <w:rPr>
                <w:rFonts w:ascii="FangSong" w:hAnsi="FangSong" w:eastAsia="FangSong" w:cs="FangSong"/>
                <w:spacing w:val="-4"/>
              </w:rPr>
              <w:t>宏基站</w:t>
            </w:r>
            <w:r>
              <w:rPr>
                <w:rFonts w:ascii="FangSong" w:hAnsi="FangSong" w:eastAsia="FangSong" w:cs="FangSong"/>
                <w:spacing w:val="-4"/>
              </w:rPr>
              <w:t>（</w:t>
            </w:r>
            <w:r>
              <w:rPr>
                <w:spacing w:val="-4"/>
              </w:rPr>
              <w:t>20MHz</w:t>
            </w:r>
            <w:r>
              <w:rPr>
                <w:rFonts w:ascii="FangSong" w:hAnsi="FangSong" w:eastAsia="FangSong" w:cs="FangSong"/>
                <w:spacing w:val="-4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815"/>
              <w:spacing w:before="161" w:line="221" w:lineRule="auto"/>
              <w:rPr>
                <w:rFonts w:ascii="FangSong" w:hAnsi="FangSong" w:eastAsia="FangSong" w:cs="FangSong"/>
              </w:rPr>
            </w:pPr>
            <w:r>
              <w:rPr>
                <w:spacing w:val="-5"/>
              </w:rPr>
              <w:t>5G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pacing w:val="-5"/>
              </w:rPr>
              <w:t>宏基站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590" w:right="418" w:hanging="161"/>
              <w:spacing w:before="31" w:line="214" w:lineRule="auto"/>
              <w:rPr>
                <w:rFonts w:ascii="FangSong" w:hAnsi="FangSong" w:eastAsia="FangSong" w:cs="FangSong"/>
              </w:rPr>
            </w:pPr>
            <w:r>
              <w:rPr>
                <w:spacing w:val="-6"/>
              </w:rPr>
              <w:t>5G</w:t>
            </w:r>
            <w:r>
              <w:rPr>
                <w:spacing w:val="21"/>
              </w:rPr>
              <w:t xml:space="preserve"> </w:t>
            </w:r>
            <w:r>
              <w:rPr>
                <w:rFonts w:ascii="FangSong" w:hAnsi="FangSong" w:eastAsia="FangSong" w:cs="FangSong"/>
                <w:spacing w:val="-6"/>
              </w:rPr>
              <w:t>毫米波</w:t>
            </w:r>
            <w:r>
              <w:rPr>
                <w:rFonts w:ascii="FangSong" w:hAnsi="FangSong" w:eastAsia="FangSong" w:cs="FangSong"/>
                <w:spacing w:val="-4"/>
              </w:rPr>
              <w:t>宏基站</w:t>
            </w:r>
          </w:p>
        </w:tc>
      </w:tr>
      <w:tr>
        <w:trPr>
          <w:trHeight w:val="521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15"/>
              <w:spacing w:before="194" w:line="191" w:lineRule="auto"/>
              <w:rPr/>
            </w:pPr>
            <w:r>
              <w:rPr>
                <w:spacing w:val="-1"/>
              </w:rPr>
              <w:t>Open RAN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3"/>
              <w:spacing w:before="159" w:line="235" w:lineRule="auto"/>
              <w:rPr>
                <w:rFonts w:ascii="FangSong" w:hAnsi="FangSong" w:eastAsia="FangSong" w:cs="FangSong"/>
              </w:rPr>
            </w:pPr>
            <w:r>
              <w:rPr>
                <w:spacing w:val="-2"/>
              </w:rPr>
              <w:t>3.9~5.2</w:t>
            </w:r>
            <w:r>
              <w:rPr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pacing w:val="-2"/>
              </w:rPr>
              <w:t>万美元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20" w:right="1010" w:hanging="6"/>
              <w:spacing w:before="28" w:line="212" w:lineRule="auto"/>
              <w:rPr>
                <w:rFonts w:ascii="FangSong" w:hAnsi="FangSong" w:eastAsia="FangSong" w:cs="FangSong"/>
              </w:rPr>
            </w:pPr>
            <w:r>
              <w:rPr>
                <w:spacing w:val="-2"/>
              </w:rPr>
              <w:t>9.1~12.5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pacing w:val="-2"/>
              </w:rPr>
              <w:t>万美元</w:t>
            </w:r>
            <w:r>
              <w:rPr>
                <w:rFonts w:ascii="FangSong" w:hAnsi="FangSong" w:eastAsia="FangSong" w:cs="FangSong"/>
                <w:spacing w:val="-2"/>
              </w:rPr>
              <w:t>（</w:t>
            </w:r>
            <w:r>
              <w:rPr>
                <w:spacing w:val="-2"/>
              </w:rPr>
              <w:t>100MHz</w:t>
            </w:r>
            <w:r>
              <w:rPr>
                <w:rFonts w:ascii="FangSong" w:hAnsi="FangSong" w:eastAsia="FangSong" w:cs="FangSong"/>
                <w:spacing w:val="-2"/>
              </w:rPr>
              <w:t>）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11"/>
              <w:spacing w:before="159" w:line="235" w:lineRule="auto"/>
              <w:rPr>
                <w:rFonts w:ascii="FangSong" w:hAnsi="FangSong" w:eastAsia="FangSong" w:cs="FangSong"/>
              </w:rPr>
            </w:pPr>
            <w:r>
              <w:rPr>
                <w:spacing w:val="-3"/>
              </w:rPr>
              <w:t>4.5~6</w:t>
            </w:r>
            <w:r>
              <w:rPr>
                <w:spacing w:val="23"/>
              </w:rPr>
              <w:t xml:space="preserve"> </w:t>
            </w:r>
            <w:r>
              <w:rPr>
                <w:rFonts w:ascii="FangSong" w:hAnsi="FangSong" w:eastAsia="FangSong" w:cs="FangSong"/>
                <w:spacing w:val="-3"/>
              </w:rPr>
              <w:t>万美元</w:t>
            </w:r>
          </w:p>
        </w:tc>
      </w:tr>
      <w:tr>
        <w:trPr>
          <w:trHeight w:val="529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39" w:right="210" w:hanging="15"/>
              <w:spacing w:before="34" w:line="213" w:lineRule="auto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6"/>
              </w:rPr>
              <w:t>传统</w:t>
            </w:r>
            <w:r>
              <w:rPr>
                <w:rFonts w:ascii="FangSong" w:hAnsi="FangSong" w:eastAsia="FangSong" w:cs="FangSong"/>
                <w:spacing w:val="-49"/>
              </w:rPr>
              <w:t xml:space="preserve"> </w:t>
            </w:r>
            <w:r>
              <w:rPr>
                <w:spacing w:val="-6"/>
              </w:rPr>
              <w:t>RAN</w:t>
            </w:r>
            <w:r>
              <w:rPr>
                <w:rFonts w:ascii="FangSong" w:hAnsi="FangSong" w:eastAsia="FangSong" w:cs="FangSong"/>
                <w:spacing w:val="-6"/>
              </w:rPr>
              <w:t>（三扇</w:t>
            </w:r>
            <w:r>
              <w:rPr>
                <w:rFonts w:ascii="FangSong" w:hAnsi="FangSong" w:eastAsia="FangSong" w:cs="FangSong"/>
                <w:spacing w:val="-12"/>
              </w:rPr>
              <w:t>区）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08"/>
              <w:spacing w:before="163" w:line="235" w:lineRule="auto"/>
              <w:rPr>
                <w:rFonts w:ascii="FangSong" w:hAnsi="FangSong" w:eastAsia="FangSong" w:cs="FangSong"/>
              </w:rPr>
            </w:pPr>
            <w:r>
              <w:rPr>
                <w:spacing w:val="-1"/>
              </w:rPr>
              <w:t>4.5~6.9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pacing w:val="-1"/>
              </w:rPr>
              <w:t>万美元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20" w:right="1010" w:hanging="1"/>
              <w:spacing w:before="34" w:line="213" w:lineRule="auto"/>
              <w:rPr>
                <w:rFonts w:ascii="FangSong" w:hAnsi="FangSong" w:eastAsia="FangSong" w:cs="FangSong"/>
              </w:rPr>
            </w:pPr>
            <w:r>
              <w:rPr>
                <w:spacing w:val="-3"/>
              </w:rPr>
              <w:t>8.5~36.8</w:t>
            </w:r>
            <w:r>
              <w:rPr>
                <w:spacing w:val="21"/>
              </w:rPr>
              <w:t xml:space="preserve"> </w:t>
            </w:r>
            <w:r>
              <w:rPr>
                <w:rFonts w:ascii="FangSong" w:hAnsi="FangSong" w:eastAsia="FangSong" w:cs="FangSong"/>
                <w:spacing w:val="-3"/>
              </w:rPr>
              <w:t>万美元</w:t>
            </w:r>
            <w:r>
              <w:rPr>
                <w:rFonts w:ascii="FangSong" w:hAnsi="FangSong" w:eastAsia="FangSong" w:cs="FangSong"/>
                <w:spacing w:val="-2"/>
              </w:rPr>
              <w:t>（</w:t>
            </w:r>
            <w:r>
              <w:rPr>
                <w:spacing w:val="-2"/>
              </w:rPr>
              <w:t>60MHz</w:t>
            </w:r>
            <w:r>
              <w:rPr>
                <w:rFonts w:ascii="FangSong" w:hAnsi="FangSong" w:eastAsia="FangSong" w:cs="FangSong"/>
                <w:spacing w:val="-2"/>
              </w:rPr>
              <w:t>）</w:t>
            </w:r>
          </w:p>
        </w:tc>
        <w:tc>
          <w:tcPr>
            <w:tcW w:w="1785" w:type="dxa"/>
            <w:vAlign w:val="top"/>
          </w:tcPr>
          <w:p>
            <w:pPr>
              <w:ind w:left="114"/>
              <w:spacing w:before="71"/>
              <w:tabs>
                <w:tab w:val="left" w:pos="317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</w:tc>
      </w:tr>
    </w:tbl>
    <w:p>
      <w:pPr>
        <w:ind w:left="34"/>
        <w:spacing w:before="128" w:line="21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2"/>
        </w:rPr>
        <w:t>注：表内数据来源于</w:t>
      </w:r>
      <w:r>
        <w:rPr>
          <w:rFonts w:ascii="FangSong" w:hAnsi="FangSong" w:eastAsia="FangSong" w:cs="FangSong"/>
          <w:sz w:val="21"/>
          <w:szCs w:val="21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2021</w:t>
      </w:r>
      <w:r>
        <w:rPr>
          <w:rFonts w:ascii="FangSong" w:hAnsi="FangSong" w:eastAsia="FangSong" w:cs="FangSong"/>
          <w:sz w:val="21"/>
          <w:szCs w:val="21"/>
          <w:spacing w:val="-3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年</w:t>
      </w:r>
      <w:r>
        <w:rPr>
          <w:rFonts w:ascii="FangSong" w:hAnsi="FangSong" w:eastAsia="FangSong" w:cs="FangSong"/>
          <w:sz w:val="21"/>
          <w:szCs w:val="21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FCC</w:t>
      </w:r>
      <w:r>
        <w:rPr>
          <w:rFonts w:ascii="FangSong" w:hAnsi="FangSong" w:eastAsia="FangSong" w:cs="FangSong"/>
          <w:sz w:val="21"/>
          <w:szCs w:val="21"/>
          <w:spacing w:val="-2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的移动通信网络设</w:t>
      </w:r>
      <w:r>
        <w:rPr>
          <w:rFonts w:ascii="FangSong" w:hAnsi="FangSong" w:eastAsia="FangSong" w:cs="FangSong"/>
          <w:sz w:val="21"/>
          <w:szCs w:val="21"/>
          <w:spacing w:val="-3"/>
        </w:rPr>
        <w:t>备价格调查报告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27" w:right="109" w:firstLine="609"/>
        <w:spacing w:before="98" w:line="277" w:lineRule="auto"/>
        <w:outlineLvl w:val="2"/>
        <w:rPr/>
      </w:pPr>
      <w:r>
        <w:rPr>
          <w:b/>
          <w:bCs/>
          <w:spacing w:val="-6"/>
        </w:rPr>
        <w:t>（二）趋势：</w:t>
      </w:r>
      <w:r>
        <w:rPr>
          <w:rFonts w:ascii="Times New Roman" w:hAnsi="Times New Roman" w:eastAsia="Times New Roman" w:cs="Times New Roman"/>
          <w:b/>
          <w:bCs/>
          <w:spacing w:val="-6"/>
        </w:rPr>
        <w:t>Open</w:t>
      </w:r>
      <w:r>
        <w:rPr>
          <w:rFonts w:ascii="Times New Roman" w:hAnsi="Times New Roman" w:eastAsia="Times New Roman" w:cs="Times New Roman"/>
          <w:b/>
          <w:bCs/>
          <w:spacing w:val="-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RAN </w:t>
      </w:r>
      <w:r>
        <w:rPr>
          <w:b/>
          <w:bCs/>
          <w:spacing w:val="-6"/>
        </w:rPr>
        <w:t>供应商呈现集中化趋势，三星或借</w:t>
      </w:r>
      <w:r>
        <w:rPr>
          <w:b/>
          <w:bCs/>
          <w:spacing w:val="-3"/>
        </w:rPr>
        <w:t>此将成为最大获利方，华为海外市场损失惨重</w:t>
      </w:r>
    </w:p>
    <w:p>
      <w:pPr>
        <w:spacing w:line="277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636"/>
        <w:spacing w:before="18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．美欧日印市场均与三星绑定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9" w:right="11" w:firstLine="605"/>
        <w:spacing w:before="98" w:line="332" w:lineRule="auto"/>
        <w:jc w:val="both"/>
        <w:rPr/>
      </w:pPr>
      <w:r>
        <w:rPr>
          <w:spacing w:val="-2"/>
        </w:rPr>
        <w:t>在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Dell'Oro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Group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的多份报告中，三星电</w:t>
      </w:r>
      <w:r>
        <w:rPr>
          <w:spacing w:val="-3"/>
        </w:rPr>
        <w:t>子名列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Open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RAN</w:t>
      </w:r>
      <w:r>
        <w:rPr>
          <w:spacing w:val="-12"/>
        </w:rPr>
        <w:t>市场设备供应商第一，</w:t>
      </w:r>
      <w:r>
        <w:rPr>
          <w:rFonts w:ascii="Times New Roman" w:hAnsi="Times New Roman" w:eastAsia="Times New Roman" w:cs="Times New Roman"/>
          <w:spacing w:val="-12"/>
        </w:rPr>
        <w:t>TOP5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2"/>
        </w:rPr>
        <w:t>分别为三星、</w:t>
      </w:r>
      <w:r>
        <w:rPr>
          <w:rFonts w:ascii="Times New Roman" w:hAnsi="Times New Roman" w:eastAsia="Times New Roman" w:cs="Times New Roman"/>
          <w:spacing w:val="-12"/>
        </w:rPr>
        <w:t>NEC</w:t>
      </w:r>
      <w:r>
        <w:rPr>
          <w:spacing w:val="-12"/>
        </w:rPr>
        <w:t>、富士通、</w:t>
      </w:r>
      <w:r>
        <w:rPr>
          <w:rFonts w:ascii="Times New Roman" w:hAnsi="Times New Roman" w:eastAsia="Times New Roman" w:cs="Times New Roman"/>
          <w:spacing w:val="-12"/>
        </w:rPr>
        <w:t>Rakuten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Symphony </w:t>
      </w:r>
      <w:r>
        <w:rPr>
          <w:spacing w:val="-6"/>
        </w:rPr>
        <w:t>和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Mavenir</w:t>
      </w:r>
      <w:r>
        <w:rPr>
          <w:spacing w:val="-6"/>
        </w:rPr>
        <w:t>。从订单情况来看，除韩国三大运营商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60%</w:t>
      </w:r>
      <w:r>
        <w:rPr>
          <w:spacing w:val="-4"/>
        </w:rPr>
        <w:t>的市场份额以外及欧美日小运营商市场外，在美日欧大运营商均</w:t>
      </w:r>
      <w:r>
        <w:rPr/>
        <w:t>有斩获，与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Verizon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/>
        <w:t>合同额约</w:t>
      </w:r>
      <w:r>
        <w:rPr>
          <w:rFonts w:ascii="Times New Roman" w:hAnsi="Times New Roman" w:eastAsia="Times New Roman" w:cs="Times New Roman"/>
        </w:rPr>
        <w:t>410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/>
        <w:t>亿元；同沃达丰协议替代华为</w:t>
      </w:r>
      <w:r>
        <w:rPr>
          <w:rFonts w:ascii="Times New Roman" w:hAnsi="Times New Roman" w:eastAsia="Times New Roman" w:cs="Times New Roman"/>
          <w:spacing w:val="5"/>
        </w:rPr>
        <w:t>2500 </w:t>
      </w:r>
      <w:r>
        <w:rPr>
          <w:spacing w:val="5"/>
        </w:rPr>
        <w:t>站；与</w:t>
      </w:r>
      <w:r>
        <w:rPr>
          <w:rFonts w:ascii="Times New Roman" w:hAnsi="Times New Roman" w:eastAsia="Times New Roman" w:cs="Times New Roman"/>
        </w:rPr>
        <w:t>DISH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协议超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52 </w:t>
      </w:r>
      <w:r>
        <w:rPr>
          <w:spacing w:val="5"/>
        </w:rPr>
        <w:t>亿元；与</w:t>
      </w:r>
      <w:r>
        <w:rPr>
          <w:rFonts w:ascii="Times New Roman" w:hAnsi="Times New Roman" w:eastAsia="Times New Roman" w:cs="Times New Roman"/>
        </w:rPr>
        <w:t>KDDI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试点、商业部署，</w:t>
      </w:r>
      <w:r>
        <w:rPr/>
        <w:t>并预计 </w:t>
      </w:r>
      <w:r>
        <w:rPr>
          <w:rFonts w:ascii="Times New Roman" w:hAnsi="Times New Roman" w:eastAsia="Times New Roman" w:cs="Times New Roman"/>
        </w:rPr>
        <w:t>2024  </w:t>
      </w:r>
      <w:r>
        <w:rPr/>
        <w:t>年全面部署其 </w:t>
      </w:r>
      <w:r>
        <w:rPr>
          <w:rFonts w:ascii="Times New Roman" w:hAnsi="Times New Roman" w:eastAsia="Times New Roman" w:cs="Times New Roman"/>
        </w:rPr>
        <w:t>Open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>RAN  </w:t>
      </w:r>
      <w:r>
        <w:rPr/>
        <w:t>设备；成为印</w:t>
      </w:r>
      <w:r>
        <w:rPr>
          <w:spacing w:val="-1"/>
        </w:rPr>
        <w:t>度运营商</w:t>
      </w:r>
      <w:r>
        <w:rPr>
          <w:rFonts w:ascii="Times New Roman" w:hAnsi="Times New Roman" w:eastAsia="Times New Roman" w:cs="Times New Roman"/>
          <w:spacing w:val="-2"/>
        </w:rPr>
        <w:t>Reliance Jio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唯一的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4G </w:t>
      </w:r>
      <w:r>
        <w:rPr>
          <w:spacing w:val="-2"/>
        </w:rPr>
        <w:t>供应</w:t>
      </w:r>
      <w:r>
        <w:rPr>
          <w:spacing w:val="-3"/>
        </w:rPr>
        <w:t>商，并作为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Bharti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Airtel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4G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网络的第</w:t>
      </w:r>
      <w:r>
        <w:rPr>
          <w:spacing w:val="-7"/>
        </w:rPr>
        <w:t>三家供应商。</w:t>
      </w:r>
    </w:p>
    <w:p>
      <w:pPr>
        <w:pStyle w:val="BodyText"/>
        <w:ind w:left="624"/>
        <w:spacing w:before="29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．华为海外市场损失惨重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3" w:right="12" w:firstLine="602"/>
        <w:spacing w:before="97" w:line="331" w:lineRule="auto"/>
        <w:jc w:val="both"/>
        <w:rPr/>
      </w:pPr>
      <w:r>
        <w:rPr>
          <w:spacing w:val="-10"/>
        </w:rPr>
        <w:t>根据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Dell'Oro Group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omdia </w:t>
      </w:r>
      <w:r>
        <w:rPr>
          <w:spacing w:val="-10"/>
        </w:rPr>
        <w:t>报告，与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2020 </w:t>
      </w:r>
      <w:r>
        <w:rPr>
          <w:spacing w:val="-10"/>
        </w:rPr>
        <w:t>年相比，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TOP5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供应商的份额下降了不到 </w:t>
      </w:r>
      <w:r>
        <w:rPr>
          <w:rFonts w:ascii="Times New Roman" w:hAnsi="Times New Roman" w:eastAsia="Times New Roman" w:cs="Times New Roman"/>
          <w:spacing w:val="-2"/>
        </w:rPr>
        <w:t>1%,</w:t>
      </w:r>
      <w:r>
        <w:rPr>
          <w:spacing w:val="-2"/>
        </w:rPr>
        <w:t>但是华为公</w:t>
      </w:r>
      <w:r>
        <w:rPr>
          <w:spacing w:val="-3"/>
        </w:rPr>
        <w:t>司的海外市场份</w:t>
      </w:r>
      <w:r>
        <w:rPr>
          <w:spacing w:val="-4"/>
        </w:rPr>
        <w:t>额却由原来的供应商第一名下降到第三名，甚至有部分咨询公司</w:t>
      </w:r>
      <w:r>
        <w:rPr>
          <w:spacing w:val="-2"/>
        </w:rPr>
        <w:t>给出了华为的海外市场份额可以忽略的预期。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四、对运营商的启示和建议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7" w:right="22" w:firstLine="609"/>
        <w:spacing w:before="98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．对外业务层面，紧盯固网的边缘业务应用创新，适</w:t>
      </w:r>
      <w:r>
        <w:rPr>
          <w:b/>
          <w:bCs/>
          <w:spacing w:val="-3"/>
        </w:rPr>
        <w:t>机迁</w:t>
      </w:r>
      <w:r>
        <w:rPr>
          <w:b/>
          <w:bCs/>
          <w:spacing w:val="-5"/>
        </w:rPr>
        <w:t>移至移动网络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6" w:right="12" w:firstLine="598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Open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RAN </w:t>
      </w:r>
      <w:r>
        <w:rPr>
          <w:spacing w:val="-1"/>
        </w:rPr>
        <w:t>驱动力目前主要为运营商的需求和大国博弈，随</w:t>
      </w:r>
      <w:r>
        <w:rPr>
          <w:spacing w:val="-9"/>
        </w:rPr>
        <w:t>着生态的形成，互联网、云公司等的介入，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AI/</w:t>
      </w:r>
      <w:r>
        <w:rPr>
          <w:spacing w:val="-9"/>
        </w:rPr>
        <w:t>大数据等新</w:t>
      </w:r>
      <w:r>
        <w:rPr>
          <w:spacing w:val="-10"/>
        </w:rPr>
        <w:t>技术势</w:t>
      </w:r>
      <w:r>
        <w:rPr>
          <w:spacing w:val="-4"/>
        </w:rPr>
        <w:t>必会深度融入边缘接入网创造新的对外业务，因此，建议紧盯大</w:t>
      </w:r>
      <w:r>
        <w:rPr>
          <w:spacing w:val="-4"/>
        </w:rPr>
        <w:t>流量网络如固网的边缘业务应用创新，适时在移动业务上做更新</w:t>
      </w:r>
    </w:p>
    <w:p>
      <w:pPr>
        <w:spacing w:line="331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/>
        <w:spacing w:before="182" w:line="220" w:lineRule="auto"/>
        <w:rPr/>
      </w:pPr>
      <w:r>
        <w:rPr>
          <w:spacing w:val="-5"/>
        </w:rPr>
        <w:t>迁移从而占据领先地位。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7" w:right="92" w:firstLine="596"/>
        <w:spacing w:before="98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．平衡信创和供应链安全，加强自研及对产业链的观察培</w:t>
      </w:r>
      <w:r>
        <w:rPr>
          <w:b/>
          <w:bCs/>
          <w:spacing w:val="-4"/>
        </w:rPr>
        <w:t>养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8" w:line="332" w:lineRule="auto"/>
        <w:jc w:val="both"/>
        <w:rPr/>
      </w:pPr>
      <w:r>
        <w:rPr>
          <w:spacing w:val="-3"/>
        </w:rPr>
        <w:t>鉴于目前中国电信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网络已基本建设完成，短期内，供应</w:t>
      </w:r>
      <w:r>
        <w:rPr>
          <w:spacing w:val="-1"/>
        </w:rPr>
        <w:t>链变动对中国电信影响有限，长期看来，网络演进迭代过程中，</w:t>
      </w:r>
      <w:r>
        <w:rPr>
          <w:spacing w:val="-4"/>
        </w:rPr>
        <w:t>势必要平衡供应链选择和信创，建议中国电信一方面加快自研产</w:t>
      </w:r>
      <w:r>
        <w:rPr>
          <w:spacing w:val="-8"/>
        </w:rPr>
        <w:t>品的进度、促进自研产品的稳定性，</w:t>
      </w:r>
      <w:r>
        <w:rPr>
          <w:spacing w:val="-34"/>
        </w:rPr>
        <w:t xml:space="preserve"> </w:t>
      </w:r>
      <w:r>
        <w:rPr>
          <w:spacing w:val="-8"/>
        </w:rPr>
        <w:t>另一方面利用产业链链长的</w:t>
      </w:r>
      <w:r>
        <w:rPr>
          <w:spacing w:val="-2"/>
        </w:rPr>
        <w:t>带动作用，借助国家政策观察和培养一批中小通信设备企业。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7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210083</wp:posOffset>
            </wp:positionH>
            <wp:positionV relativeFrom="paragraph">
              <wp:posOffset>186043</wp:posOffset>
            </wp:positionV>
            <wp:extent cx="725424" cy="393344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424" cy="393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27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李为民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【18911261252】</w:t>
      </w:r>
    </w:p>
    <w:p>
      <w:pPr>
        <w:ind w:left="2140" w:right="696" w:firstLine="272"/>
        <w:spacing w:before="11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副主任分析师，硕士，从事通信行业战略研</w:t>
      </w:r>
      <w:r>
        <w:rPr>
          <w:rFonts w:ascii="KaiTi" w:hAnsi="KaiTi" w:eastAsia="KaiTi" w:cs="KaiTi"/>
          <w:sz w:val="28"/>
          <w:szCs w:val="28"/>
          <w:spacing w:val="-3"/>
        </w:rPr>
        <w:t>究，专注移动网络方向。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139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陈元谋</w:t>
      </w:r>
    </w:p>
    <w:p>
      <w:pPr>
        <w:ind w:left="2128" w:right="314" w:firstLine="276"/>
        <w:spacing w:before="115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9"/>
        </w:rPr>
        <w:t>主任分析师，硕士，长期从事</w:t>
      </w:r>
      <w:r>
        <w:rPr>
          <w:rFonts w:ascii="KaiTi" w:hAnsi="KaiTi" w:eastAsia="KaiTi" w:cs="KaiTi"/>
          <w:sz w:val="28"/>
          <w:szCs w:val="28"/>
          <w:spacing w:val="-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IP</w:t>
      </w:r>
      <w:r>
        <w:rPr>
          <w:rFonts w:ascii="KaiTi" w:hAnsi="KaiTi" w:eastAsia="KaiTi" w:cs="KaiTi"/>
          <w:sz w:val="28"/>
          <w:szCs w:val="28"/>
          <w:spacing w:val="-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9"/>
        </w:rPr>
        <w:t>网络、数据中</w:t>
      </w:r>
      <w:r>
        <w:rPr>
          <w:rFonts w:ascii="KaiTi" w:hAnsi="KaiTi" w:eastAsia="KaiTi" w:cs="KaiTi"/>
          <w:sz w:val="28"/>
          <w:szCs w:val="28"/>
          <w:spacing w:val="-2"/>
        </w:rPr>
        <w:t>心相关云网技术及行业研究。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2118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施宇</w:t>
      </w:r>
    </w:p>
    <w:p>
      <w:pPr>
        <w:ind w:left="2110" w:right="415" w:firstLine="290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二级分析师，硕士，长期从事行业研究、政策</w:t>
      </w:r>
      <w:r>
        <w:rPr>
          <w:rFonts w:ascii="KaiTi" w:hAnsi="KaiTi" w:eastAsia="KaiTi" w:cs="KaiTi"/>
          <w:sz w:val="28"/>
          <w:szCs w:val="28"/>
          <w:spacing w:val="-1"/>
        </w:rPr>
        <w:t>研究等工作。</w:t>
      </w:r>
    </w:p>
    <w:p>
      <w:pPr>
        <w:ind w:left="2115"/>
        <w:spacing w:before="275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韩琳</w:t>
      </w:r>
    </w:p>
    <w:p>
      <w:pPr>
        <w:ind w:left="2127" w:right="415" w:firstLine="285"/>
        <w:spacing w:before="119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副主任分析师，硕士，长期从事天地一体、云</w:t>
      </w:r>
      <w:r>
        <w:rPr>
          <w:rFonts w:ascii="KaiTi" w:hAnsi="KaiTi" w:eastAsia="KaiTi" w:cs="KaiTi"/>
          <w:sz w:val="28"/>
          <w:szCs w:val="28"/>
          <w:spacing w:val="-1"/>
        </w:rPr>
        <w:t>网融合相关技术及行业研究，包括网络云化、网</w:t>
      </w:r>
      <w:r>
        <w:rPr>
          <w:rFonts w:ascii="KaiTi" w:hAnsi="KaiTi" w:eastAsia="KaiTi" w:cs="KaiTi"/>
          <w:sz w:val="28"/>
          <w:szCs w:val="28"/>
          <w:spacing w:val="-4"/>
        </w:rPr>
        <w:t>络开放等。</w:t>
      </w:r>
    </w:p>
    <w:sectPr>
      <w:pgSz w:w="11907" w:h="16839"/>
      <w:pgMar w:top="1431" w:right="171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2.png"/><Relationship Id="rId5" Type="http://schemas.openxmlformats.org/officeDocument/2006/relationships/hyperlink" Target="https://www.zhihu.com/search?q=%E4%BA%91%E6%9C%8D%E5%8A%A1&amp;search_source=Entity&amp;hybrid_search_source=Entity&amp;hybrid_search_extra=%7B%22sourceType%22%3A%22answer%22%2C%22sourceId%22%3A%222500901295%22%7D" TargetMode="External"/><Relationship Id="rId4" Type="http://schemas.openxmlformats.org/officeDocument/2006/relationships/hyperlink" Target="https://www.zhihu.com/search?q=%E6%9C%89%E7%BB%84%E7%BB%87%E7%8A%AF%E7%BD%AA&amp;search_source=Entity&amp;hybrid_search_source=Entity&amp;hybrid_search_extra=%7B%22sourceType%22%3A%22answer%22%2C%22sourceId%22%3A%222500901295%22%7D" TargetMode="External"/><Relationship Id="rId3" Type="http://schemas.openxmlformats.org/officeDocument/2006/relationships/hyperlink" Target="https://www.zhihu.com/search?q=%E8%AE%BF%E9%97%AE%E6%8E%A7%E5%88%B6&amp;search_source=Entity&amp;hybrid_search_source=Entity&amp;hybrid_search_extra=%7B%22sourceType%22%3A%22answer%22%2C%22sourceId%22%3A%222500901295%22%7D" TargetMode="External"/><Relationship Id="rId2" Type="http://schemas.openxmlformats.org/officeDocument/2006/relationships/hyperlink" Target="http://mp.weixin.qq.com/s?__biz=MjM5MzEzMTY0MA==&amp;mid=2652030328&amp;idx=2&amp;sn=315ea08d256d88a4b2a84a54082fb92d&amp;chksm=bd7dd86f8a0a5179a41e1ab7f65bae1ac29801d3acb457553adbe86be953fab3e81cd3456d1e&amp;scene=21#wechat_redirect" TargetMode="Externa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2023-12-13T17:09:20Z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2025-11-04T15:54:49</vt:filetime>
  </property>
</Properties>
</file>