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2" Type="http://schemas.openxmlformats.org/officeDocument/2006/relationships/custom-properties" Target="docProps/custom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body>
    <w:p>
      <w:pPr>
        <w:ind w:left="1969" w:right="2190" w:firstLine="223"/>
        <w:spacing w:before="212" w:line="212" w:lineRule="auto"/>
        <w:outlineLvl w:val="0"/>
        <w:rPr>
          <w:rFonts w:ascii="Microsoft YaHei" w:hAnsi="Microsoft YaHei" w:eastAsia="Microsoft YaHei" w:cs="Microsoft YaHei"/>
          <w:sz w:val="43"/>
          <w:szCs w:val="43"/>
        </w:rPr>
      </w:pPr>
      <w:r>
        <w:rPr>
          <w:rFonts w:ascii="Microsoft YaHei" w:hAnsi="Microsoft YaHei" w:eastAsia="Microsoft YaHei" w:cs="Microsoft YaHei"/>
          <w:sz w:val="43"/>
          <w:szCs w:val="43"/>
          <w:b/>
          <w:bCs/>
          <w:spacing w:val="8"/>
        </w:rPr>
        <w:t>全面注册制改革研究</w:t>
      </w:r>
      <w:r>
        <w:rPr>
          <w:rFonts w:ascii="Microsoft YaHei" w:hAnsi="Microsoft YaHei" w:eastAsia="Microsoft YaHei" w:cs="Microsoft YaHei"/>
          <w:sz w:val="43"/>
          <w:szCs w:val="43"/>
          <w:b/>
          <w:bCs/>
          <w:spacing w:val="9"/>
        </w:rPr>
        <w:t>及对中国电信影响建议</w:t>
      </w:r>
    </w:p>
    <w:p>
      <w:pPr>
        <w:ind w:left="2931"/>
        <w:spacing w:before="331" w:line="213" w:lineRule="auto"/>
        <w:rPr>
          <w:rFonts w:ascii="STKaiti" w:hAnsi="STKaiti" w:eastAsia="STKaiti" w:cs="STKaiti"/>
          <w:sz w:val="30"/>
          <w:szCs w:val="30"/>
        </w:rPr>
      </w:pPr>
      <w:r>
        <w:rPr>
          <w:rFonts w:ascii="STKaiti" w:hAnsi="STKaiti" w:eastAsia="STKaiti" w:cs="STKaiti"/>
          <w:sz w:val="30"/>
          <w:szCs w:val="30"/>
          <w:spacing w:val="-15"/>
        </w:rPr>
        <w:t>文/</w:t>
      </w:r>
      <w:r>
        <w:rPr>
          <w:rFonts w:ascii="STKaiti" w:hAnsi="STKaiti" w:eastAsia="STKaiti" w:cs="STKaiti"/>
          <w:sz w:val="30"/>
          <w:szCs w:val="30"/>
          <w:spacing w:val="23"/>
        </w:rPr>
        <w:t xml:space="preserve">  </w:t>
      </w:r>
      <w:r>
        <w:rPr>
          <w:rFonts w:ascii="STKaiti" w:hAnsi="STKaiti" w:eastAsia="STKaiti" w:cs="STKaiti"/>
          <w:sz w:val="30"/>
          <w:szCs w:val="30"/>
          <w:spacing w:val="-15"/>
        </w:rPr>
        <w:t>樊启明</w:t>
      </w:r>
      <w:r>
        <w:rPr>
          <w:rFonts w:ascii="STKaiti" w:hAnsi="STKaiti" w:eastAsia="STKaiti" w:cs="STKaiti"/>
          <w:sz w:val="30"/>
          <w:szCs w:val="30"/>
          <w:spacing w:val="17"/>
        </w:rPr>
        <w:t xml:space="preserve">  </w:t>
      </w:r>
      <w:r>
        <w:rPr>
          <w:rFonts w:ascii="STKaiti" w:hAnsi="STKaiti" w:eastAsia="STKaiti" w:cs="STKaiti"/>
          <w:sz w:val="30"/>
          <w:szCs w:val="30"/>
          <w:spacing w:val="-15"/>
        </w:rPr>
        <w:t>王禹辰</w:t>
      </w:r>
    </w:p>
    <w:p>
      <w:pPr>
        <w:spacing w:line="401" w:lineRule="auto"/>
        <w:rPr>
          <w:rFonts w:ascii="Arial"/>
          <w:sz w:val="21"/>
        </w:rPr>
      </w:pPr>
      <w:r/>
    </w:p>
    <w:p>
      <w:pPr>
        <w:pStyle w:val="BodyText"/>
        <w:ind w:left="34" w:right="233" w:firstLine="594"/>
        <w:spacing w:before="97" w:line="259" w:lineRule="auto"/>
        <w:jc w:val="both"/>
        <w:rPr>
          <w:sz w:val="30"/>
          <w:szCs w:val="30"/>
        </w:rPr>
      </w:pPr>
      <w:r>
        <w:rPr>
          <w:sz w:val="30"/>
          <w:szCs w:val="30"/>
          <w:spacing w:val="-12"/>
        </w:rPr>
        <w:t>2</w:t>
      </w:r>
      <w:r>
        <w:rPr>
          <w:sz w:val="30"/>
          <w:szCs w:val="30"/>
          <w:spacing w:val="-33"/>
        </w:rPr>
        <w:t xml:space="preserve"> </w:t>
      </w:r>
      <w:r>
        <w:rPr>
          <w:sz w:val="30"/>
          <w:szCs w:val="30"/>
          <w:spacing w:val="-12"/>
        </w:rPr>
        <w:t>月</w:t>
      </w:r>
      <w:r>
        <w:rPr>
          <w:sz w:val="30"/>
          <w:szCs w:val="30"/>
          <w:spacing w:val="-40"/>
        </w:rPr>
        <w:t xml:space="preserve"> </w:t>
      </w:r>
      <w:r>
        <w:rPr>
          <w:sz w:val="30"/>
          <w:szCs w:val="30"/>
          <w:spacing w:val="-12"/>
        </w:rPr>
        <w:t>17</w:t>
      </w:r>
      <w:r>
        <w:rPr>
          <w:sz w:val="30"/>
          <w:szCs w:val="30"/>
          <w:spacing w:val="-12"/>
        </w:rPr>
        <w:t xml:space="preserve"> </w:t>
      </w:r>
      <w:r>
        <w:rPr>
          <w:sz w:val="30"/>
          <w:szCs w:val="30"/>
          <w:spacing w:val="-12"/>
        </w:rPr>
        <w:t>日，党中央、国务院批准了《全面实行股票发行注册</w:t>
      </w:r>
      <w:r>
        <w:rPr>
          <w:sz w:val="30"/>
          <w:szCs w:val="30"/>
          <w:spacing w:val="-4"/>
        </w:rPr>
        <w:t>制总体实施方案》。注册制改革是一场触及监管底层逻辑</w:t>
      </w:r>
      <w:r>
        <w:rPr>
          <w:sz w:val="30"/>
          <w:szCs w:val="30"/>
          <w:spacing w:val="-5"/>
        </w:rPr>
        <w:t>、牵动</w:t>
      </w:r>
      <w:r>
        <w:rPr>
          <w:sz w:val="30"/>
          <w:szCs w:val="30"/>
          <w:spacing w:val="-4"/>
        </w:rPr>
        <w:t>资本市场全局的变革，对中央企业深化改革和资本运营等</w:t>
      </w:r>
      <w:r>
        <w:rPr>
          <w:sz w:val="30"/>
          <w:szCs w:val="30"/>
          <w:spacing w:val="-5"/>
        </w:rPr>
        <w:t>方面影</w:t>
      </w:r>
      <w:r>
        <w:rPr>
          <w:sz w:val="30"/>
          <w:szCs w:val="30"/>
          <w:spacing w:val="-9"/>
        </w:rPr>
        <w:t>响深远。中国电信应及时研判注册制带来的新形势、新机</w:t>
      </w:r>
      <w:r>
        <w:rPr>
          <w:sz w:val="30"/>
          <w:szCs w:val="30"/>
          <w:spacing w:val="-10"/>
        </w:rPr>
        <w:t>遇，</w:t>
      </w:r>
      <w:r>
        <w:rPr>
          <w:sz w:val="30"/>
          <w:szCs w:val="30"/>
          <w:spacing w:val="-10"/>
        </w:rPr>
        <w:t xml:space="preserve"> </w:t>
      </w:r>
      <w:r>
        <w:rPr>
          <w:sz w:val="30"/>
          <w:szCs w:val="30"/>
          <w:spacing w:val="-10"/>
        </w:rPr>
        <w:t>做</w:t>
      </w:r>
      <w:r>
        <w:rPr>
          <w:sz w:val="30"/>
          <w:szCs w:val="30"/>
          <w:spacing w:val="-12"/>
        </w:rPr>
        <w:t>好接应。</w:t>
      </w:r>
    </w:p>
    <w:p>
      <w:pPr>
        <w:spacing w:line="342" w:lineRule="auto"/>
        <w:rPr>
          <w:rFonts w:ascii="Arial"/>
          <w:sz w:val="21"/>
        </w:rPr>
      </w:pPr>
      <w:r/>
    </w:p>
    <w:p>
      <w:pPr>
        <w:ind w:left="675"/>
        <w:spacing w:before="100" w:line="224" w:lineRule="auto"/>
        <w:outlineLvl w:val="1"/>
        <w:rPr>
          <w:rFonts w:ascii="SimHei" w:hAnsi="SimHei" w:eastAsia="SimHei" w:cs="SimHei"/>
          <w:sz w:val="31"/>
          <w:szCs w:val="31"/>
        </w:rPr>
      </w:pPr>
      <w:r>
        <w:rPr>
          <w:rFonts w:ascii="SimHei" w:hAnsi="SimHei" w:eastAsia="SimHei" w:cs="SimHei"/>
          <w:sz w:val="31"/>
          <w:szCs w:val="31"/>
          <w:b/>
          <w:bCs/>
          <w:spacing w:val="6"/>
        </w:rPr>
        <w:t>一、全面注册制演变背景与核心变化</w:t>
      </w:r>
    </w:p>
    <w:p>
      <w:pPr>
        <w:spacing w:before="227"/>
        <w:rPr/>
      </w:pPr>
      <w:r/>
    </w:p>
    <w:tbl>
      <w:tblPr>
        <w:tblStyle w:val="TableNormal"/>
        <w:tblW w:w="7958" w:type="dxa"/>
        <w:tblInd w:w="137" w:type="dxa"/>
        <w:tblLayout w:type="fixed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</w:tblPr>
      <w:tblGrid>
        <w:gridCol w:w="2731"/>
        <w:gridCol w:w="2469"/>
        <w:gridCol w:w="2758"/>
      </w:tblGrid>
      <w:tr>
        <w:trPr>
          <w:trHeight w:val="503" w:hRule="atLeast"/>
        </w:trPr>
        <w:tc>
          <w:tcPr>
            <w:tcW w:w="2731" w:type="dxa"/>
            <w:vAlign w:val="top"/>
            <w:tcBorders>
              <w:bottom w:val="single" w:color="C0504D" w:sz="20" w:space="0"/>
            </w:tcBorders>
          </w:tcPr>
          <w:p>
            <w:pPr>
              <w:pStyle w:val="TableText"/>
              <w:ind w:left="613"/>
              <w:spacing w:before="160" w:line="276" w:lineRule="exact"/>
              <w:rPr>
                <w:sz w:val="21"/>
                <w:szCs w:val="21"/>
              </w:rPr>
            </w:pPr>
            <w:r>
              <w:rPr>
                <w:sz w:val="21"/>
                <w:szCs w:val="21"/>
                <w:color w:val="C0504D"/>
                <w:spacing w:val="-12"/>
                <w:position w:val="1"/>
              </w:rPr>
              <w:t>1993-2000</w:t>
            </w:r>
          </w:p>
        </w:tc>
        <w:tc>
          <w:tcPr>
            <w:tcW w:w="2469" w:type="dxa"/>
            <w:vAlign w:val="top"/>
            <w:tcBorders>
              <w:bottom w:val="single" w:color="C0504D" w:sz="20" w:space="0"/>
            </w:tcBorders>
          </w:tcPr>
          <w:p>
            <w:pPr>
              <w:pStyle w:val="TableText"/>
              <w:ind w:left="763"/>
              <w:spacing w:line="224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color w:val="C0504D"/>
                <w:spacing w:val="-11"/>
              </w:rPr>
              <w:t>2001-2023</w:t>
            </w:r>
          </w:p>
          <w:p>
            <w:pPr>
              <w:pStyle w:val="TableText"/>
              <w:ind w:left="320"/>
              <w:spacing w:line="223" w:lineRule="auto"/>
              <w:rPr/>
            </w:pPr>
            <w:r>
              <w:rPr>
                <w:color w:val="C0504D"/>
                <w:spacing w:val="-14"/>
              </w:rPr>
              <w:t>（2019-2023试点注册制）</w:t>
            </w:r>
          </w:p>
        </w:tc>
        <w:tc>
          <w:tcPr>
            <w:tcW w:w="2758" w:type="dxa"/>
            <w:vAlign w:val="top"/>
            <w:tcBorders>
              <w:bottom w:val="single" w:color="C0504D" w:sz="20" w:space="0"/>
            </w:tcBorders>
          </w:tcPr>
          <w:p>
            <w:pPr>
              <w:pStyle w:val="TableText"/>
              <w:ind w:left="1568"/>
              <w:spacing w:before="179" w:line="276" w:lineRule="exact"/>
              <w:rPr>
                <w:sz w:val="21"/>
                <w:szCs w:val="21"/>
              </w:rPr>
            </w:pPr>
            <w:r>
              <w:rPr>
                <w:sz w:val="21"/>
                <w:szCs w:val="21"/>
                <w:color w:val="C0504D"/>
                <w:spacing w:val="-10"/>
                <w:position w:val="1"/>
              </w:rPr>
              <w:t>2023-</w:t>
            </w:r>
          </w:p>
        </w:tc>
      </w:tr>
      <w:tr>
        <w:trPr>
          <w:trHeight w:val="502" w:hRule="atLeast"/>
        </w:trPr>
        <w:tc>
          <w:tcPr>
            <w:tcW w:w="2731" w:type="dxa"/>
            <w:vAlign w:val="top"/>
            <w:tcBorders>
              <w:top w:val="single" w:color="C0504D" w:sz="20" w:space="0"/>
            </w:tcBorders>
          </w:tcPr>
          <w:p>
            <w:pPr>
              <w:pStyle w:val="TableText"/>
              <w:ind w:left="552"/>
              <w:spacing w:before="168" w:line="219" w:lineRule="auto"/>
              <w:rPr>
                <w:sz w:val="19"/>
                <w:szCs w:val="19"/>
              </w:rPr>
            </w:pPr>
            <w:r>
              <w:rPr>
                <w:sz w:val="19"/>
                <w:szCs w:val="19"/>
                <w:color w:val="C00000"/>
                <w:spacing w:val="-12"/>
                <w:w w:val="95"/>
              </w:rPr>
              <w:t>审批制阶段</w:t>
            </w:r>
          </w:p>
        </w:tc>
        <w:tc>
          <w:tcPr>
            <w:tcW w:w="2469" w:type="dxa"/>
            <w:vAlign w:val="top"/>
            <w:tcBorders>
              <w:top w:val="single" w:color="C0504D" w:sz="20" w:space="0"/>
            </w:tcBorders>
          </w:tcPr>
          <w:p>
            <w:pPr>
              <w:pStyle w:val="TableText"/>
              <w:ind w:left="801"/>
              <w:spacing w:before="144" w:line="223" w:lineRule="auto"/>
              <w:rPr>
                <w:sz w:val="19"/>
                <w:szCs w:val="19"/>
              </w:rPr>
            </w:pPr>
            <w:r>
              <w:rPr>
                <w:sz w:val="19"/>
                <w:szCs w:val="19"/>
                <w:color w:val="C00000"/>
                <w:spacing w:val="-10"/>
                <w:w w:val="96"/>
              </w:rPr>
              <w:t>核准制阶段</w:t>
            </w:r>
          </w:p>
        </w:tc>
        <w:tc>
          <w:tcPr>
            <w:tcW w:w="2758" w:type="dxa"/>
            <w:vAlign w:val="top"/>
            <w:tcBorders>
              <w:top w:val="single" w:color="C0504D" w:sz="20" w:space="0"/>
            </w:tcBorders>
          </w:tcPr>
          <w:p>
            <w:pPr>
              <w:pStyle w:val="TableText"/>
              <w:ind w:left="1270"/>
              <w:spacing w:before="144" w:line="226" w:lineRule="auto"/>
              <w:rPr>
                <w:sz w:val="19"/>
                <w:szCs w:val="19"/>
              </w:rPr>
            </w:pPr>
            <w:r>
              <w:rPr>
                <w:sz w:val="19"/>
                <w:szCs w:val="19"/>
                <w:color w:val="C00000"/>
                <w:spacing w:val="-18"/>
              </w:rPr>
              <w:t>全面注册制</w:t>
            </w:r>
          </w:p>
        </w:tc>
      </w:tr>
      <w:tr>
        <w:trPr>
          <w:trHeight w:val="392" w:hRule="atLeast"/>
        </w:trPr>
        <w:tc>
          <w:tcPr>
            <w:tcW w:w="2731" w:type="dxa"/>
            <w:vAlign w:val="top"/>
          </w:tcPr>
          <w:p>
            <w:pPr>
              <w:pStyle w:val="TableText"/>
              <w:ind w:left="45"/>
              <w:spacing w:before="157" w:line="218" w:lineRule="auto"/>
              <w:rPr/>
            </w:pPr>
            <w:r>
              <w:rPr>
                <w:spacing w:val="-11"/>
                <w:w w:val="96"/>
              </w:rPr>
              <w:t>股票发行制度</w:t>
            </w:r>
          </w:p>
        </w:tc>
        <w:tc>
          <w:tcPr>
            <w:tcW w:w="2469" w:type="dxa"/>
            <w:vAlign w:val="top"/>
          </w:tcPr>
          <w:p>
            <w:pPr>
              <w:pStyle w:val="TableText"/>
              <w:ind w:left="116"/>
              <w:spacing w:before="150" w:line="218" w:lineRule="auto"/>
              <w:rPr/>
            </w:pPr>
            <w:r>
              <w:rPr>
                <w:spacing w:val="-11"/>
                <w:w w:val="96"/>
              </w:rPr>
              <w:t>股票发行制度</w:t>
            </w:r>
          </w:p>
        </w:tc>
        <w:tc>
          <w:tcPr>
            <w:tcW w:w="2758" w:type="dxa"/>
            <w:vAlign w:val="top"/>
          </w:tcPr>
          <w:p>
            <w:pPr>
              <w:pStyle w:val="TableText"/>
              <w:ind w:left="743"/>
              <w:spacing w:before="158" w:line="218" w:lineRule="auto"/>
              <w:rPr/>
            </w:pPr>
            <w:r>
              <w:rPr>
                <w:spacing w:val="-11"/>
                <w:w w:val="96"/>
              </w:rPr>
              <w:t>股票发行制度</w:t>
            </w:r>
          </w:p>
        </w:tc>
      </w:tr>
      <w:tr>
        <w:trPr>
          <w:trHeight w:val="310" w:hRule="atLeast"/>
        </w:trPr>
        <w:tc>
          <w:tcPr>
            <w:tcW w:w="2731" w:type="dxa"/>
            <w:vAlign w:val="top"/>
          </w:tcPr>
          <w:p>
            <w:pPr>
              <w:pStyle w:val="TableText"/>
              <w:ind w:left="55"/>
              <w:spacing w:before="75" w:line="218" w:lineRule="auto"/>
              <w:rPr/>
            </w:pPr>
            <w:r>
              <w:rPr>
                <w:rFonts w:ascii="Wingdings" w:hAnsi="Wingdings" w:eastAsia="Wingdings" w:cs="Wingdings"/>
                <w:spacing w:val="-17"/>
                <w:w w:val="98"/>
              </w:rPr>
              <w:t>n</w:t>
            </w:r>
            <w:r>
              <w:rPr>
                <w:rFonts w:ascii="Wingdings" w:hAnsi="Wingdings" w:eastAsia="Wingdings" w:cs="Wingdings"/>
                <w:spacing w:val="-66"/>
              </w:rPr>
              <w:t xml:space="preserve"> </w:t>
            </w:r>
            <w:r>
              <w:rPr>
                <w:spacing w:val="-17"/>
                <w:w w:val="98"/>
              </w:rPr>
              <w:t>额度管理及指标管理：</w:t>
            </w:r>
          </w:p>
        </w:tc>
        <w:tc>
          <w:tcPr>
            <w:tcW w:w="2469" w:type="dxa"/>
            <w:vAlign w:val="top"/>
          </w:tcPr>
          <w:p>
            <w:pPr>
              <w:pStyle w:val="TableText"/>
              <w:ind w:left="125"/>
              <w:spacing w:before="69" w:line="220" w:lineRule="auto"/>
              <w:rPr/>
            </w:pPr>
            <w:r>
              <w:rPr>
                <w:rFonts w:ascii="Wingdings" w:hAnsi="Wingdings" w:eastAsia="Wingdings" w:cs="Wingdings"/>
                <w:spacing w:val="-13"/>
                <w:w w:val="97"/>
              </w:rPr>
              <w:t>n</w:t>
            </w:r>
            <w:r>
              <w:rPr>
                <w:rFonts w:ascii="Wingdings" w:hAnsi="Wingdings" w:eastAsia="Wingdings" w:cs="Wingdings"/>
                <w:spacing w:val="-64"/>
              </w:rPr>
              <w:t xml:space="preserve"> </w:t>
            </w:r>
            <w:r>
              <w:rPr>
                <w:spacing w:val="-13"/>
                <w:w w:val="97"/>
              </w:rPr>
              <w:t>通道制（01-04</w:t>
            </w:r>
            <w:r>
              <w:rPr>
                <w:spacing w:val="-8"/>
              </w:rPr>
              <w:t>）：</w:t>
            </w:r>
            <w:r>
              <w:rPr>
                <w:spacing w:val="-13"/>
                <w:w w:val="97"/>
              </w:rPr>
              <w:t>具有承销</w:t>
            </w:r>
          </w:p>
        </w:tc>
        <w:tc>
          <w:tcPr>
            <w:tcW w:w="2758" w:type="dxa"/>
            <w:vAlign w:val="top"/>
          </w:tcPr>
          <w:p>
            <w:pPr>
              <w:pStyle w:val="TableText"/>
              <w:spacing w:before="77" w:line="217" w:lineRule="auto"/>
              <w:jc w:val="right"/>
              <w:rPr/>
            </w:pPr>
            <w:r>
              <w:rPr>
                <w:rFonts w:ascii="Wingdings" w:hAnsi="Wingdings" w:eastAsia="Wingdings" w:cs="Wingdings"/>
                <w:spacing w:val="-20"/>
                <w:w w:val="98"/>
              </w:rPr>
              <w:t>n</w:t>
            </w:r>
            <w:r>
              <w:rPr>
                <w:rFonts w:ascii="Wingdings" w:hAnsi="Wingdings" w:eastAsia="Wingdings" w:cs="Wingdings"/>
                <w:spacing w:val="-52"/>
              </w:rPr>
              <w:t xml:space="preserve"> </w:t>
            </w:r>
            <w:r>
              <w:rPr>
                <w:spacing w:val="-20"/>
                <w:w w:val="98"/>
              </w:rPr>
              <w:t>全面注册</w:t>
            </w:r>
            <w:r>
              <w:rPr>
                <w:spacing w:val="-19"/>
                <w:w w:val="98"/>
              </w:rPr>
              <w:t>制改革覆盖全国</w:t>
            </w:r>
            <w:r>
              <w:rPr>
                <w:spacing w:val="-14"/>
                <w:w w:val="98"/>
              </w:rPr>
              <w:t>性</w:t>
            </w:r>
          </w:p>
        </w:tc>
      </w:tr>
      <w:tr>
        <w:trPr>
          <w:trHeight w:val="320" w:hRule="atLeast"/>
        </w:trPr>
        <w:tc>
          <w:tcPr>
            <w:tcW w:w="2731" w:type="dxa"/>
            <w:vAlign w:val="top"/>
          </w:tcPr>
          <w:p>
            <w:pPr>
              <w:pStyle w:val="TableText"/>
              <w:ind w:left="256"/>
              <w:spacing w:before="76" w:line="218" w:lineRule="auto"/>
              <w:rPr/>
            </w:pPr>
            <w:r>
              <w:rPr>
                <w:spacing w:val="-12"/>
                <w:w w:val="96"/>
              </w:rPr>
              <w:t>采取控制股票发行总量</w:t>
            </w:r>
          </w:p>
        </w:tc>
        <w:tc>
          <w:tcPr>
            <w:tcW w:w="2469" w:type="dxa"/>
            <w:vAlign w:val="top"/>
          </w:tcPr>
          <w:p>
            <w:pPr>
              <w:pStyle w:val="TableText"/>
              <w:ind w:left="336"/>
              <w:spacing w:before="70" w:line="219" w:lineRule="auto"/>
              <w:rPr/>
            </w:pPr>
            <w:r>
              <w:rPr>
                <w:spacing w:val="-12"/>
                <w:w w:val="95"/>
              </w:rPr>
              <w:t>资格的券商分配名额</w:t>
            </w:r>
          </w:p>
        </w:tc>
        <w:tc>
          <w:tcPr>
            <w:tcW w:w="2758" w:type="dxa"/>
            <w:vAlign w:val="top"/>
          </w:tcPr>
          <w:p>
            <w:pPr>
              <w:pStyle w:val="TableText"/>
              <w:spacing w:before="77" w:line="215" w:lineRule="auto"/>
              <w:jc w:val="right"/>
              <w:rPr/>
            </w:pPr>
            <w:r>
              <w:rPr>
                <w:spacing w:val="-16"/>
                <w:w w:val="97"/>
              </w:rPr>
              <w:t>证券交易场所，涵盖各项制</w:t>
            </w:r>
          </w:p>
        </w:tc>
      </w:tr>
      <w:tr>
        <w:trPr>
          <w:trHeight w:val="312" w:hRule="atLeast"/>
        </w:trPr>
        <w:tc>
          <w:tcPr>
            <w:tcW w:w="2731" w:type="dxa"/>
            <w:vAlign w:val="top"/>
          </w:tcPr>
          <w:p>
            <w:pPr>
              <w:pStyle w:val="TableText"/>
              <w:ind w:left="258"/>
              <w:spacing w:before="66" w:line="218" w:lineRule="auto"/>
              <w:rPr/>
            </w:pPr>
            <w:r>
              <w:rPr>
                <w:spacing w:val="-9"/>
                <w:w w:val="94"/>
              </w:rPr>
              <w:t>和速度的额度管理和</w:t>
            </w:r>
          </w:p>
        </w:tc>
        <w:tc>
          <w:tcPr>
            <w:tcW w:w="2469" w:type="dxa"/>
            <w:vAlign w:val="top"/>
          </w:tcPr>
          <w:p>
            <w:pPr>
              <w:pStyle w:val="TableText"/>
              <w:ind w:left="125"/>
              <w:spacing w:before="59" w:line="222" w:lineRule="auto"/>
              <w:rPr/>
            </w:pPr>
            <w:r>
              <w:rPr>
                <w:rFonts w:ascii="Wingdings" w:hAnsi="Wingdings" w:eastAsia="Wingdings" w:cs="Wingdings"/>
                <w:spacing w:val="-12"/>
                <w:w w:val="96"/>
              </w:rPr>
              <w:t>n</w:t>
            </w:r>
            <w:r>
              <w:rPr>
                <w:rFonts w:ascii="Wingdings" w:hAnsi="Wingdings" w:eastAsia="Wingdings" w:cs="Wingdings"/>
                <w:spacing w:val="-67"/>
              </w:rPr>
              <w:t xml:space="preserve"> </w:t>
            </w:r>
            <w:r>
              <w:rPr>
                <w:spacing w:val="-12"/>
                <w:w w:val="96"/>
              </w:rPr>
              <w:t>保荐制（04-23</w:t>
            </w:r>
            <w:r>
              <w:rPr>
                <w:spacing w:val="-5"/>
              </w:rPr>
              <w:t>）：</w:t>
            </w:r>
            <w:r>
              <w:rPr>
                <w:spacing w:val="-12"/>
                <w:w w:val="96"/>
              </w:rPr>
              <w:t>企业发行</w:t>
            </w:r>
          </w:p>
        </w:tc>
        <w:tc>
          <w:tcPr>
            <w:tcW w:w="2758" w:type="dxa"/>
            <w:vAlign w:val="top"/>
          </w:tcPr>
          <w:p>
            <w:pPr>
              <w:pStyle w:val="TableText"/>
              <w:spacing w:before="68" w:line="215" w:lineRule="auto"/>
              <w:jc w:val="right"/>
              <w:rPr/>
            </w:pPr>
            <w:r>
              <w:rPr>
                <w:spacing w:val="-11"/>
                <w:w w:val="93"/>
              </w:rPr>
              <w:t>度规</w:t>
            </w:r>
            <w:r>
              <w:rPr>
                <w:spacing w:val="-10"/>
                <w:w w:val="93"/>
              </w:rPr>
              <w:t>则，覆盖各类公开发</w:t>
            </w:r>
            <w:r>
              <w:rPr>
                <w:spacing w:val="-8"/>
                <w:w w:val="93"/>
              </w:rPr>
              <w:t>行</w:t>
            </w:r>
          </w:p>
        </w:tc>
      </w:tr>
      <w:tr>
        <w:trPr>
          <w:trHeight w:val="548" w:hRule="atLeast"/>
        </w:trPr>
        <w:tc>
          <w:tcPr>
            <w:tcW w:w="2731" w:type="dxa"/>
            <w:vAlign w:val="top"/>
          </w:tcPr>
          <w:p>
            <w:pPr>
              <w:pStyle w:val="TableText"/>
              <w:ind w:left="267" w:right="743" w:hanging="30"/>
              <w:spacing w:before="66" w:line="256" w:lineRule="auto"/>
              <w:rPr/>
            </w:pPr>
            <w:r>
              <w:rPr>
                <w:spacing w:val="-13"/>
              </w:rPr>
              <w:t>“总量控制、限报家数</w:t>
            </w:r>
            <w:r>
              <w:rPr>
                <w:spacing w:val="-64"/>
              </w:rPr>
              <w:t xml:space="preserve"> </w:t>
            </w:r>
            <w:r>
              <w:rPr>
                <w:spacing w:val="-13"/>
              </w:rPr>
              <w:t>”</w:t>
            </w:r>
            <w:r>
              <w:rPr>
                <w:spacing w:val="-19"/>
              </w:rPr>
              <w:t>的指标管理</w:t>
            </w:r>
          </w:p>
        </w:tc>
        <w:tc>
          <w:tcPr>
            <w:tcW w:w="2469" w:type="dxa"/>
            <w:vAlign w:val="top"/>
          </w:tcPr>
          <w:p>
            <w:pPr>
              <w:pStyle w:val="TableText"/>
              <w:ind w:left="331"/>
              <w:spacing w:before="59" w:line="220" w:lineRule="auto"/>
              <w:rPr/>
            </w:pPr>
            <w:r>
              <w:rPr>
                <w:spacing w:val="-9"/>
                <w:w w:val="94"/>
              </w:rPr>
              <w:t>上市要有保荐机构保荐</w:t>
            </w:r>
          </w:p>
        </w:tc>
        <w:tc>
          <w:tcPr>
            <w:tcW w:w="2758" w:type="dxa"/>
            <w:vAlign w:val="top"/>
          </w:tcPr>
          <w:p>
            <w:pPr>
              <w:pStyle w:val="TableText"/>
              <w:ind w:left="954"/>
              <w:spacing w:before="66" w:line="218" w:lineRule="auto"/>
              <w:rPr/>
            </w:pPr>
            <w:r>
              <w:rPr>
                <w:spacing w:val="-16"/>
              </w:rPr>
              <w:t>股票行为</w:t>
            </w:r>
          </w:p>
        </w:tc>
      </w:tr>
    </w:tbl>
    <w:p>
      <w:pPr>
        <w:spacing w:line="284" w:lineRule="auto"/>
        <w:rPr>
          <w:rFonts w:ascii="Arial"/>
          <w:sz w:val="21"/>
        </w:rPr>
      </w:pPr>
      <w:r/>
    </w:p>
    <w:p>
      <w:pPr>
        <w:ind w:left="2002"/>
        <w:spacing w:before="98" w:line="217" w:lineRule="auto"/>
        <w:outlineLvl w:val="2"/>
        <w:rPr>
          <w:rFonts w:ascii="KaiTi" w:hAnsi="KaiTi" w:eastAsia="KaiTi" w:cs="KaiTi"/>
          <w:sz w:val="30"/>
          <w:szCs w:val="30"/>
        </w:rPr>
      </w:pPr>
      <w:r>
        <w:rPr>
          <w:rFonts w:ascii="KaiTi" w:hAnsi="KaiTi" w:eastAsia="KaiTi" w:cs="KaiTi"/>
          <w:sz w:val="30"/>
          <w:szCs w:val="30"/>
          <w:spacing w:val="-5"/>
        </w:rPr>
        <w:t>图</w:t>
      </w:r>
      <w:r>
        <w:rPr>
          <w:rFonts w:ascii="KaiTi" w:hAnsi="KaiTi" w:eastAsia="KaiTi" w:cs="KaiTi"/>
          <w:sz w:val="30"/>
          <w:szCs w:val="30"/>
          <w:spacing w:val="-42"/>
        </w:rPr>
        <w:t xml:space="preserve"> </w:t>
      </w:r>
      <w:r>
        <w:rPr>
          <w:rFonts w:ascii="KaiTi" w:hAnsi="KaiTi" w:eastAsia="KaiTi" w:cs="KaiTi"/>
          <w:sz w:val="30"/>
          <w:szCs w:val="30"/>
          <w:spacing w:val="-5"/>
        </w:rPr>
        <w:t>1</w:t>
      </w:r>
      <w:r>
        <w:rPr>
          <w:rFonts w:ascii="KaiTi" w:hAnsi="KaiTi" w:eastAsia="KaiTi" w:cs="KaiTi"/>
          <w:sz w:val="30"/>
          <w:szCs w:val="30"/>
          <w:spacing w:val="-5"/>
        </w:rPr>
        <w:t xml:space="preserve">  </w:t>
      </w:r>
      <w:r>
        <w:rPr>
          <w:rFonts w:ascii="KaiTi" w:hAnsi="KaiTi" w:eastAsia="KaiTi" w:cs="KaiTi"/>
          <w:sz w:val="30"/>
          <w:szCs w:val="30"/>
          <w:spacing w:val="-5"/>
        </w:rPr>
        <w:t>我国证券市场发行制度变迁</w:t>
      </w:r>
    </w:p>
    <w:p>
      <w:pPr>
        <w:spacing w:line="250" w:lineRule="auto"/>
        <w:rPr>
          <w:rFonts w:ascii="Arial"/>
          <w:sz w:val="21"/>
        </w:rPr>
      </w:pPr>
      <w:r/>
    </w:p>
    <w:p>
      <w:pPr>
        <w:ind w:left="5" w:right="233" w:firstLine="623"/>
        <w:spacing w:before="98" w:line="259" w:lineRule="auto"/>
        <w:jc w:val="both"/>
        <w:rPr>
          <w:rFonts w:ascii="SimSun" w:hAnsi="SimSun" w:eastAsia="SimSun" w:cs="SimSun"/>
          <w:sz w:val="30"/>
          <w:szCs w:val="30"/>
        </w:rPr>
      </w:pPr>
      <w:r>
        <w:rPr>
          <w:rFonts w:ascii="SimSun" w:hAnsi="SimSun" w:eastAsia="SimSun" w:cs="SimSun"/>
          <w:sz w:val="30"/>
          <w:szCs w:val="30"/>
          <w:spacing w:val="-1"/>
        </w:rPr>
        <w:t>我国 </w:t>
      </w:r>
      <w:r>
        <w:rPr>
          <w:rFonts w:ascii="Times New Roman" w:hAnsi="Times New Roman" w:eastAsia="Times New Roman" w:cs="Times New Roman"/>
          <w:sz w:val="30"/>
          <w:szCs w:val="30"/>
          <w:spacing w:val="-1"/>
        </w:rPr>
        <w:t>A  </w:t>
      </w:r>
      <w:r>
        <w:rPr>
          <w:rFonts w:ascii="SimSun" w:hAnsi="SimSun" w:eastAsia="SimSun" w:cs="SimSun"/>
          <w:sz w:val="30"/>
          <w:szCs w:val="30"/>
          <w:spacing w:val="-1"/>
        </w:rPr>
        <w:t>股上市发行历经了从“审批制”到“核准制”再到</w:t>
      </w:r>
      <w:r>
        <w:rPr>
          <w:rFonts w:ascii="SimSun" w:hAnsi="SimSun" w:eastAsia="SimSun" w:cs="SimSun"/>
          <w:sz w:val="30"/>
          <w:szCs w:val="30"/>
          <w:spacing w:val="-9"/>
        </w:rPr>
        <w:t>“注册制”的三阶段演化历程</w:t>
      </w:r>
      <w:r>
        <w:rPr>
          <w:rFonts w:ascii="Times New Roman" w:hAnsi="Times New Roman" w:eastAsia="Times New Roman" w:cs="Times New Roman"/>
          <w:sz w:val="18"/>
          <w:szCs w:val="18"/>
          <w:spacing w:val="-9"/>
          <w:position w:val="10"/>
        </w:rPr>
        <w:t>1</w:t>
      </w:r>
      <w:r>
        <w:rPr>
          <w:rFonts w:ascii="SimSun" w:hAnsi="SimSun" w:eastAsia="SimSun" w:cs="SimSun"/>
          <w:sz w:val="30"/>
          <w:szCs w:val="30"/>
          <w:spacing w:val="-9"/>
        </w:rPr>
        <w:t>。与审批制及核准制相比，</w:t>
      </w:r>
      <w:r>
        <w:rPr>
          <w:rFonts w:ascii="SimSun" w:hAnsi="SimSun" w:eastAsia="SimSun" w:cs="SimSun"/>
          <w:sz w:val="30"/>
          <w:szCs w:val="30"/>
          <w:spacing w:val="-65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9"/>
        </w:rPr>
        <w:t>注册制</w:t>
      </w:r>
      <w:r>
        <w:rPr>
          <w:rFonts w:ascii="SimSun" w:hAnsi="SimSun" w:eastAsia="SimSun" w:cs="SimSun"/>
          <w:sz w:val="30"/>
          <w:szCs w:val="30"/>
          <w:spacing w:val="-10"/>
        </w:rPr>
        <w:t>主要对发行、审核、定价等方面进行调整优化，</w:t>
      </w:r>
      <w:r>
        <w:rPr>
          <w:rFonts w:ascii="SimSun" w:hAnsi="SimSun" w:eastAsia="SimSun" w:cs="SimSun"/>
          <w:sz w:val="30"/>
          <w:szCs w:val="30"/>
          <w:spacing w:val="50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10"/>
        </w:rPr>
        <w:t>目</w:t>
      </w:r>
      <w:r>
        <w:rPr>
          <w:rFonts w:ascii="SimSun" w:hAnsi="SimSun" w:eastAsia="SimSun" w:cs="SimSun"/>
          <w:sz w:val="30"/>
          <w:szCs w:val="30"/>
          <w:spacing w:val="-11"/>
        </w:rPr>
        <w:t>标是打通不同</w:t>
      </w:r>
      <w:r>
        <w:rPr>
          <w:rFonts w:ascii="SimSun" w:hAnsi="SimSun" w:eastAsia="SimSun" w:cs="SimSun"/>
          <w:sz w:val="30"/>
          <w:szCs w:val="30"/>
          <w:spacing w:val="-3"/>
        </w:rPr>
        <w:t>类型实体企业直接融资途径，更好发挥市场资源配置职</w:t>
      </w:r>
      <w:r>
        <w:rPr>
          <w:rFonts w:ascii="SimSun" w:hAnsi="SimSun" w:eastAsia="SimSun" w:cs="SimSun"/>
          <w:sz w:val="30"/>
          <w:szCs w:val="30"/>
          <w:spacing w:val="-4"/>
        </w:rPr>
        <w:t>能，服务</w:t>
      </w:r>
      <w:r>
        <w:rPr>
          <w:rFonts w:ascii="SimSun" w:hAnsi="SimSun" w:eastAsia="SimSun" w:cs="SimSun"/>
          <w:sz w:val="30"/>
          <w:szCs w:val="30"/>
          <w:spacing w:val="-6"/>
        </w:rPr>
        <w:t>实体经济。</w:t>
      </w:r>
    </w:p>
    <w:p>
      <w:pPr>
        <w:spacing w:before="269" w:line="220" w:lineRule="auto"/>
        <w:jc w:val="right"/>
        <w:rPr>
          <w:rFonts w:ascii="SimSun" w:hAnsi="SimSun" w:eastAsia="SimSun" w:cs="SimSun"/>
          <w:sz w:val="30"/>
          <w:szCs w:val="30"/>
        </w:rPr>
      </w:pPr>
      <w:r>
        <w:rPr>
          <w:rFonts w:ascii="SimSun" w:hAnsi="SimSun" w:eastAsia="SimSun" w:cs="SimSun"/>
          <w:sz w:val="30"/>
          <w:szCs w:val="30"/>
          <w:spacing w:val="-7"/>
        </w:rPr>
        <w:t>全面注册制一是优化发行上市条件。坚持以信息披露为核心，</w:t>
      </w:r>
    </w:p>
    <w:p>
      <w:pPr>
        <w:spacing w:line="474" w:lineRule="auto"/>
        <w:rPr>
          <w:rFonts w:ascii="Arial"/>
          <w:sz w:val="21"/>
        </w:rPr>
      </w:pPr>
      <w:r>
        <w:pict>
          <v:shape id="_x0000_s2" style="position:absolute;margin-left:0.72599pt;margin-top:20.1673pt;mso-position-vertical-relative:text;mso-position-horizontal-relative:text;width:144.05pt;height:0.5pt;z-index:251658240;" fillcolor="#000000" filled="true" stroked="false" coordsize="2881,10" coordorigin="0,0" path="m0,9l2880,9l2880,0l0,0l0,9xe"/>
        </w:pict>
      </w:r>
      <w:r/>
    </w:p>
    <w:p>
      <w:pPr>
        <w:pStyle w:val="BodyText"/>
        <w:ind w:left="28" w:right="392" w:hanging="2"/>
        <w:spacing w:before="70" w:line="238" w:lineRule="auto"/>
        <w:rPr/>
      </w:pPr>
      <w:r>
        <w:rPr>
          <w:sz w:val="11"/>
          <w:szCs w:val="11"/>
          <w:spacing w:val="-2"/>
          <w:position w:val="10"/>
        </w:rPr>
        <w:t>1</w:t>
      </w:r>
      <w:r>
        <w:rPr>
          <w:sz w:val="11"/>
          <w:szCs w:val="11"/>
          <w:spacing w:val="15"/>
          <w:w w:val="101"/>
          <w:position w:val="10"/>
        </w:rPr>
        <w:t xml:space="preserve">  </w:t>
      </w:r>
      <w:r>
        <w:rPr>
          <w:spacing w:val="-2"/>
        </w:rPr>
        <w:t>以</w:t>
      </w:r>
      <w:r>
        <w:rPr>
          <w:spacing w:val="-42"/>
        </w:rPr>
        <w:t xml:space="preserve"> </w:t>
      </w:r>
      <w:r>
        <w:rPr>
          <w:spacing w:val="-2"/>
        </w:rPr>
        <w:t>2019</w:t>
      </w:r>
      <w:r>
        <w:rPr>
          <w:spacing w:val="-35"/>
        </w:rPr>
        <w:t xml:space="preserve"> </w:t>
      </w:r>
      <w:r>
        <w:rPr>
          <w:spacing w:val="-2"/>
        </w:rPr>
        <w:t>年上交所科创板开板并试点注册制为标志，随</w:t>
      </w:r>
      <w:r>
        <w:rPr>
          <w:spacing w:val="-3"/>
        </w:rPr>
        <w:t>后</w:t>
      </w:r>
      <w:r>
        <w:rPr>
          <w:spacing w:val="-42"/>
        </w:rPr>
        <w:t xml:space="preserve"> </w:t>
      </w:r>
      <w:r>
        <w:rPr>
          <w:spacing w:val="-3"/>
        </w:rPr>
        <w:t>2020</w:t>
      </w:r>
      <w:r>
        <w:rPr>
          <w:spacing w:val="-34"/>
        </w:rPr>
        <w:t xml:space="preserve"> </w:t>
      </w:r>
      <w:r>
        <w:rPr>
          <w:spacing w:val="-3"/>
        </w:rPr>
        <w:t>年深交所创业板试点注册</w:t>
      </w:r>
      <w:r>
        <w:rPr>
          <w:spacing w:val="-1"/>
        </w:rPr>
        <w:t>制、2021</w:t>
      </w:r>
      <w:r>
        <w:rPr>
          <w:spacing w:val="-36"/>
        </w:rPr>
        <w:t xml:space="preserve"> </w:t>
      </w:r>
      <w:r>
        <w:rPr>
          <w:spacing w:val="-1"/>
        </w:rPr>
        <w:t>年北交所开市并试点注册制、2</w:t>
      </w:r>
      <w:r>
        <w:rPr>
          <w:spacing w:val="-2"/>
        </w:rPr>
        <w:t>023</w:t>
      </w:r>
      <w:r>
        <w:rPr>
          <w:spacing w:val="-37"/>
        </w:rPr>
        <w:t xml:space="preserve"> </w:t>
      </w:r>
      <w:r>
        <w:rPr>
          <w:spacing w:val="-2"/>
        </w:rPr>
        <w:t>年正式施行全面注册制</w:t>
      </w:r>
    </w:p>
    <w:p>
      <w:pPr>
        <w:spacing w:line="238" w:lineRule="auto"/>
        <w:sectPr>
          <w:pgSz w:w="11907" w:h="16839"/>
          <w:pgMar w:top="1431" w:right="1566" w:bottom="0" w:left="1785" w:header="0" w:footer="0" w:gutter="0"/>
        </w:sectPr>
        <w:rPr/>
      </w:pPr>
    </w:p>
    <w:p>
      <w:pPr>
        <w:spacing w:line="253" w:lineRule="auto"/>
        <w:rPr>
          <w:rFonts w:ascii="Arial"/>
          <w:sz w:val="21"/>
        </w:rPr>
      </w:pPr>
      <w:r/>
    </w:p>
    <w:p>
      <w:pPr>
        <w:spacing w:line="253" w:lineRule="auto"/>
        <w:rPr>
          <w:rFonts w:ascii="Arial"/>
          <w:sz w:val="21"/>
        </w:rPr>
      </w:pPr>
      <w:r/>
    </w:p>
    <w:p>
      <w:pPr>
        <w:spacing w:line="253" w:lineRule="auto"/>
        <w:rPr>
          <w:rFonts w:ascii="Arial"/>
          <w:sz w:val="21"/>
        </w:rPr>
      </w:pPr>
      <w:r/>
    </w:p>
    <w:p>
      <w:pPr>
        <w:spacing w:line="254" w:lineRule="auto"/>
        <w:rPr>
          <w:rFonts w:ascii="Arial"/>
          <w:sz w:val="21"/>
        </w:rPr>
      </w:pPr>
      <w:r/>
    </w:p>
    <w:p>
      <w:pPr>
        <w:ind w:left="24" w:hanging="1"/>
        <w:spacing w:before="97" w:line="260" w:lineRule="auto"/>
        <w:jc w:val="both"/>
        <w:rPr>
          <w:rFonts w:ascii="SimSun" w:hAnsi="SimSun" w:eastAsia="SimSun" w:cs="SimSun"/>
          <w:sz w:val="30"/>
          <w:szCs w:val="30"/>
        </w:rPr>
      </w:pPr>
      <w:r>
        <w:rPr>
          <w:rFonts w:ascii="SimSun" w:hAnsi="SimSun" w:eastAsia="SimSun" w:cs="SimSun"/>
          <w:sz w:val="30"/>
          <w:szCs w:val="30"/>
          <w:spacing w:val="-4"/>
        </w:rPr>
        <w:t>将核准制下的发行条件尽可能转化为信息披露要求，依据各板块</w:t>
      </w:r>
      <w:r>
        <w:rPr>
          <w:rFonts w:ascii="SimSun" w:hAnsi="SimSun" w:eastAsia="SimSun" w:cs="SimSun"/>
          <w:sz w:val="30"/>
          <w:szCs w:val="30"/>
          <w:spacing w:val="-9"/>
        </w:rPr>
        <w:t>特性调整放宽上市企业的规模、盈利、研发等要求， 设置多元包</w:t>
      </w:r>
      <w:r>
        <w:rPr>
          <w:rFonts w:ascii="SimSun" w:hAnsi="SimSun" w:eastAsia="SimSun" w:cs="SimSun"/>
          <w:sz w:val="30"/>
          <w:szCs w:val="30"/>
          <w:spacing w:val="-4"/>
        </w:rPr>
        <w:t>容的上市条件，基本覆盖不同行业、不同类型、不同成长阶段的</w:t>
      </w:r>
      <w:r>
        <w:rPr>
          <w:rFonts w:ascii="SimSun" w:hAnsi="SimSun" w:eastAsia="SimSun" w:cs="SimSun"/>
          <w:sz w:val="30"/>
          <w:szCs w:val="30"/>
          <w:spacing w:val="-4"/>
        </w:rPr>
        <w:t>企业。二是首次明晰板块定位。主板重点突出行业地位、经营稳</w:t>
      </w:r>
      <w:r>
        <w:rPr>
          <w:rFonts w:ascii="SimSun" w:hAnsi="SimSun" w:eastAsia="SimSun" w:cs="SimSun"/>
          <w:sz w:val="30"/>
          <w:szCs w:val="30"/>
        </w:rPr>
        <w:t>定性等指标，创业板、科创板、北交所重点突出创新属性指标、</w:t>
      </w:r>
      <w:r>
        <w:rPr>
          <w:rFonts w:ascii="SimSun" w:hAnsi="SimSun" w:eastAsia="SimSun" w:cs="SimSun"/>
          <w:sz w:val="30"/>
          <w:szCs w:val="30"/>
          <w:spacing w:val="-4"/>
        </w:rPr>
        <w:t>科创属性指标及重大事项要求，形成“主板突出大盘蓝筹、科创</w:t>
      </w:r>
      <w:r>
        <w:rPr>
          <w:rFonts w:ascii="SimSun" w:hAnsi="SimSun" w:eastAsia="SimSun" w:cs="SimSun"/>
          <w:sz w:val="30"/>
          <w:szCs w:val="30"/>
          <w:spacing w:val="-4"/>
        </w:rPr>
        <w:t>板面向前沿硬核科技、创业板服务三创四新、北交所定位专精特</w:t>
      </w:r>
      <w:r>
        <w:rPr>
          <w:rFonts w:ascii="SimSun" w:hAnsi="SimSun" w:eastAsia="SimSun" w:cs="SimSun"/>
          <w:sz w:val="30"/>
          <w:szCs w:val="30"/>
          <w:spacing w:val="-4"/>
        </w:rPr>
        <w:t>新企业”的多层次资本市场体系。三是透明审核过程。原核准制</w:t>
      </w:r>
      <w:r>
        <w:rPr>
          <w:rFonts w:ascii="SimSun" w:hAnsi="SimSun" w:eastAsia="SimSun" w:cs="SimSun"/>
          <w:sz w:val="30"/>
          <w:szCs w:val="30"/>
          <w:spacing w:val="-8"/>
        </w:rPr>
        <w:t>下审核过程封闭、进度节点及问询内容透明度偏低，</w:t>
      </w:r>
      <w:r>
        <w:rPr>
          <w:rFonts w:ascii="SimSun" w:hAnsi="SimSun" w:eastAsia="SimSun" w:cs="SimSun"/>
          <w:sz w:val="30"/>
          <w:szCs w:val="30"/>
          <w:spacing w:val="-34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8"/>
        </w:rPr>
        <w:t>新注册制下</w:t>
      </w:r>
      <w:r>
        <w:rPr>
          <w:rFonts w:ascii="SimSun" w:hAnsi="SimSun" w:eastAsia="SimSun" w:cs="SimSun"/>
          <w:sz w:val="30"/>
          <w:szCs w:val="30"/>
          <w:spacing w:val="-6"/>
        </w:rPr>
        <w:t>对任一拟申请公司的审核标准、进度节点等信息均向全社会公开，</w:t>
      </w:r>
      <w:r>
        <w:rPr>
          <w:rFonts w:ascii="SimSun" w:hAnsi="SimSun" w:eastAsia="SimSun" w:cs="SimSun"/>
          <w:sz w:val="30"/>
          <w:szCs w:val="30"/>
          <w:spacing w:val="-4"/>
        </w:rPr>
        <w:t>上市进程规范、透明、可预期。四是审核周期高效。原核准制下</w:t>
      </w:r>
      <w:r>
        <w:rPr>
          <w:rFonts w:ascii="SimSun" w:hAnsi="SimSun" w:eastAsia="SimSun" w:cs="SimSun"/>
          <w:sz w:val="30"/>
          <w:szCs w:val="30"/>
          <w:spacing w:val="-4"/>
        </w:rPr>
        <w:t>未明确理论审核周期，通常实际时间较长，新注册制下理论审核</w:t>
      </w:r>
      <w:r>
        <w:rPr>
          <w:rFonts w:ascii="SimSun" w:hAnsi="SimSun" w:eastAsia="SimSun" w:cs="SimSun"/>
          <w:sz w:val="30"/>
          <w:szCs w:val="30"/>
          <w:spacing w:val="-6"/>
        </w:rPr>
        <w:t>周期为</w:t>
      </w:r>
      <w:r>
        <w:rPr>
          <w:rFonts w:ascii="SimSun" w:hAnsi="SimSun" w:eastAsia="SimSun" w:cs="SimSun"/>
          <w:sz w:val="30"/>
          <w:szCs w:val="30"/>
          <w:spacing w:val="-63"/>
        </w:rPr>
        <w:t xml:space="preserve"> </w:t>
      </w:r>
      <w:r>
        <w:rPr>
          <w:rFonts w:ascii="Times New Roman" w:hAnsi="Times New Roman" w:eastAsia="Times New Roman" w:cs="Times New Roman"/>
          <w:sz w:val="30"/>
          <w:szCs w:val="30"/>
          <w:spacing w:val="-6"/>
        </w:rPr>
        <w:t>6 </w:t>
      </w:r>
      <w:r>
        <w:rPr>
          <w:rFonts w:ascii="SimSun" w:hAnsi="SimSun" w:eastAsia="SimSun" w:cs="SimSun"/>
          <w:sz w:val="30"/>
          <w:szCs w:val="30"/>
          <w:spacing w:val="-6"/>
        </w:rPr>
        <w:t>个月。</w:t>
      </w:r>
    </w:p>
    <w:p>
      <w:pPr>
        <w:spacing w:line="318" w:lineRule="auto"/>
        <w:rPr>
          <w:rFonts w:ascii="Arial"/>
          <w:sz w:val="21"/>
        </w:rPr>
      </w:pPr>
      <w:r/>
    </w:p>
    <w:p>
      <w:pPr>
        <w:ind w:left="675"/>
        <w:spacing w:before="101" w:line="224" w:lineRule="auto"/>
        <w:outlineLvl w:val="1"/>
        <w:rPr>
          <w:rFonts w:ascii="SimHei" w:hAnsi="SimHei" w:eastAsia="SimHei" w:cs="SimHei"/>
          <w:sz w:val="31"/>
          <w:szCs w:val="31"/>
        </w:rPr>
      </w:pPr>
      <w:r>
        <w:rPr>
          <w:rFonts w:ascii="SimHei" w:hAnsi="SimHei" w:eastAsia="SimHei" w:cs="SimHei"/>
          <w:sz w:val="31"/>
          <w:szCs w:val="31"/>
          <w:b/>
          <w:bCs/>
          <w:spacing w:val="6"/>
        </w:rPr>
        <w:t>二、全面注册制改革的影响分析</w:t>
      </w:r>
    </w:p>
    <w:p>
      <w:pPr>
        <w:spacing w:line="272" w:lineRule="auto"/>
        <w:rPr>
          <w:rFonts w:ascii="Arial"/>
          <w:sz w:val="21"/>
        </w:rPr>
      </w:pPr>
      <w:r/>
    </w:p>
    <w:p>
      <w:pPr>
        <w:ind w:left="636"/>
        <w:spacing w:before="98" w:line="232" w:lineRule="auto"/>
        <w:outlineLvl w:val="2"/>
        <w:rPr>
          <w:rFonts w:ascii="SimSun" w:hAnsi="SimSun" w:eastAsia="SimSun" w:cs="SimSun"/>
          <w:sz w:val="30"/>
          <w:szCs w:val="30"/>
        </w:rPr>
      </w:pPr>
      <w:r>
        <w:rPr>
          <w:rFonts w:ascii="Times New Roman" w:hAnsi="Times New Roman" w:eastAsia="Times New Roman" w:cs="Times New Roman"/>
          <w:sz w:val="30"/>
          <w:szCs w:val="30"/>
          <w:b/>
          <w:bCs/>
          <w:spacing w:val="-3"/>
        </w:rPr>
        <w:t>1</w:t>
      </w:r>
      <w:r>
        <w:rPr>
          <w:rFonts w:ascii="SimSun" w:hAnsi="SimSun" w:eastAsia="SimSun" w:cs="SimSun"/>
          <w:sz w:val="30"/>
          <w:szCs w:val="30"/>
          <w:b/>
          <w:bCs/>
          <w:spacing w:val="-3"/>
        </w:rPr>
        <w:t>．市场容量扩大，央企资本运作迎来更多价值机遇</w:t>
      </w:r>
    </w:p>
    <w:p>
      <w:pPr>
        <w:ind w:left="22" w:right="232" w:firstLine="604"/>
        <w:spacing w:before="322" w:line="257" w:lineRule="auto"/>
        <w:jc w:val="both"/>
        <w:rPr>
          <w:rFonts w:ascii="SimSun" w:hAnsi="SimSun" w:eastAsia="SimSun" w:cs="SimSun"/>
          <w:sz w:val="30"/>
          <w:szCs w:val="30"/>
        </w:rPr>
      </w:pPr>
      <w:r>
        <w:rPr>
          <w:rFonts w:ascii="SimSun" w:hAnsi="SimSun" w:eastAsia="SimSun" w:cs="SimSun"/>
          <w:sz w:val="30"/>
          <w:szCs w:val="30"/>
          <w:spacing w:val="-4"/>
        </w:rPr>
        <w:t>全面注册制为企业上市打开更大空间。过往核准制对企</w:t>
      </w:r>
      <w:r>
        <w:rPr>
          <w:rFonts w:ascii="SimSun" w:hAnsi="SimSun" w:eastAsia="SimSun" w:cs="SimSun"/>
          <w:sz w:val="30"/>
          <w:szCs w:val="30"/>
          <w:spacing w:val="-5"/>
        </w:rPr>
        <w:t>业资</w:t>
      </w:r>
      <w:r>
        <w:rPr>
          <w:rFonts w:ascii="SimSun" w:hAnsi="SimSun" w:eastAsia="SimSun" w:cs="SimSun"/>
          <w:sz w:val="30"/>
          <w:szCs w:val="30"/>
          <w:spacing w:val="-9"/>
        </w:rPr>
        <w:t>本结构、规模、盈利能力等提出较高要求， 处于成熟期的大型企</w:t>
      </w:r>
      <w:r>
        <w:rPr>
          <w:rFonts w:ascii="SimSun" w:hAnsi="SimSun" w:eastAsia="SimSun" w:cs="SimSun"/>
          <w:sz w:val="30"/>
          <w:szCs w:val="30"/>
          <w:spacing w:val="7"/>
        </w:rPr>
        <w:t>业更易获得主板上市机会。全面注册制降低了相关要求，企业</w:t>
      </w:r>
      <w:r>
        <w:rPr>
          <w:rFonts w:ascii="Times New Roman" w:hAnsi="Times New Roman" w:eastAsia="Times New Roman" w:cs="Times New Roman"/>
          <w:sz w:val="30"/>
          <w:szCs w:val="30"/>
          <w:spacing w:val="-3"/>
        </w:rPr>
        <w:t>IPO</w:t>
      </w:r>
      <w:r>
        <w:rPr>
          <w:rFonts w:ascii="Times New Roman" w:hAnsi="Times New Roman" w:eastAsia="Times New Roman" w:cs="Times New Roman"/>
          <w:sz w:val="30"/>
          <w:szCs w:val="30"/>
          <w:spacing w:val="57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3"/>
        </w:rPr>
        <w:t>资本化“大门</w:t>
      </w:r>
      <w:r>
        <w:rPr>
          <w:rFonts w:ascii="SimSun" w:hAnsi="SimSun" w:eastAsia="SimSun" w:cs="SimSun"/>
          <w:sz w:val="30"/>
          <w:szCs w:val="30"/>
          <w:spacing w:val="-112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3"/>
        </w:rPr>
        <w:t>”将彻底打开。创业板自</w:t>
      </w:r>
      <w:r>
        <w:rPr>
          <w:rFonts w:ascii="SimSun" w:hAnsi="SimSun" w:eastAsia="SimSun" w:cs="SimSun"/>
          <w:sz w:val="30"/>
          <w:szCs w:val="30"/>
          <w:spacing w:val="-36"/>
        </w:rPr>
        <w:t xml:space="preserve"> </w:t>
      </w:r>
      <w:r>
        <w:rPr>
          <w:rFonts w:ascii="Times New Roman" w:hAnsi="Times New Roman" w:eastAsia="Times New Roman" w:cs="Times New Roman"/>
          <w:sz w:val="30"/>
          <w:szCs w:val="30"/>
          <w:spacing w:val="-3"/>
        </w:rPr>
        <w:t>2020</w:t>
      </w:r>
      <w:r>
        <w:rPr>
          <w:rFonts w:ascii="Times New Roman" w:hAnsi="Times New Roman" w:eastAsia="Times New Roman" w:cs="Times New Roman"/>
          <w:sz w:val="30"/>
          <w:szCs w:val="30"/>
          <w:spacing w:val="48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3"/>
        </w:rPr>
        <w:t>年试点注</w:t>
      </w:r>
      <w:r>
        <w:rPr>
          <w:rFonts w:ascii="SimSun" w:hAnsi="SimSun" w:eastAsia="SimSun" w:cs="SimSun"/>
          <w:sz w:val="30"/>
          <w:szCs w:val="30"/>
          <w:spacing w:val="-4"/>
        </w:rPr>
        <w:t>册制</w:t>
      </w:r>
      <w:r>
        <w:rPr>
          <w:rFonts w:ascii="SimSun" w:hAnsi="SimSun" w:eastAsia="SimSun" w:cs="SimSun"/>
          <w:sz w:val="30"/>
          <w:szCs w:val="30"/>
          <w:spacing w:val="-9"/>
        </w:rPr>
        <w:t>以来，每年</w:t>
      </w:r>
      <w:r>
        <w:rPr>
          <w:rFonts w:ascii="SimSun" w:hAnsi="SimSun" w:eastAsia="SimSun" w:cs="SimSun"/>
          <w:sz w:val="30"/>
          <w:szCs w:val="30"/>
          <w:spacing w:val="-69"/>
        </w:rPr>
        <w:t xml:space="preserve"> </w:t>
      </w:r>
      <w:r>
        <w:rPr>
          <w:rFonts w:ascii="Times New Roman" w:hAnsi="Times New Roman" w:eastAsia="Times New Roman" w:cs="Times New Roman"/>
          <w:sz w:val="30"/>
          <w:szCs w:val="30"/>
          <w:spacing w:val="-9"/>
        </w:rPr>
        <w:t>IPO </w:t>
      </w:r>
      <w:r>
        <w:rPr>
          <w:rFonts w:ascii="SimSun" w:hAnsi="SimSun" w:eastAsia="SimSun" w:cs="SimSun"/>
          <w:sz w:val="30"/>
          <w:szCs w:val="30"/>
          <w:spacing w:val="-9"/>
        </w:rPr>
        <w:t>数量分别为</w:t>
      </w:r>
      <w:r>
        <w:rPr>
          <w:rFonts w:ascii="SimSun" w:hAnsi="SimSun" w:eastAsia="SimSun" w:cs="SimSun"/>
          <w:sz w:val="30"/>
          <w:szCs w:val="30"/>
          <w:spacing w:val="-40"/>
        </w:rPr>
        <w:t xml:space="preserve"> </w:t>
      </w:r>
      <w:r>
        <w:rPr>
          <w:rFonts w:ascii="Times New Roman" w:hAnsi="Times New Roman" w:eastAsia="Times New Roman" w:cs="Times New Roman"/>
          <w:sz w:val="30"/>
          <w:szCs w:val="30"/>
          <w:spacing w:val="-9"/>
        </w:rPr>
        <w:t>107 </w:t>
      </w:r>
      <w:r>
        <w:rPr>
          <w:rFonts w:ascii="SimSun" w:hAnsi="SimSun" w:eastAsia="SimSun" w:cs="SimSun"/>
          <w:sz w:val="30"/>
          <w:szCs w:val="30"/>
          <w:spacing w:val="-9"/>
        </w:rPr>
        <w:t>家、</w:t>
      </w:r>
      <w:r>
        <w:rPr>
          <w:rFonts w:ascii="Times New Roman" w:hAnsi="Times New Roman" w:eastAsia="Times New Roman" w:cs="Times New Roman"/>
          <w:sz w:val="30"/>
          <w:szCs w:val="30"/>
          <w:spacing w:val="-9"/>
        </w:rPr>
        <w:t>199 </w:t>
      </w:r>
      <w:r>
        <w:rPr>
          <w:rFonts w:ascii="SimSun" w:hAnsi="SimSun" w:eastAsia="SimSun" w:cs="SimSun"/>
          <w:sz w:val="30"/>
          <w:szCs w:val="30"/>
          <w:spacing w:val="-9"/>
        </w:rPr>
        <w:t>家、</w:t>
      </w:r>
      <w:r>
        <w:rPr>
          <w:rFonts w:ascii="Times New Roman" w:hAnsi="Times New Roman" w:eastAsia="Times New Roman" w:cs="Times New Roman"/>
          <w:sz w:val="30"/>
          <w:szCs w:val="30"/>
          <w:spacing w:val="-9"/>
        </w:rPr>
        <w:t>150</w:t>
      </w:r>
      <w:r>
        <w:rPr>
          <w:rFonts w:ascii="Times New Roman" w:hAnsi="Times New Roman" w:eastAsia="Times New Roman" w:cs="Times New Roman"/>
          <w:sz w:val="30"/>
          <w:szCs w:val="30"/>
          <w:spacing w:val="15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9"/>
        </w:rPr>
        <w:t>家，远高于</w:t>
      </w:r>
      <w:r>
        <w:rPr>
          <w:rFonts w:ascii="Times New Roman" w:hAnsi="Times New Roman" w:eastAsia="Times New Roman" w:cs="Times New Roman"/>
          <w:sz w:val="30"/>
          <w:szCs w:val="30"/>
          <w:spacing w:val="-9"/>
        </w:rPr>
        <w:t>2019</w:t>
      </w:r>
      <w:r>
        <w:rPr>
          <w:rFonts w:ascii="SimSun" w:hAnsi="SimSun" w:eastAsia="SimSun" w:cs="SimSun"/>
          <w:sz w:val="30"/>
          <w:szCs w:val="30"/>
          <w:spacing w:val="-6"/>
        </w:rPr>
        <w:t>年</w:t>
      </w:r>
      <w:r>
        <w:rPr>
          <w:rFonts w:ascii="SimSun" w:hAnsi="SimSun" w:eastAsia="SimSun" w:cs="SimSun"/>
          <w:sz w:val="30"/>
          <w:szCs w:val="30"/>
          <w:spacing w:val="-54"/>
        </w:rPr>
        <w:t xml:space="preserve"> </w:t>
      </w:r>
      <w:r>
        <w:rPr>
          <w:rFonts w:ascii="Times New Roman" w:hAnsi="Times New Roman" w:eastAsia="Times New Roman" w:cs="Times New Roman"/>
          <w:sz w:val="30"/>
          <w:szCs w:val="30"/>
          <w:spacing w:val="-6"/>
        </w:rPr>
        <w:t>52 </w:t>
      </w:r>
      <w:r>
        <w:rPr>
          <w:rFonts w:ascii="SimSun" w:hAnsi="SimSun" w:eastAsia="SimSun" w:cs="SimSun"/>
          <w:sz w:val="30"/>
          <w:szCs w:val="30"/>
          <w:spacing w:val="-6"/>
        </w:rPr>
        <w:t>家的</w:t>
      </w:r>
      <w:r>
        <w:rPr>
          <w:rFonts w:ascii="SimSun" w:hAnsi="SimSun" w:eastAsia="SimSun" w:cs="SimSun"/>
          <w:sz w:val="30"/>
          <w:szCs w:val="30"/>
          <w:spacing w:val="-68"/>
        </w:rPr>
        <w:t xml:space="preserve"> </w:t>
      </w:r>
      <w:r>
        <w:rPr>
          <w:rFonts w:ascii="Times New Roman" w:hAnsi="Times New Roman" w:eastAsia="Times New Roman" w:cs="Times New Roman"/>
          <w:sz w:val="30"/>
          <w:szCs w:val="30"/>
          <w:spacing w:val="-6"/>
        </w:rPr>
        <w:t>IPO</w:t>
      </w:r>
      <w:r>
        <w:rPr>
          <w:rFonts w:ascii="Times New Roman" w:hAnsi="Times New Roman" w:eastAsia="Times New Roman" w:cs="Times New Roman"/>
          <w:sz w:val="30"/>
          <w:szCs w:val="30"/>
          <w:spacing w:val="14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6"/>
        </w:rPr>
        <w:t>数量。</w:t>
      </w:r>
    </w:p>
    <w:p>
      <w:pPr>
        <w:spacing w:line="257" w:lineRule="auto"/>
        <w:sectPr>
          <w:headerReference w:type="default" r:id="rId1"/>
          <w:pgSz w:w="11907" w:h="16839"/>
          <w:pgMar w:top="400" w:right="1566" w:bottom="0" w:left="1785" w:header="0" w:footer="0" w:gutter="0"/>
          <w:cols w:equalWidth="0" w:num="1">
            <w:col w:w="8555" w:space="0"/>
          </w:cols>
        </w:sectPr>
        <w:rPr>
          <w:rFonts w:ascii="SimSun" w:hAnsi="SimSun" w:eastAsia="SimSun" w:cs="SimSun"/>
          <w:sz w:val="30"/>
          <w:szCs w:val="30"/>
        </w:rPr>
      </w:pPr>
    </w:p>
    <w:p>
      <w:pPr>
        <w:spacing w:before="139" w:line="221" w:lineRule="auto"/>
        <w:jc w:val="right"/>
        <w:rPr>
          <w:rFonts w:ascii="KaiTi" w:hAnsi="KaiTi" w:eastAsia="KaiTi" w:cs="KaiTi"/>
          <w:sz w:val="12"/>
          <w:szCs w:val="12"/>
        </w:rPr>
      </w:pPr>
      <w:r>
        <w:rPr>
          <w:rFonts w:ascii="KaiTi" w:hAnsi="KaiTi" w:eastAsia="KaiTi" w:cs="KaiTi"/>
          <w:sz w:val="12"/>
          <w:szCs w:val="12"/>
          <w:spacing w:val="10"/>
        </w:rPr>
        <w:t>7,000</w:t>
      </w:r>
    </w:p>
    <w:p>
      <w:pPr>
        <w:spacing w:before="200" w:line="221" w:lineRule="auto"/>
        <w:jc w:val="right"/>
        <w:rPr>
          <w:rFonts w:ascii="KaiTi" w:hAnsi="KaiTi" w:eastAsia="KaiTi" w:cs="KaiTi"/>
          <w:sz w:val="12"/>
          <w:szCs w:val="12"/>
        </w:rPr>
      </w:pPr>
      <w:r>
        <w:rPr>
          <w:rFonts w:ascii="KaiTi" w:hAnsi="KaiTi" w:eastAsia="KaiTi" w:cs="KaiTi"/>
          <w:sz w:val="12"/>
          <w:szCs w:val="12"/>
          <w:spacing w:val="10"/>
        </w:rPr>
        <w:t>6,000</w:t>
      </w:r>
    </w:p>
    <w:p>
      <w:pPr>
        <w:spacing w:before="201" w:line="221" w:lineRule="auto"/>
        <w:jc w:val="right"/>
        <w:rPr>
          <w:rFonts w:ascii="KaiTi" w:hAnsi="KaiTi" w:eastAsia="KaiTi" w:cs="KaiTi"/>
          <w:sz w:val="12"/>
          <w:szCs w:val="12"/>
        </w:rPr>
      </w:pPr>
      <w:r>
        <w:rPr>
          <w:rFonts w:ascii="KaiTi" w:hAnsi="KaiTi" w:eastAsia="KaiTi" w:cs="KaiTi"/>
          <w:sz w:val="12"/>
          <w:szCs w:val="12"/>
          <w:spacing w:val="11"/>
        </w:rPr>
        <w:t>5,000</w:t>
      </w:r>
    </w:p>
    <w:p>
      <w:pPr>
        <w:spacing w:before="200" w:line="221" w:lineRule="auto"/>
        <w:jc w:val="right"/>
        <w:rPr>
          <w:rFonts w:ascii="KaiTi" w:hAnsi="KaiTi" w:eastAsia="KaiTi" w:cs="KaiTi"/>
          <w:sz w:val="12"/>
          <w:szCs w:val="12"/>
        </w:rPr>
      </w:pPr>
      <w:r>
        <w:rPr>
          <w:rFonts w:ascii="KaiTi" w:hAnsi="KaiTi" w:eastAsia="KaiTi" w:cs="KaiTi"/>
          <w:sz w:val="12"/>
          <w:szCs w:val="12"/>
          <w:spacing w:val="11"/>
        </w:rPr>
        <w:t>4,000</w:t>
      </w:r>
    </w:p>
    <w:p>
      <w:pPr>
        <w:spacing w:before="201" w:line="221" w:lineRule="auto"/>
        <w:jc w:val="right"/>
        <w:rPr>
          <w:rFonts w:ascii="KaiTi" w:hAnsi="KaiTi" w:eastAsia="KaiTi" w:cs="KaiTi"/>
          <w:sz w:val="12"/>
          <w:szCs w:val="12"/>
        </w:rPr>
      </w:pPr>
      <w:r>
        <w:rPr>
          <w:rFonts w:ascii="KaiTi" w:hAnsi="KaiTi" w:eastAsia="KaiTi" w:cs="KaiTi"/>
          <w:sz w:val="12"/>
          <w:szCs w:val="12"/>
          <w:spacing w:val="10"/>
        </w:rPr>
        <w:t>3,000</w:t>
      </w:r>
    </w:p>
    <w:p>
      <w:pPr>
        <w:spacing w:before="201" w:line="221" w:lineRule="auto"/>
        <w:jc w:val="right"/>
        <w:rPr>
          <w:rFonts w:ascii="KaiTi" w:hAnsi="KaiTi" w:eastAsia="KaiTi" w:cs="KaiTi"/>
          <w:sz w:val="12"/>
          <w:szCs w:val="12"/>
        </w:rPr>
      </w:pPr>
      <w:r>
        <w:rPr>
          <w:rFonts w:ascii="KaiTi" w:hAnsi="KaiTi" w:eastAsia="KaiTi" w:cs="KaiTi"/>
          <w:sz w:val="12"/>
          <w:szCs w:val="12"/>
          <w:spacing w:val="10"/>
        </w:rPr>
        <w:t>2,000</w:t>
      </w:r>
    </w:p>
    <w:p>
      <w:pPr>
        <w:spacing w:before="200" w:line="221" w:lineRule="auto"/>
        <w:jc w:val="right"/>
        <w:rPr>
          <w:rFonts w:ascii="KaiTi" w:hAnsi="KaiTi" w:eastAsia="KaiTi" w:cs="KaiTi"/>
          <w:sz w:val="12"/>
          <w:szCs w:val="12"/>
        </w:rPr>
      </w:pPr>
      <w:r>
        <w:rPr>
          <w:rFonts w:ascii="KaiTi" w:hAnsi="KaiTi" w:eastAsia="KaiTi" w:cs="KaiTi"/>
          <w:sz w:val="12"/>
          <w:szCs w:val="12"/>
          <w:spacing w:val="9"/>
        </w:rPr>
        <w:t>1,000</w:t>
      </w:r>
    </w:p>
    <w:p>
      <w:pPr>
        <w:spacing w:before="201" w:line="159" w:lineRule="exact"/>
        <w:jc w:val="right"/>
        <w:rPr>
          <w:rFonts w:ascii="KaiTi" w:hAnsi="KaiTi" w:eastAsia="KaiTi" w:cs="KaiTi"/>
          <w:sz w:val="12"/>
          <w:szCs w:val="12"/>
        </w:rPr>
      </w:pPr>
      <w:r>
        <w:rPr>
          <w:rFonts w:ascii="KaiTi" w:hAnsi="KaiTi" w:eastAsia="KaiTi" w:cs="KaiTi"/>
          <w:sz w:val="12"/>
          <w:szCs w:val="12"/>
          <w:spacing w:val="7"/>
          <w:position w:val="1"/>
        </w:rPr>
        <w:t>0</w:t>
      </w:r>
    </w:p>
    <w:p>
      <w:pPr>
        <w:spacing w:line="147" w:lineRule="exact"/>
        <w:rPr/>
      </w:pPr>
      <w:r/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ind w:left="3096"/>
        <w:spacing w:before="116" w:line="224" w:lineRule="auto"/>
        <w:rPr>
          <w:rFonts w:ascii="KaiTi" w:hAnsi="KaiTi" w:eastAsia="KaiTi" w:cs="KaiTi"/>
          <w:sz w:val="15"/>
          <w:szCs w:val="15"/>
        </w:rPr>
      </w:pPr>
      <w:r>
        <w:drawing>
          <wp:anchor distT="0" distB="0" distL="0" distR="0" simplePos="0" relativeHeight="251659264" behindDoc="1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14860</wp:posOffset>
            </wp:positionV>
            <wp:extent cx="3133832" cy="1643515"/>
            <wp:effectExtent l="0" t="0" r="0" b="0"/>
            <wp:wrapNone/>
            <wp:docPr id="2" name="IM 2"/>
            <wp:cNvGraphicFramePr/>
            <a:graphic>
              <a:graphicData uri="http://schemas.openxmlformats.org/drawingml/2006/picture">
                <pic:pic>
                  <pic:nvPicPr>
                    <pic:cNvPr id="2" name="IM 2"/>
                    <pic:cNvPicPr/>
                  </pic:nvPicPr>
                  <pic:blipFill>
                    <a:blip r:embed="rId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133832" cy="16435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KaiTi" w:hAnsi="KaiTi" w:eastAsia="KaiTi" w:cs="KaiTi"/>
          <w:sz w:val="15"/>
          <w:szCs w:val="15"/>
          <w:spacing w:val="24"/>
        </w:rPr>
        <w:t>试点注册制</w:t>
      </w:r>
    </w:p>
    <w:p>
      <w:pPr>
        <w:spacing w:line="261" w:lineRule="auto"/>
        <w:rPr>
          <w:rFonts w:ascii="Arial"/>
          <w:sz w:val="21"/>
        </w:rPr>
      </w:pPr>
      <w:r/>
    </w:p>
    <w:p>
      <w:pPr>
        <w:spacing w:line="261" w:lineRule="auto"/>
        <w:rPr>
          <w:rFonts w:ascii="Arial"/>
          <w:sz w:val="21"/>
        </w:rPr>
      </w:pPr>
      <w:r/>
    </w:p>
    <w:p>
      <w:pPr>
        <w:spacing w:line="261" w:lineRule="auto"/>
        <w:rPr>
          <w:rFonts w:ascii="Arial"/>
          <w:sz w:val="21"/>
        </w:rPr>
      </w:pPr>
      <w:r/>
    </w:p>
    <w:p>
      <w:pPr>
        <w:spacing w:line="261" w:lineRule="auto"/>
        <w:rPr>
          <w:rFonts w:ascii="Arial"/>
          <w:sz w:val="21"/>
        </w:rPr>
      </w:pPr>
      <w:r/>
    </w:p>
    <w:p>
      <w:pPr>
        <w:spacing w:line="261" w:lineRule="auto"/>
        <w:rPr>
          <w:rFonts w:ascii="Arial"/>
          <w:sz w:val="21"/>
        </w:rPr>
      </w:pPr>
      <w:r/>
    </w:p>
    <w:p>
      <w:pPr>
        <w:spacing w:line="261" w:lineRule="auto"/>
        <w:rPr>
          <w:rFonts w:ascii="Arial"/>
          <w:sz w:val="21"/>
        </w:rPr>
      </w:pPr>
      <w:r/>
    </w:p>
    <w:p>
      <w:pPr>
        <w:spacing w:line="261" w:lineRule="auto"/>
        <w:rPr>
          <w:rFonts w:ascii="Arial"/>
          <w:sz w:val="21"/>
        </w:rPr>
      </w:pPr>
      <w:r/>
    </w:p>
    <w:p>
      <w:pPr>
        <w:spacing w:line="262" w:lineRule="auto"/>
        <w:rPr>
          <w:rFonts w:ascii="Arial"/>
          <w:sz w:val="21"/>
        </w:rPr>
      </w:pPr>
      <w:r/>
    </w:p>
    <w:p>
      <w:pPr>
        <w:spacing w:line="262" w:lineRule="auto"/>
        <w:rPr>
          <w:rFonts w:ascii="Arial"/>
          <w:sz w:val="21"/>
        </w:rPr>
      </w:pPr>
      <w:r/>
    </w:p>
    <w:p>
      <w:pPr>
        <w:ind w:left="142"/>
        <w:spacing w:before="40" w:line="225" w:lineRule="auto"/>
        <w:rPr>
          <w:rFonts w:ascii="KaiTi" w:hAnsi="KaiTi" w:eastAsia="KaiTi" w:cs="KaiTi"/>
          <w:sz w:val="12"/>
          <w:szCs w:val="12"/>
        </w:rPr>
      </w:pPr>
      <w:r>
        <w:rPr>
          <w:rFonts w:ascii="KaiTi" w:hAnsi="KaiTi" w:eastAsia="KaiTi" w:cs="KaiTi"/>
          <w:sz w:val="12"/>
          <w:szCs w:val="12"/>
          <w:spacing w:val="13"/>
        </w:rPr>
        <w:t>2016年</w:t>
      </w:r>
      <w:r>
        <w:rPr>
          <w:rFonts w:ascii="KaiTi" w:hAnsi="KaiTi" w:eastAsia="KaiTi" w:cs="KaiTi"/>
          <w:sz w:val="12"/>
          <w:szCs w:val="12"/>
          <w:spacing w:val="11"/>
        </w:rPr>
        <w:t xml:space="preserve">    </w:t>
      </w:r>
      <w:r>
        <w:rPr>
          <w:rFonts w:ascii="KaiTi" w:hAnsi="KaiTi" w:eastAsia="KaiTi" w:cs="KaiTi"/>
          <w:sz w:val="12"/>
          <w:szCs w:val="12"/>
          <w:spacing w:val="13"/>
        </w:rPr>
        <w:t>2017年</w:t>
      </w:r>
      <w:r>
        <w:rPr>
          <w:rFonts w:ascii="KaiTi" w:hAnsi="KaiTi" w:eastAsia="KaiTi" w:cs="KaiTi"/>
          <w:sz w:val="12"/>
          <w:szCs w:val="12"/>
          <w:spacing w:val="10"/>
        </w:rPr>
        <w:t xml:space="preserve">    </w:t>
      </w:r>
      <w:r>
        <w:rPr>
          <w:rFonts w:ascii="KaiTi" w:hAnsi="KaiTi" w:eastAsia="KaiTi" w:cs="KaiTi"/>
          <w:sz w:val="12"/>
          <w:szCs w:val="12"/>
          <w:spacing w:val="13"/>
        </w:rPr>
        <w:t>2018年</w:t>
      </w:r>
      <w:r>
        <w:rPr>
          <w:rFonts w:ascii="KaiTi" w:hAnsi="KaiTi" w:eastAsia="KaiTi" w:cs="KaiTi"/>
          <w:sz w:val="12"/>
          <w:szCs w:val="12"/>
          <w:spacing w:val="10"/>
        </w:rPr>
        <w:t xml:space="preserve">    </w:t>
      </w:r>
      <w:r>
        <w:rPr>
          <w:rFonts w:ascii="KaiTi" w:hAnsi="KaiTi" w:eastAsia="KaiTi" w:cs="KaiTi"/>
          <w:sz w:val="12"/>
          <w:szCs w:val="12"/>
          <w:spacing w:val="13"/>
        </w:rPr>
        <w:t>2019年</w:t>
      </w:r>
      <w:r>
        <w:rPr>
          <w:rFonts w:ascii="KaiTi" w:hAnsi="KaiTi" w:eastAsia="KaiTi" w:cs="KaiTi"/>
          <w:sz w:val="12"/>
          <w:szCs w:val="12"/>
          <w:spacing w:val="10"/>
        </w:rPr>
        <w:t xml:space="preserve">    </w:t>
      </w:r>
      <w:r>
        <w:rPr>
          <w:rFonts w:ascii="KaiTi" w:hAnsi="KaiTi" w:eastAsia="KaiTi" w:cs="KaiTi"/>
          <w:sz w:val="12"/>
          <w:szCs w:val="12"/>
          <w:spacing w:val="13"/>
        </w:rPr>
        <w:t>2020年</w:t>
      </w:r>
      <w:r>
        <w:rPr>
          <w:rFonts w:ascii="KaiTi" w:hAnsi="KaiTi" w:eastAsia="KaiTi" w:cs="KaiTi"/>
          <w:sz w:val="12"/>
          <w:szCs w:val="12"/>
          <w:spacing w:val="10"/>
        </w:rPr>
        <w:t xml:space="preserve">    </w:t>
      </w:r>
      <w:r>
        <w:rPr>
          <w:rFonts w:ascii="KaiTi" w:hAnsi="KaiTi" w:eastAsia="KaiTi" w:cs="KaiTi"/>
          <w:sz w:val="12"/>
          <w:szCs w:val="12"/>
          <w:spacing w:val="13"/>
        </w:rPr>
        <w:t>2021年</w:t>
      </w:r>
      <w:r>
        <w:rPr>
          <w:rFonts w:ascii="KaiTi" w:hAnsi="KaiTi" w:eastAsia="KaiTi" w:cs="KaiTi"/>
          <w:sz w:val="12"/>
          <w:szCs w:val="12"/>
          <w:spacing w:val="10"/>
        </w:rPr>
        <w:t xml:space="preserve">    </w:t>
      </w:r>
      <w:r>
        <w:rPr>
          <w:rFonts w:ascii="KaiTi" w:hAnsi="KaiTi" w:eastAsia="KaiTi" w:cs="KaiTi"/>
          <w:sz w:val="12"/>
          <w:szCs w:val="12"/>
          <w:spacing w:val="13"/>
        </w:rPr>
        <w:t>2022年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ind w:left="3"/>
        <w:spacing w:before="138" w:line="159" w:lineRule="exact"/>
        <w:rPr>
          <w:rFonts w:ascii="KaiTi" w:hAnsi="KaiTi" w:eastAsia="KaiTi" w:cs="KaiTi"/>
          <w:sz w:val="12"/>
          <w:szCs w:val="12"/>
        </w:rPr>
      </w:pPr>
      <w:r>
        <w:rPr>
          <w:rFonts w:ascii="KaiTi" w:hAnsi="KaiTi" w:eastAsia="KaiTi" w:cs="KaiTi"/>
          <w:sz w:val="12"/>
          <w:szCs w:val="12"/>
          <w:spacing w:val="10"/>
          <w:position w:val="1"/>
        </w:rPr>
        <w:t>600</w:t>
      </w:r>
    </w:p>
    <w:p>
      <w:pPr>
        <w:spacing w:before="242" w:line="159" w:lineRule="exact"/>
        <w:rPr>
          <w:rFonts w:ascii="KaiTi" w:hAnsi="KaiTi" w:eastAsia="KaiTi" w:cs="KaiTi"/>
          <w:sz w:val="12"/>
          <w:szCs w:val="12"/>
        </w:rPr>
      </w:pPr>
      <w:r>
        <w:rPr>
          <w:rFonts w:ascii="KaiTi" w:hAnsi="KaiTi" w:eastAsia="KaiTi" w:cs="KaiTi"/>
          <w:sz w:val="12"/>
          <w:szCs w:val="12"/>
          <w:spacing w:val="10"/>
          <w:position w:val="1"/>
        </w:rPr>
        <w:t>500</w:t>
      </w:r>
    </w:p>
    <w:p>
      <w:pPr>
        <w:spacing w:before="243" w:line="159" w:lineRule="exact"/>
        <w:rPr>
          <w:rFonts w:ascii="KaiTi" w:hAnsi="KaiTi" w:eastAsia="KaiTi" w:cs="KaiTi"/>
          <w:sz w:val="12"/>
          <w:szCs w:val="12"/>
        </w:rPr>
      </w:pPr>
      <w:r>
        <w:rPr>
          <w:rFonts w:ascii="KaiTi" w:hAnsi="KaiTi" w:eastAsia="KaiTi" w:cs="KaiTi"/>
          <w:sz w:val="12"/>
          <w:szCs w:val="12"/>
          <w:spacing w:val="11"/>
          <w:position w:val="1"/>
        </w:rPr>
        <w:t>400</w:t>
      </w:r>
    </w:p>
    <w:p>
      <w:pPr>
        <w:ind w:left="3"/>
        <w:spacing w:before="243" w:line="159" w:lineRule="exact"/>
        <w:rPr>
          <w:rFonts w:ascii="KaiTi" w:hAnsi="KaiTi" w:eastAsia="KaiTi" w:cs="KaiTi"/>
          <w:sz w:val="12"/>
          <w:szCs w:val="12"/>
        </w:rPr>
      </w:pPr>
      <w:r>
        <w:rPr>
          <w:rFonts w:ascii="KaiTi" w:hAnsi="KaiTi" w:eastAsia="KaiTi" w:cs="KaiTi"/>
          <w:sz w:val="12"/>
          <w:szCs w:val="12"/>
          <w:spacing w:val="9"/>
          <w:position w:val="1"/>
        </w:rPr>
        <w:t>300</w:t>
      </w:r>
    </w:p>
    <w:p>
      <w:pPr>
        <w:ind w:left="2"/>
        <w:spacing w:before="242" w:line="159" w:lineRule="exact"/>
        <w:rPr>
          <w:rFonts w:ascii="KaiTi" w:hAnsi="KaiTi" w:eastAsia="KaiTi" w:cs="KaiTi"/>
          <w:sz w:val="12"/>
          <w:szCs w:val="12"/>
        </w:rPr>
      </w:pPr>
      <w:r>
        <w:rPr>
          <w:rFonts w:ascii="KaiTi" w:hAnsi="KaiTi" w:eastAsia="KaiTi" w:cs="KaiTi"/>
          <w:sz w:val="12"/>
          <w:szCs w:val="12"/>
          <w:spacing w:val="10"/>
          <w:position w:val="1"/>
        </w:rPr>
        <w:t>200</w:t>
      </w:r>
    </w:p>
    <w:p>
      <w:pPr>
        <w:ind w:left="11"/>
        <w:spacing w:before="242" w:line="159" w:lineRule="exact"/>
        <w:rPr>
          <w:rFonts w:ascii="KaiTi" w:hAnsi="KaiTi" w:eastAsia="KaiTi" w:cs="KaiTi"/>
          <w:sz w:val="12"/>
          <w:szCs w:val="12"/>
        </w:rPr>
      </w:pPr>
      <w:r>
        <w:rPr>
          <w:rFonts w:ascii="KaiTi" w:hAnsi="KaiTi" w:eastAsia="KaiTi" w:cs="KaiTi"/>
          <w:sz w:val="12"/>
          <w:szCs w:val="12"/>
          <w:spacing w:val="7"/>
          <w:position w:val="1"/>
        </w:rPr>
        <w:t>100</w:t>
      </w:r>
    </w:p>
    <w:p>
      <w:pPr>
        <w:ind w:left="2"/>
        <w:spacing w:before="243" w:line="159" w:lineRule="exact"/>
        <w:rPr>
          <w:rFonts w:ascii="KaiTi" w:hAnsi="KaiTi" w:eastAsia="KaiTi" w:cs="KaiTi"/>
          <w:sz w:val="12"/>
          <w:szCs w:val="12"/>
        </w:rPr>
      </w:pPr>
      <w:r>
        <w:rPr>
          <w:rFonts w:ascii="KaiTi" w:hAnsi="KaiTi" w:eastAsia="KaiTi" w:cs="KaiTi"/>
          <w:sz w:val="12"/>
          <w:szCs w:val="12"/>
          <w:spacing w:val="7"/>
          <w:position w:val="1"/>
        </w:rPr>
        <w:t>0</w:t>
      </w:r>
    </w:p>
    <w:p>
      <w:pPr>
        <w:spacing w:line="159" w:lineRule="exact"/>
        <w:sectPr>
          <w:type w:val="continuous"/>
          <w:pgSz w:w="11907" w:h="16839"/>
          <w:pgMar w:top="400" w:right="1566" w:bottom="0" w:left="1785" w:header="0" w:footer="0" w:gutter="0"/>
          <w:cols w:equalWidth="0" w:num="3">
            <w:col w:w="1825" w:space="93"/>
            <w:col w:w="4936" w:space="100"/>
            <w:col w:w="1601" w:space="0"/>
          </w:cols>
        </w:sectPr>
        <w:rPr>
          <w:rFonts w:ascii="KaiTi" w:hAnsi="KaiTi" w:eastAsia="KaiTi" w:cs="KaiTi"/>
          <w:sz w:val="12"/>
          <w:szCs w:val="12"/>
        </w:rPr>
      </w:pPr>
    </w:p>
    <w:p>
      <w:pPr>
        <w:ind w:left="2910"/>
        <w:spacing w:before="165" w:line="143" w:lineRule="exact"/>
        <w:rPr>
          <w:rFonts w:ascii="KaiTi" w:hAnsi="KaiTi" w:eastAsia="KaiTi" w:cs="KaiTi"/>
          <w:sz w:val="12"/>
          <w:szCs w:val="12"/>
        </w:rPr>
      </w:pPr>
      <w:r>
        <w:rPr>
          <w:rFonts w:ascii="Arial" w:hAnsi="Arial" w:eastAsia="Arial" w:cs="Arial"/>
          <w:sz w:val="19"/>
          <w:szCs w:val="19"/>
          <w:color w:val="C0504D"/>
          <w:position w:val="1"/>
        </w:rPr>
        <w:t>mm</w:t>
      </w:r>
      <w:r>
        <w:rPr>
          <w:rFonts w:ascii="Arial" w:hAnsi="Arial" w:eastAsia="Arial" w:cs="Arial"/>
          <w:sz w:val="19"/>
          <w:szCs w:val="19"/>
          <w:color w:val="C0504D"/>
          <w:spacing w:val="18"/>
          <w:position w:val="1"/>
        </w:rPr>
        <w:t xml:space="preserve"> </w:t>
      </w:r>
      <w:r>
        <w:rPr>
          <w:rFonts w:ascii="KaiTi" w:hAnsi="KaiTi" w:eastAsia="KaiTi" w:cs="KaiTi"/>
          <w:sz w:val="12"/>
          <w:szCs w:val="12"/>
          <w:spacing w:val="18"/>
          <w:position w:val="-1"/>
        </w:rPr>
        <w:t>募集资金(亿元)</w:t>
      </w:r>
      <w:r>
        <w:rPr>
          <w:rFonts w:ascii="KaiTi" w:hAnsi="KaiTi" w:eastAsia="KaiTi" w:cs="KaiTi"/>
          <w:sz w:val="12"/>
          <w:szCs w:val="12"/>
          <w:spacing w:val="-21"/>
          <w:position w:val="-1"/>
        </w:rPr>
        <w:t xml:space="preserve"> </w:t>
      </w:r>
      <w:r>
        <w:rPr>
          <w:sz w:val="12"/>
          <w:szCs w:val="12"/>
          <w:position w:val="2"/>
        </w:rPr>
        <w:drawing>
          <wp:inline distT="0" distB="0" distL="0" distR="0">
            <wp:extent cx="224899" cy="19738"/>
            <wp:effectExtent l="0" t="0" r="0" b="0"/>
            <wp:docPr id="4" name="IM 4"/>
            <wp:cNvGraphicFramePr/>
            <a:graphic>
              <a:graphicData uri="http://schemas.openxmlformats.org/drawingml/2006/picture">
                <pic:pic>
                  <pic:nvPicPr>
                    <pic:cNvPr id="4" name="IM 4"/>
                    <pic:cNvPicPr/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24899" cy="197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KaiTi" w:hAnsi="KaiTi" w:eastAsia="KaiTi" w:cs="KaiTi"/>
          <w:sz w:val="12"/>
          <w:szCs w:val="12"/>
          <w:spacing w:val="-24"/>
          <w:position w:val="-1"/>
        </w:rPr>
        <w:t xml:space="preserve"> </w:t>
      </w:r>
      <w:r>
        <w:rPr>
          <w:rFonts w:ascii="KaiTi" w:hAnsi="KaiTi" w:eastAsia="KaiTi" w:cs="KaiTi"/>
          <w:sz w:val="12"/>
          <w:szCs w:val="12"/>
          <w:spacing w:val="18"/>
          <w:position w:val="-1"/>
        </w:rPr>
        <w:t>数量（家，右轴）</w:t>
      </w:r>
    </w:p>
    <w:p>
      <w:pPr>
        <w:ind w:left="952"/>
        <w:spacing w:before="269" w:line="185" w:lineRule="auto"/>
        <w:outlineLvl w:val="3"/>
        <w:rPr>
          <w:rFonts w:ascii="KaiTi" w:hAnsi="KaiTi" w:eastAsia="KaiTi" w:cs="KaiTi"/>
          <w:sz w:val="30"/>
          <w:szCs w:val="30"/>
        </w:rPr>
      </w:pPr>
      <w:r>
        <w:rPr>
          <w:rFonts w:ascii="KaiTi" w:hAnsi="KaiTi" w:eastAsia="KaiTi" w:cs="KaiTi"/>
          <w:sz w:val="30"/>
          <w:szCs w:val="30"/>
          <w:spacing w:val="-6"/>
        </w:rPr>
        <w:t>图</w:t>
      </w:r>
      <w:r>
        <w:rPr>
          <w:rFonts w:ascii="KaiTi" w:hAnsi="KaiTi" w:eastAsia="KaiTi" w:cs="KaiTi"/>
          <w:sz w:val="30"/>
          <w:szCs w:val="30"/>
          <w:spacing w:val="-54"/>
        </w:rPr>
        <w:t xml:space="preserve"> </w:t>
      </w:r>
      <w:r>
        <w:rPr>
          <w:rFonts w:ascii="KaiTi" w:hAnsi="KaiTi" w:eastAsia="KaiTi" w:cs="KaiTi"/>
          <w:sz w:val="30"/>
          <w:szCs w:val="30"/>
          <w:spacing w:val="-6"/>
        </w:rPr>
        <w:t>2</w:t>
      </w:r>
      <w:r>
        <w:rPr>
          <w:rFonts w:ascii="KaiTi" w:hAnsi="KaiTi" w:eastAsia="KaiTi" w:cs="KaiTi"/>
          <w:sz w:val="30"/>
          <w:szCs w:val="30"/>
          <w:spacing w:val="-6"/>
        </w:rPr>
        <w:t xml:space="preserve">  </w:t>
      </w:r>
      <w:r>
        <w:rPr>
          <w:rFonts w:ascii="KaiTi" w:hAnsi="KaiTi" w:eastAsia="KaiTi" w:cs="KaiTi"/>
          <w:sz w:val="30"/>
          <w:szCs w:val="30"/>
          <w:spacing w:val="-6"/>
        </w:rPr>
        <w:t>试点注册制后</w:t>
      </w:r>
      <w:r>
        <w:rPr>
          <w:rFonts w:ascii="KaiTi" w:hAnsi="KaiTi" w:eastAsia="KaiTi" w:cs="KaiTi"/>
          <w:sz w:val="30"/>
          <w:szCs w:val="30"/>
          <w:spacing w:val="-6"/>
        </w:rPr>
        <w:t xml:space="preserve"> </w:t>
      </w:r>
      <w:r>
        <w:rPr>
          <w:rFonts w:ascii="KaiTi" w:hAnsi="KaiTi" w:eastAsia="KaiTi" w:cs="KaiTi"/>
          <w:sz w:val="30"/>
          <w:szCs w:val="30"/>
          <w:spacing w:val="-6"/>
        </w:rPr>
        <w:t>IPO</w:t>
      </w:r>
      <w:r>
        <w:rPr>
          <w:rFonts w:ascii="KaiTi" w:hAnsi="KaiTi" w:eastAsia="KaiTi" w:cs="KaiTi"/>
          <w:sz w:val="30"/>
          <w:szCs w:val="30"/>
          <w:spacing w:val="-69"/>
        </w:rPr>
        <w:t xml:space="preserve"> </w:t>
      </w:r>
      <w:r>
        <w:rPr>
          <w:rFonts w:ascii="KaiTi" w:hAnsi="KaiTi" w:eastAsia="KaiTi" w:cs="KaiTi"/>
          <w:sz w:val="30"/>
          <w:szCs w:val="30"/>
          <w:spacing w:val="-6"/>
        </w:rPr>
        <w:t>数量及募资规模显著增长</w:t>
      </w:r>
    </w:p>
    <w:p>
      <w:pPr>
        <w:spacing w:line="185" w:lineRule="auto"/>
        <w:sectPr>
          <w:type w:val="continuous"/>
          <w:pgSz w:w="11907" w:h="16839"/>
          <w:pgMar w:top="400" w:right="1566" w:bottom="0" w:left="1785" w:header="0" w:footer="0" w:gutter="0"/>
          <w:cols w:equalWidth="0" w:num="1">
            <w:col w:w="8555" w:space="0"/>
          </w:cols>
        </w:sectPr>
        <w:rPr>
          <w:rFonts w:ascii="KaiTi" w:hAnsi="KaiTi" w:eastAsia="KaiTi" w:cs="KaiTi"/>
          <w:sz w:val="30"/>
          <w:szCs w:val="30"/>
        </w:rPr>
      </w:pPr>
    </w:p>
    <w:p>
      <w:pPr>
        <w:spacing w:line="254" w:lineRule="auto"/>
        <w:rPr>
          <w:rFonts w:ascii="Arial"/>
          <w:sz w:val="21"/>
        </w:rPr>
      </w:pPr>
      <w:r/>
    </w:p>
    <w:p>
      <w:pPr>
        <w:spacing w:line="254" w:lineRule="auto"/>
        <w:rPr>
          <w:rFonts w:ascii="Arial"/>
          <w:sz w:val="21"/>
        </w:rPr>
      </w:pPr>
      <w:r/>
    </w:p>
    <w:p>
      <w:pPr>
        <w:spacing w:line="254" w:lineRule="auto"/>
        <w:rPr>
          <w:rFonts w:ascii="Arial"/>
          <w:sz w:val="21"/>
        </w:rPr>
      </w:pPr>
      <w:r/>
    </w:p>
    <w:p>
      <w:pPr>
        <w:spacing w:line="254" w:lineRule="auto"/>
        <w:rPr>
          <w:rFonts w:ascii="Arial"/>
          <w:sz w:val="21"/>
        </w:rPr>
      </w:pPr>
      <w:r/>
    </w:p>
    <w:p>
      <w:pPr>
        <w:ind w:left="26" w:firstLine="604"/>
        <w:spacing w:before="98" w:line="258" w:lineRule="auto"/>
        <w:tabs>
          <w:tab w:val="left" w:pos="8552"/>
        </w:tabs>
        <w:jc w:val="both"/>
        <w:rPr>
          <w:rFonts w:ascii="SimSun" w:hAnsi="SimSun" w:eastAsia="SimSun" w:cs="SimSun"/>
          <w:sz w:val="30"/>
          <w:szCs w:val="30"/>
        </w:rPr>
      </w:pPr>
      <w:r>
        <w:rPr>
          <w:rFonts w:ascii="SimSun" w:hAnsi="SimSun" w:eastAsia="SimSun" w:cs="SimSun"/>
          <w:sz w:val="30"/>
          <w:szCs w:val="30"/>
          <w:spacing w:val="-5"/>
        </w:rPr>
        <w:t>央企资本运作迎来新的价值机遇期。一方面，全面注册制为</w:t>
      </w:r>
      <w:r>
        <w:rPr>
          <w:rFonts w:ascii="SimSun" w:hAnsi="SimSun" w:eastAsia="SimSun" w:cs="SimSun"/>
          <w:sz w:val="30"/>
          <w:szCs w:val="30"/>
          <w:spacing w:val="-6"/>
        </w:rPr>
        <w:t>更多央企优质资产提供上市渠道和平台。随着市场环境逐步成熟，</w:t>
      </w:r>
      <w:r>
        <w:rPr>
          <w:rFonts w:ascii="SimSun" w:hAnsi="SimSun" w:eastAsia="SimSun" w:cs="SimSun"/>
          <w:sz w:val="30"/>
          <w:szCs w:val="30"/>
          <w:spacing w:val="-4"/>
        </w:rPr>
        <w:t>央国企纷纷推进专业公司上市，并成为上市公司产业发展、资源</w:t>
      </w:r>
      <w:r>
        <w:rPr>
          <w:rFonts w:ascii="SimSun" w:hAnsi="SimSun" w:eastAsia="SimSun" w:cs="SimSun"/>
          <w:sz w:val="30"/>
          <w:szCs w:val="30"/>
          <w:spacing w:val="-1"/>
        </w:rPr>
        <w:t>配置、资产重组的重要手段。自</w:t>
      </w:r>
      <w:r>
        <w:rPr>
          <w:rFonts w:ascii="SimSun" w:hAnsi="SimSun" w:eastAsia="SimSun" w:cs="SimSun"/>
          <w:sz w:val="30"/>
          <w:szCs w:val="30"/>
          <w:spacing w:val="-40"/>
        </w:rPr>
        <w:t xml:space="preserve"> </w:t>
      </w:r>
      <w:r>
        <w:rPr>
          <w:rFonts w:ascii="Times New Roman" w:hAnsi="Times New Roman" w:eastAsia="Times New Roman" w:cs="Times New Roman"/>
          <w:sz w:val="30"/>
          <w:szCs w:val="30"/>
          <w:spacing w:val="-1"/>
        </w:rPr>
        <w:t>2020</w:t>
      </w:r>
      <w:r>
        <w:rPr>
          <w:rFonts w:ascii="Times New Roman" w:hAnsi="Times New Roman" w:eastAsia="Times New Roman" w:cs="Times New Roman"/>
          <w:sz w:val="30"/>
          <w:szCs w:val="30"/>
          <w:spacing w:val="43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1"/>
        </w:rPr>
        <w:t>年以来，</w:t>
      </w:r>
      <w:r>
        <w:rPr>
          <w:rFonts w:ascii="SimSun" w:hAnsi="SimSun" w:eastAsia="SimSun" w:cs="SimSun"/>
          <w:sz w:val="30"/>
          <w:szCs w:val="30"/>
          <w:spacing w:val="-2"/>
        </w:rPr>
        <w:t>企业上市融资总</w:t>
      </w:r>
      <w:r>
        <w:rPr>
          <w:rFonts w:ascii="SimSun" w:hAnsi="SimSun" w:eastAsia="SimSun" w:cs="SimSun"/>
          <w:sz w:val="30"/>
          <w:szCs w:val="30"/>
          <w:spacing w:val="-2"/>
        </w:rPr>
        <w:t>额中国有企业占比从</w:t>
      </w:r>
      <w:r>
        <w:rPr>
          <w:rFonts w:ascii="SimSun" w:hAnsi="SimSun" w:eastAsia="SimSun" w:cs="SimSun"/>
          <w:sz w:val="30"/>
          <w:szCs w:val="30"/>
          <w:spacing w:val="-27"/>
        </w:rPr>
        <w:t xml:space="preserve"> </w:t>
      </w:r>
      <w:r>
        <w:rPr>
          <w:rFonts w:ascii="Times New Roman" w:hAnsi="Times New Roman" w:eastAsia="Times New Roman" w:cs="Times New Roman"/>
          <w:sz w:val="30"/>
          <w:szCs w:val="30"/>
          <w:spacing w:val="-2"/>
        </w:rPr>
        <w:t>11.4%</w:t>
      </w:r>
      <w:r>
        <w:rPr>
          <w:rFonts w:ascii="SimSun" w:hAnsi="SimSun" w:eastAsia="SimSun" w:cs="SimSun"/>
          <w:sz w:val="30"/>
          <w:szCs w:val="30"/>
          <w:spacing w:val="-2"/>
        </w:rPr>
        <w:t>上升到了</w:t>
      </w:r>
      <w:r>
        <w:rPr>
          <w:rFonts w:ascii="Times New Roman" w:hAnsi="Times New Roman" w:eastAsia="Times New Roman" w:cs="Times New Roman"/>
          <w:sz w:val="30"/>
          <w:szCs w:val="30"/>
          <w:spacing w:val="-2"/>
        </w:rPr>
        <w:t>23.6%</w:t>
      </w:r>
      <w:r>
        <w:rPr>
          <w:rFonts w:ascii="Times New Roman" w:hAnsi="Times New Roman" w:eastAsia="Times New Roman" w:cs="Times New Roman"/>
          <w:sz w:val="18"/>
          <w:szCs w:val="18"/>
          <w:spacing w:val="-2"/>
          <w:position w:val="10"/>
        </w:rPr>
        <w:t>2</w:t>
      </w:r>
      <w:r>
        <w:rPr>
          <w:rFonts w:ascii="SimSun" w:hAnsi="SimSun" w:eastAsia="SimSun" w:cs="SimSun"/>
          <w:sz w:val="30"/>
          <w:szCs w:val="30"/>
          <w:spacing w:val="-2"/>
        </w:rPr>
        <w:t>。另一方面，注册制</w:t>
      </w:r>
      <w:r>
        <w:rPr>
          <w:rFonts w:ascii="SimSun" w:hAnsi="SimSun" w:eastAsia="SimSun" w:cs="SimSun"/>
          <w:sz w:val="30"/>
          <w:szCs w:val="30"/>
          <w:spacing w:val="-4"/>
        </w:rPr>
        <w:t>改革提升了央企产投板块的退出效率和资金周转率。企业的投资</w:t>
      </w:r>
      <w:r>
        <w:rPr>
          <w:rFonts w:ascii="SimSun" w:hAnsi="SimSun" w:eastAsia="SimSun" w:cs="SimSun"/>
          <w:sz w:val="30"/>
          <w:szCs w:val="30"/>
          <w:spacing w:val="1"/>
        </w:rPr>
        <w:t>项目的退出方式更加通畅和多元，有望加快实现项目投资收益，</w:t>
      </w:r>
      <w:r>
        <w:rPr>
          <w:rFonts w:ascii="SimSun" w:hAnsi="SimSun" w:eastAsia="SimSun" w:cs="SimSun"/>
          <w:sz w:val="30"/>
          <w:szCs w:val="30"/>
          <w:spacing w:val="1"/>
        </w:rPr>
        <w:t>缩短机构投资回报周期。</w:t>
      </w:r>
      <w:r>
        <w:rPr>
          <w:rFonts w:ascii="Times New Roman" w:hAnsi="Times New Roman" w:eastAsia="Times New Roman" w:cs="Times New Roman"/>
          <w:sz w:val="30"/>
          <w:szCs w:val="30"/>
          <w:spacing w:val="1"/>
        </w:rPr>
        <w:t>2020  </w:t>
      </w:r>
      <w:r>
        <w:rPr>
          <w:rFonts w:ascii="SimSun" w:hAnsi="SimSun" w:eastAsia="SimSun" w:cs="SimSun"/>
          <w:sz w:val="30"/>
          <w:szCs w:val="30"/>
          <w:spacing w:val="1"/>
        </w:rPr>
        <w:t>年科创板和创业板的注册制试点</w:t>
      </w:r>
      <w:r>
        <w:rPr>
          <w:rFonts w:ascii="SimSun" w:hAnsi="SimSun" w:eastAsia="SimSun" w:cs="SimSun"/>
          <w:sz w:val="30"/>
          <w:szCs w:val="30"/>
          <w:spacing w:val="-3"/>
        </w:rPr>
        <w:t>后，</w:t>
      </w:r>
      <w:r>
        <w:rPr>
          <w:rFonts w:ascii="Times New Roman" w:hAnsi="Times New Roman" w:eastAsia="Times New Roman" w:cs="Times New Roman"/>
          <w:sz w:val="30"/>
          <w:szCs w:val="30"/>
          <w:spacing w:val="-3"/>
        </w:rPr>
        <w:t>IPO </w:t>
      </w:r>
      <w:r>
        <w:rPr>
          <w:rFonts w:ascii="SimSun" w:hAnsi="SimSun" w:eastAsia="SimSun" w:cs="SimSun"/>
          <w:sz w:val="30"/>
          <w:szCs w:val="30"/>
          <w:spacing w:val="-3"/>
        </w:rPr>
        <w:t>上市成为投资机构退出的主要途径。</w:t>
      </w:r>
    </w:p>
    <w:p>
      <w:pPr>
        <w:ind w:left="624"/>
        <w:spacing w:before="283" w:line="233" w:lineRule="auto"/>
        <w:outlineLvl w:val="2"/>
        <w:rPr>
          <w:rFonts w:ascii="SimSun" w:hAnsi="SimSun" w:eastAsia="SimSun" w:cs="SimSun"/>
          <w:sz w:val="30"/>
          <w:szCs w:val="30"/>
        </w:rPr>
      </w:pPr>
      <w:r>
        <w:rPr>
          <w:rFonts w:ascii="Times New Roman" w:hAnsi="Times New Roman" w:eastAsia="Times New Roman" w:cs="Times New Roman"/>
          <w:sz w:val="30"/>
          <w:szCs w:val="30"/>
          <w:b/>
          <w:bCs/>
          <w:spacing w:val="-3"/>
        </w:rPr>
        <w:t>2</w:t>
      </w:r>
      <w:r>
        <w:rPr>
          <w:rFonts w:ascii="SimSun" w:hAnsi="SimSun" w:eastAsia="SimSun" w:cs="SimSun"/>
          <w:sz w:val="30"/>
          <w:szCs w:val="30"/>
          <w:b/>
          <w:bCs/>
          <w:spacing w:val="-3"/>
        </w:rPr>
        <w:t>．资本市场导向变革，更利于科技创新型企业融资</w:t>
      </w:r>
    </w:p>
    <w:p>
      <w:pPr>
        <w:ind w:left="26" w:right="148" w:firstLine="598"/>
        <w:spacing w:before="317" w:line="259" w:lineRule="auto"/>
        <w:jc w:val="both"/>
        <w:rPr>
          <w:rFonts w:ascii="SimSun" w:hAnsi="SimSun" w:eastAsia="SimSun" w:cs="SimSun"/>
          <w:sz w:val="30"/>
          <w:szCs w:val="30"/>
        </w:rPr>
      </w:pPr>
      <w:r>
        <w:rPr>
          <w:rFonts w:ascii="SimSun" w:hAnsi="SimSun" w:eastAsia="SimSun" w:cs="SimSun"/>
          <w:sz w:val="30"/>
          <w:szCs w:val="30"/>
          <w:spacing w:val="-4"/>
        </w:rPr>
        <w:t>在宏观经济层面，全面注册制改革将引导资本更好服务</w:t>
      </w:r>
      <w:r>
        <w:rPr>
          <w:rFonts w:ascii="SimSun" w:hAnsi="SimSun" w:eastAsia="SimSun" w:cs="SimSun"/>
          <w:sz w:val="30"/>
          <w:szCs w:val="30"/>
          <w:spacing w:val="-5"/>
        </w:rPr>
        <w:t>科创</w:t>
      </w:r>
      <w:r>
        <w:rPr>
          <w:rFonts w:ascii="SimSun" w:hAnsi="SimSun" w:eastAsia="SimSun" w:cs="SimSun"/>
          <w:sz w:val="30"/>
          <w:szCs w:val="30"/>
        </w:rPr>
        <w:t>型企业，畅通科技</w:t>
      </w:r>
      <w:r>
        <w:rPr>
          <w:rFonts w:ascii="Times New Roman" w:hAnsi="Times New Roman" w:eastAsia="Times New Roman" w:cs="Times New Roman"/>
          <w:sz w:val="30"/>
          <w:szCs w:val="30"/>
        </w:rPr>
        <w:t>-</w:t>
      </w:r>
      <w:r>
        <w:rPr>
          <w:rFonts w:ascii="SimSun" w:hAnsi="SimSun" w:eastAsia="SimSun" w:cs="SimSun"/>
          <w:sz w:val="30"/>
          <w:szCs w:val="30"/>
        </w:rPr>
        <w:t>产业</w:t>
      </w:r>
      <w:r>
        <w:rPr>
          <w:rFonts w:ascii="Times New Roman" w:hAnsi="Times New Roman" w:eastAsia="Times New Roman" w:cs="Times New Roman"/>
          <w:sz w:val="30"/>
          <w:szCs w:val="30"/>
        </w:rPr>
        <w:t>-</w:t>
      </w:r>
      <w:r>
        <w:rPr>
          <w:rFonts w:ascii="SimSun" w:hAnsi="SimSun" w:eastAsia="SimSun" w:cs="SimSun"/>
          <w:sz w:val="30"/>
          <w:szCs w:val="30"/>
        </w:rPr>
        <w:t>资本良性循环，加快产业</w:t>
      </w:r>
      <w:r>
        <w:rPr>
          <w:rFonts w:ascii="SimSun" w:hAnsi="SimSun" w:eastAsia="SimSun" w:cs="SimSun"/>
          <w:sz w:val="30"/>
          <w:szCs w:val="30"/>
          <w:spacing w:val="-1"/>
        </w:rPr>
        <w:t>转型升级，激</w:t>
      </w:r>
      <w:r>
        <w:rPr>
          <w:rFonts w:ascii="SimSun" w:hAnsi="SimSun" w:eastAsia="SimSun" w:cs="SimSun"/>
          <w:sz w:val="30"/>
          <w:szCs w:val="30"/>
          <w:spacing w:val="-4"/>
        </w:rPr>
        <w:t>发市场主体创新活力，助力科技自立自强、解决“卡脖子”等问</w:t>
      </w:r>
      <w:r>
        <w:rPr>
          <w:rFonts w:ascii="SimSun" w:hAnsi="SimSun" w:eastAsia="SimSun" w:cs="SimSun"/>
          <w:sz w:val="30"/>
          <w:szCs w:val="30"/>
          <w:spacing w:val="-4"/>
        </w:rPr>
        <w:t>题。截止到</w:t>
      </w:r>
      <w:r>
        <w:rPr>
          <w:rFonts w:ascii="SimSun" w:hAnsi="SimSun" w:eastAsia="SimSun" w:cs="SimSun"/>
          <w:sz w:val="30"/>
          <w:szCs w:val="30"/>
          <w:spacing w:val="-35"/>
        </w:rPr>
        <w:t xml:space="preserve"> </w:t>
      </w:r>
      <w:r>
        <w:rPr>
          <w:rFonts w:ascii="Times New Roman" w:hAnsi="Times New Roman" w:eastAsia="Times New Roman" w:cs="Times New Roman"/>
          <w:sz w:val="30"/>
          <w:szCs w:val="30"/>
          <w:spacing w:val="-4"/>
        </w:rPr>
        <w:t>2021</w:t>
      </w:r>
      <w:r>
        <w:rPr>
          <w:rFonts w:ascii="Times New Roman" w:hAnsi="Times New Roman" w:eastAsia="Times New Roman" w:cs="Times New Roman"/>
          <w:sz w:val="30"/>
          <w:szCs w:val="30"/>
          <w:spacing w:val="31"/>
          <w:w w:val="101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4"/>
        </w:rPr>
        <w:t>年末，</w:t>
      </w:r>
      <w:r>
        <w:rPr>
          <w:rFonts w:ascii="Times New Roman" w:hAnsi="Times New Roman" w:eastAsia="Times New Roman" w:cs="Times New Roman"/>
          <w:sz w:val="30"/>
          <w:szCs w:val="30"/>
          <w:spacing w:val="-4"/>
        </w:rPr>
        <w:t>A</w:t>
      </w:r>
      <w:r>
        <w:rPr>
          <w:rFonts w:ascii="Times New Roman" w:hAnsi="Times New Roman" w:eastAsia="Times New Roman" w:cs="Times New Roman"/>
          <w:sz w:val="30"/>
          <w:szCs w:val="30"/>
          <w:spacing w:val="29"/>
          <w:w w:val="101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4"/>
        </w:rPr>
        <w:t>股年内</w:t>
      </w:r>
      <w:r>
        <w:rPr>
          <w:rFonts w:ascii="SimSun" w:hAnsi="SimSun" w:eastAsia="SimSun" w:cs="SimSun"/>
          <w:sz w:val="30"/>
          <w:szCs w:val="30"/>
          <w:spacing w:val="-42"/>
        </w:rPr>
        <w:t xml:space="preserve"> </w:t>
      </w:r>
      <w:r>
        <w:rPr>
          <w:rFonts w:ascii="Times New Roman" w:hAnsi="Times New Roman" w:eastAsia="Times New Roman" w:cs="Times New Roman"/>
          <w:sz w:val="30"/>
          <w:szCs w:val="30"/>
          <w:spacing w:val="-4"/>
        </w:rPr>
        <w:t>5134</w:t>
      </w:r>
      <w:r>
        <w:rPr>
          <w:rFonts w:ascii="Times New Roman" w:hAnsi="Times New Roman" w:eastAsia="Times New Roman" w:cs="Times New Roman"/>
          <w:sz w:val="30"/>
          <w:szCs w:val="30"/>
          <w:spacing w:val="34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4"/>
        </w:rPr>
        <w:t>亿</w:t>
      </w:r>
      <w:r>
        <w:rPr>
          <w:rFonts w:ascii="SimSun" w:hAnsi="SimSun" w:eastAsia="SimSun" w:cs="SimSun"/>
          <w:sz w:val="30"/>
          <w:szCs w:val="30"/>
          <w:spacing w:val="-49"/>
        </w:rPr>
        <w:t xml:space="preserve"> </w:t>
      </w:r>
      <w:r>
        <w:rPr>
          <w:rFonts w:ascii="Times New Roman" w:hAnsi="Times New Roman" w:eastAsia="Times New Roman" w:cs="Times New Roman"/>
          <w:sz w:val="30"/>
          <w:szCs w:val="30"/>
          <w:spacing w:val="-4"/>
        </w:rPr>
        <w:t>IPO</w:t>
      </w:r>
      <w:r>
        <w:rPr>
          <w:rFonts w:ascii="Times New Roman" w:hAnsi="Times New Roman" w:eastAsia="Times New Roman" w:cs="Times New Roman"/>
          <w:sz w:val="30"/>
          <w:szCs w:val="30"/>
          <w:spacing w:val="49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4"/>
        </w:rPr>
        <w:t>当中约</w:t>
      </w:r>
      <w:r>
        <w:rPr>
          <w:rFonts w:ascii="SimSun" w:hAnsi="SimSun" w:eastAsia="SimSun" w:cs="SimSun"/>
          <w:sz w:val="30"/>
          <w:szCs w:val="30"/>
          <w:spacing w:val="-43"/>
        </w:rPr>
        <w:t xml:space="preserve"> </w:t>
      </w:r>
      <w:r>
        <w:rPr>
          <w:rFonts w:ascii="Times New Roman" w:hAnsi="Times New Roman" w:eastAsia="Times New Roman" w:cs="Times New Roman"/>
          <w:sz w:val="30"/>
          <w:szCs w:val="30"/>
          <w:spacing w:val="-4"/>
        </w:rPr>
        <w:t>60%</w:t>
      </w:r>
      <w:r>
        <w:rPr>
          <w:rFonts w:ascii="SimSun" w:hAnsi="SimSun" w:eastAsia="SimSun" w:cs="SimSun"/>
          <w:sz w:val="30"/>
          <w:szCs w:val="30"/>
          <w:spacing w:val="-4"/>
        </w:rPr>
        <w:t>资金</w:t>
      </w:r>
      <w:r>
        <w:rPr>
          <w:rFonts w:ascii="SimSun" w:hAnsi="SimSun" w:eastAsia="SimSun" w:cs="SimSun"/>
          <w:sz w:val="30"/>
          <w:szCs w:val="30"/>
          <w:spacing w:val="-8"/>
        </w:rPr>
        <w:t>被引导到新一代信息通信、高端装备等新兴产业领域，</w:t>
      </w:r>
      <w:r>
        <w:rPr>
          <w:rFonts w:ascii="SimSun" w:hAnsi="SimSun" w:eastAsia="SimSun" w:cs="SimSun"/>
          <w:sz w:val="30"/>
          <w:szCs w:val="30"/>
          <w:spacing w:val="-33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8"/>
        </w:rPr>
        <w:t>实现</w:t>
      </w:r>
      <w:r>
        <w:rPr>
          <w:rFonts w:ascii="SimSun" w:hAnsi="SimSun" w:eastAsia="SimSun" w:cs="SimSun"/>
          <w:sz w:val="30"/>
          <w:szCs w:val="30"/>
          <w:spacing w:val="-9"/>
        </w:rPr>
        <w:t>资本</w:t>
      </w:r>
      <w:r>
        <w:rPr>
          <w:rFonts w:ascii="SimSun" w:hAnsi="SimSun" w:eastAsia="SimSun" w:cs="SimSun"/>
          <w:sz w:val="30"/>
          <w:szCs w:val="30"/>
          <w:spacing w:val="-7"/>
        </w:rPr>
        <w:t>结构调整与产业结构调整相互促进</w:t>
      </w:r>
      <w:r>
        <w:rPr>
          <w:rFonts w:ascii="Times New Roman" w:hAnsi="Times New Roman" w:eastAsia="Times New Roman" w:cs="Times New Roman"/>
          <w:sz w:val="18"/>
          <w:szCs w:val="18"/>
          <w:spacing w:val="-7"/>
          <w:position w:val="10"/>
        </w:rPr>
        <w:t>3</w:t>
      </w:r>
      <w:r>
        <w:rPr>
          <w:rFonts w:ascii="SimSun" w:hAnsi="SimSun" w:eastAsia="SimSun" w:cs="SimSun"/>
          <w:sz w:val="30"/>
          <w:szCs w:val="30"/>
          <w:spacing w:val="-7"/>
        </w:rPr>
        <w:t>。同时，在注册制改革的推动</w:t>
      </w:r>
      <w:r>
        <w:rPr>
          <w:rFonts w:ascii="SimSun" w:hAnsi="SimSun" w:eastAsia="SimSun" w:cs="SimSun"/>
          <w:sz w:val="30"/>
          <w:szCs w:val="30"/>
          <w:spacing w:val="-1"/>
        </w:rPr>
        <w:t>下，上市公司结构、投资者结构、估值体系或将发生积极变化，</w:t>
      </w:r>
      <w:r>
        <w:rPr>
          <w:rFonts w:ascii="SimSun" w:hAnsi="SimSun" w:eastAsia="SimSun" w:cs="SimSun"/>
          <w:sz w:val="30"/>
          <w:szCs w:val="30"/>
          <w:spacing w:val="-4"/>
        </w:rPr>
        <w:t>未来将进一步向国外发达资本市场看齐，淡化盈利指标，重视市</w:t>
      </w:r>
      <w:r>
        <w:rPr>
          <w:rFonts w:ascii="SimSun" w:hAnsi="SimSun" w:eastAsia="SimSun" w:cs="SimSun"/>
          <w:sz w:val="30"/>
          <w:szCs w:val="30"/>
          <w:spacing w:val="-9"/>
        </w:rPr>
        <w:t>值、流动性、 持股结构等市场化指标和公司治理等综合指标，以</w:t>
      </w:r>
      <w:r>
        <w:rPr>
          <w:rFonts w:ascii="SimSun" w:hAnsi="SimSun" w:eastAsia="SimSun" w:cs="SimSun"/>
          <w:sz w:val="30"/>
          <w:szCs w:val="30"/>
          <w:spacing w:val="-5"/>
        </w:rPr>
        <w:t>更好匹配新经济公司特征。</w:t>
      </w:r>
    </w:p>
    <w:p>
      <w:pPr>
        <w:ind w:left="621"/>
        <w:spacing w:before="275" w:line="233" w:lineRule="auto"/>
        <w:outlineLvl w:val="2"/>
        <w:rPr>
          <w:rFonts w:ascii="SimSun" w:hAnsi="SimSun" w:eastAsia="SimSun" w:cs="SimSun"/>
          <w:sz w:val="30"/>
          <w:szCs w:val="30"/>
        </w:rPr>
      </w:pPr>
      <w:r>
        <w:rPr>
          <w:rFonts w:ascii="Times New Roman" w:hAnsi="Times New Roman" w:eastAsia="Times New Roman" w:cs="Times New Roman"/>
          <w:sz w:val="30"/>
          <w:szCs w:val="30"/>
          <w:b/>
          <w:bCs/>
          <w:spacing w:val="-3"/>
        </w:rPr>
        <w:t>3</w:t>
      </w:r>
      <w:r>
        <w:rPr>
          <w:rFonts w:ascii="SimSun" w:hAnsi="SimSun" w:eastAsia="SimSun" w:cs="SimSun"/>
          <w:sz w:val="30"/>
          <w:szCs w:val="30"/>
          <w:b/>
          <w:bCs/>
          <w:spacing w:val="-3"/>
        </w:rPr>
        <w:t>．市场分化加剧，对企业管理、战略投资提出更高要求</w:t>
      </w:r>
    </w:p>
    <w:p>
      <w:pPr>
        <w:ind w:left="25" w:right="229" w:firstLine="609"/>
        <w:spacing w:before="326" w:line="261" w:lineRule="auto"/>
        <w:jc w:val="both"/>
        <w:rPr>
          <w:rFonts w:ascii="SimSun" w:hAnsi="SimSun" w:eastAsia="SimSun" w:cs="SimSun"/>
          <w:sz w:val="30"/>
          <w:szCs w:val="30"/>
        </w:rPr>
      </w:pPr>
      <w:r>
        <w:rPr>
          <w:rFonts w:ascii="SimSun" w:hAnsi="SimSun" w:eastAsia="SimSun" w:cs="SimSun"/>
          <w:sz w:val="30"/>
          <w:szCs w:val="30"/>
          <w:spacing w:val="-5"/>
        </w:rPr>
        <w:t>市场通过价值发现，用资金投票奖励优质公司、逐渐边缘化</w:t>
      </w:r>
      <w:r>
        <w:rPr>
          <w:rFonts w:ascii="SimSun" w:hAnsi="SimSun" w:eastAsia="SimSun" w:cs="SimSun"/>
          <w:sz w:val="30"/>
          <w:szCs w:val="30"/>
          <w:spacing w:val="-4"/>
        </w:rPr>
        <w:t>弱势公司，马太效应进一步凸显，对于企业的管理、投资和退出</w:t>
      </w:r>
      <w:r>
        <w:rPr>
          <w:rFonts w:ascii="SimSun" w:hAnsi="SimSun" w:eastAsia="SimSun" w:cs="SimSun"/>
          <w:sz w:val="30"/>
          <w:szCs w:val="30"/>
          <w:spacing w:val="-6"/>
        </w:rPr>
        <w:t>能力的能力提出了更高要求。一方面，注册制改革激活了</w:t>
      </w:r>
      <w:r>
        <w:rPr>
          <w:rFonts w:ascii="SimSun" w:hAnsi="SimSun" w:eastAsia="SimSun" w:cs="SimSun"/>
          <w:sz w:val="30"/>
          <w:szCs w:val="30"/>
          <w:spacing w:val="-72"/>
        </w:rPr>
        <w:t xml:space="preserve"> </w:t>
      </w:r>
      <w:r>
        <w:rPr>
          <w:rFonts w:ascii="Times New Roman" w:hAnsi="Times New Roman" w:eastAsia="Times New Roman" w:cs="Times New Roman"/>
          <w:sz w:val="30"/>
          <w:szCs w:val="30"/>
          <w:spacing w:val="-6"/>
        </w:rPr>
        <w:t>A </w:t>
      </w:r>
      <w:r>
        <w:rPr>
          <w:rFonts w:ascii="SimSun" w:hAnsi="SimSun" w:eastAsia="SimSun" w:cs="SimSun"/>
          <w:sz w:val="30"/>
          <w:szCs w:val="30"/>
          <w:spacing w:val="-6"/>
        </w:rPr>
        <w:t>股市</w:t>
      </w:r>
      <w:r>
        <w:rPr>
          <w:rFonts w:ascii="SimSun" w:hAnsi="SimSun" w:eastAsia="SimSun" w:cs="SimSun"/>
          <w:sz w:val="30"/>
          <w:szCs w:val="30"/>
          <w:spacing w:val="-4"/>
        </w:rPr>
        <w:t>场，提升资源配置效率，万亿市值的头部企业出现，过千亿的上</w:t>
      </w:r>
      <w:r>
        <w:rPr>
          <w:rFonts w:ascii="SimSun" w:hAnsi="SimSun" w:eastAsia="SimSun" w:cs="SimSun"/>
          <w:sz w:val="30"/>
          <w:szCs w:val="30"/>
          <w:spacing w:val="-6"/>
        </w:rPr>
        <w:t>市公司数量翻番，未来越来越多优秀的公司将回</w:t>
      </w:r>
      <w:r>
        <w:rPr>
          <w:rFonts w:ascii="SimSun" w:hAnsi="SimSun" w:eastAsia="SimSun" w:cs="SimSun"/>
          <w:sz w:val="30"/>
          <w:szCs w:val="30"/>
          <w:spacing w:val="-70"/>
        </w:rPr>
        <w:t xml:space="preserve"> </w:t>
      </w:r>
      <w:r>
        <w:rPr>
          <w:rFonts w:ascii="Times New Roman" w:hAnsi="Times New Roman" w:eastAsia="Times New Roman" w:cs="Times New Roman"/>
          <w:sz w:val="30"/>
          <w:szCs w:val="30"/>
          <w:spacing w:val="-6"/>
        </w:rPr>
        <w:t>A </w:t>
      </w:r>
      <w:r>
        <w:rPr>
          <w:rFonts w:ascii="SimSun" w:hAnsi="SimSun" w:eastAsia="SimSun" w:cs="SimSun"/>
          <w:sz w:val="30"/>
          <w:szCs w:val="30"/>
          <w:spacing w:val="-6"/>
        </w:rPr>
        <w:t>上市。另一方</w:t>
      </w:r>
      <w:r>
        <w:rPr>
          <w:rFonts w:ascii="SimSun" w:hAnsi="SimSun" w:eastAsia="SimSun" w:cs="SimSun"/>
          <w:sz w:val="30"/>
          <w:szCs w:val="30"/>
          <w:spacing w:val="-4"/>
        </w:rPr>
        <w:t>面，低价值公司加速向底部聚集、市值下限不断被拉低。市值小</w:t>
      </w:r>
      <w:r>
        <w:rPr>
          <w:rFonts w:ascii="SimSun" w:hAnsi="SimSun" w:eastAsia="SimSun" w:cs="SimSun"/>
          <w:sz w:val="30"/>
          <w:szCs w:val="30"/>
          <w:spacing w:val="-2"/>
        </w:rPr>
        <w:t>于</w:t>
      </w:r>
      <w:r>
        <w:rPr>
          <w:rFonts w:ascii="SimSun" w:hAnsi="SimSun" w:eastAsia="SimSun" w:cs="SimSun"/>
          <w:sz w:val="30"/>
          <w:szCs w:val="30"/>
          <w:spacing w:val="-64"/>
        </w:rPr>
        <w:t xml:space="preserve"> </w:t>
      </w:r>
      <w:r>
        <w:rPr>
          <w:rFonts w:ascii="Times New Roman" w:hAnsi="Times New Roman" w:eastAsia="Times New Roman" w:cs="Times New Roman"/>
          <w:sz w:val="30"/>
          <w:szCs w:val="30"/>
          <w:spacing w:val="-2"/>
        </w:rPr>
        <w:t>30 </w:t>
      </w:r>
      <w:r>
        <w:rPr>
          <w:rFonts w:ascii="SimSun" w:hAnsi="SimSun" w:eastAsia="SimSun" w:cs="SimSun"/>
          <w:sz w:val="30"/>
          <w:szCs w:val="30"/>
          <w:spacing w:val="-2"/>
        </w:rPr>
        <w:t>亿元的公司从</w:t>
      </w:r>
      <w:r>
        <w:rPr>
          <w:rFonts w:ascii="SimSun" w:hAnsi="SimSun" w:eastAsia="SimSun" w:cs="SimSun"/>
          <w:sz w:val="30"/>
          <w:szCs w:val="30"/>
          <w:spacing w:val="-69"/>
        </w:rPr>
        <w:t xml:space="preserve"> </w:t>
      </w:r>
      <w:r>
        <w:rPr>
          <w:rFonts w:ascii="Times New Roman" w:hAnsi="Times New Roman" w:eastAsia="Times New Roman" w:cs="Times New Roman"/>
          <w:sz w:val="30"/>
          <w:szCs w:val="30"/>
          <w:spacing w:val="-2"/>
        </w:rPr>
        <w:t>2016 </w:t>
      </w:r>
      <w:r>
        <w:rPr>
          <w:rFonts w:ascii="SimSun" w:hAnsi="SimSun" w:eastAsia="SimSun" w:cs="SimSun"/>
          <w:sz w:val="30"/>
          <w:szCs w:val="30"/>
          <w:spacing w:val="-2"/>
        </w:rPr>
        <w:t>年的</w:t>
      </w:r>
      <w:r>
        <w:rPr>
          <w:rFonts w:ascii="Times New Roman" w:hAnsi="Times New Roman" w:eastAsia="Times New Roman" w:cs="Times New Roman"/>
          <w:sz w:val="30"/>
          <w:szCs w:val="30"/>
          <w:spacing w:val="-2"/>
        </w:rPr>
        <w:t>43 </w:t>
      </w:r>
      <w:r>
        <w:rPr>
          <w:rFonts w:ascii="SimSun" w:hAnsi="SimSun" w:eastAsia="SimSun" w:cs="SimSun"/>
          <w:sz w:val="30"/>
          <w:szCs w:val="30"/>
          <w:spacing w:val="-2"/>
        </w:rPr>
        <w:t>家增长到目前的</w:t>
      </w:r>
      <w:r>
        <w:rPr>
          <w:rFonts w:ascii="SimSun" w:hAnsi="SimSun" w:eastAsia="SimSun" w:cs="SimSun"/>
          <w:sz w:val="30"/>
          <w:szCs w:val="30"/>
          <w:spacing w:val="-40"/>
        </w:rPr>
        <w:t xml:space="preserve"> </w:t>
      </w:r>
      <w:r>
        <w:rPr>
          <w:rFonts w:ascii="Times New Roman" w:hAnsi="Times New Roman" w:eastAsia="Times New Roman" w:cs="Times New Roman"/>
          <w:sz w:val="30"/>
          <w:szCs w:val="30"/>
          <w:spacing w:val="-2"/>
        </w:rPr>
        <w:t>13</w:t>
      </w:r>
      <w:r>
        <w:rPr>
          <w:rFonts w:ascii="Times New Roman" w:hAnsi="Times New Roman" w:eastAsia="Times New Roman" w:cs="Times New Roman"/>
          <w:sz w:val="30"/>
          <w:szCs w:val="30"/>
          <w:spacing w:val="-3"/>
        </w:rPr>
        <w:t>00 </w:t>
      </w:r>
      <w:r>
        <w:rPr>
          <w:rFonts w:ascii="SimSun" w:hAnsi="SimSun" w:eastAsia="SimSun" w:cs="SimSun"/>
          <w:sz w:val="30"/>
          <w:szCs w:val="30"/>
          <w:spacing w:val="-3"/>
        </w:rPr>
        <w:t>余家，最</w:t>
      </w:r>
    </w:p>
    <w:p>
      <w:pPr>
        <w:spacing w:line="338" w:lineRule="auto"/>
        <w:rPr>
          <w:rFonts w:ascii="Arial"/>
          <w:sz w:val="21"/>
        </w:rPr>
      </w:pPr>
      <w:r>
        <w:pict>
          <v:shape id="_x0000_s4" style="position:absolute;margin-left:0.72599pt;margin-top:13.4408pt;mso-position-vertical-relative:text;mso-position-horizontal-relative:text;width:144.05pt;height:0.5pt;z-index:251661312;" fillcolor="#000000" filled="true" stroked="false" coordsize="2881,10" coordorigin="0,0" path="m0,9l2880,9l2880,0l0,0l0,9xe"/>
        </w:pict>
      </w:r>
      <w:r/>
    </w:p>
    <w:p>
      <w:pPr>
        <w:pStyle w:val="BodyText"/>
        <w:ind w:left="19"/>
        <w:spacing w:before="69" w:line="239" w:lineRule="auto"/>
        <w:rPr/>
      </w:pPr>
      <w:r>
        <w:rPr>
          <w:sz w:val="11"/>
          <w:szCs w:val="11"/>
          <w:spacing w:val="-1"/>
          <w:position w:val="10"/>
        </w:rPr>
        <w:t>2</w:t>
      </w:r>
      <w:r>
        <w:rPr>
          <w:sz w:val="11"/>
          <w:szCs w:val="11"/>
          <w:spacing w:val="-1"/>
          <w:position w:val="10"/>
        </w:rPr>
        <w:t xml:space="preserve">  </w:t>
      </w:r>
      <w:r>
        <w:rPr>
          <w:spacing w:val="-1"/>
        </w:rPr>
        <w:t>数据来源：普华永道</w:t>
      </w:r>
    </w:p>
    <w:p>
      <w:pPr>
        <w:pStyle w:val="BodyText"/>
        <w:ind w:left="19"/>
        <w:spacing w:before="7" w:line="233" w:lineRule="auto"/>
        <w:rPr/>
      </w:pPr>
      <w:r>
        <w:rPr>
          <w:rFonts w:ascii="DengXian" w:hAnsi="DengXian" w:eastAsia="DengXian" w:cs="DengXian"/>
          <w:sz w:val="11"/>
          <w:szCs w:val="11"/>
          <w:spacing w:val="-4"/>
          <w:position w:val="10"/>
        </w:rPr>
        <w:t>3</w:t>
      </w:r>
      <w:r>
        <w:rPr>
          <w:rFonts w:ascii="DengXian" w:hAnsi="DengXian" w:eastAsia="DengXian" w:cs="DengXian"/>
          <w:sz w:val="11"/>
          <w:szCs w:val="11"/>
          <w:spacing w:val="9"/>
          <w:w w:val="101"/>
          <w:position w:val="10"/>
        </w:rPr>
        <w:t xml:space="preserve">   </w:t>
      </w:r>
      <w:r>
        <w:rPr>
          <w:spacing w:val="-4"/>
        </w:rPr>
        <w:t>《全面走向注册制的</w:t>
      </w:r>
      <w:r>
        <w:rPr>
          <w:spacing w:val="-51"/>
        </w:rPr>
        <w:t xml:space="preserve"> </w:t>
      </w:r>
      <w:r>
        <w:rPr>
          <w:spacing w:val="-4"/>
        </w:rPr>
        <w:t>A</w:t>
      </w:r>
      <w:r>
        <w:rPr>
          <w:spacing w:val="-40"/>
        </w:rPr>
        <w:t xml:space="preserve"> </w:t>
      </w:r>
      <w:r>
        <w:rPr>
          <w:spacing w:val="-4"/>
        </w:rPr>
        <w:t>股将带来五大影响》，JIC</w:t>
      </w:r>
      <w:r>
        <w:rPr>
          <w:spacing w:val="-41"/>
        </w:rPr>
        <w:t xml:space="preserve"> </w:t>
      </w:r>
      <w:r>
        <w:rPr>
          <w:spacing w:val="-4"/>
        </w:rPr>
        <w:t>投资观察，2022（01）</w:t>
      </w:r>
    </w:p>
    <w:p>
      <w:pPr>
        <w:spacing w:line="233" w:lineRule="auto"/>
        <w:sectPr>
          <w:headerReference w:type="default" r:id="rId4"/>
          <w:pgSz w:w="11907" w:h="16839"/>
          <w:pgMar w:top="400" w:right="1566" w:bottom="0" w:left="1785" w:header="0" w:footer="0" w:gutter="0"/>
        </w:sectPr>
        <w:rPr/>
      </w:pPr>
    </w:p>
    <w:p>
      <w:pPr>
        <w:spacing w:line="253" w:lineRule="auto"/>
        <w:rPr>
          <w:rFonts w:ascii="Arial"/>
          <w:sz w:val="21"/>
        </w:rPr>
      </w:pPr>
      <w:r/>
    </w:p>
    <w:p>
      <w:pPr>
        <w:spacing w:line="254" w:lineRule="auto"/>
        <w:rPr>
          <w:rFonts w:ascii="Arial"/>
          <w:sz w:val="21"/>
        </w:rPr>
      </w:pPr>
      <w:r/>
    </w:p>
    <w:p>
      <w:pPr>
        <w:spacing w:line="254" w:lineRule="auto"/>
        <w:rPr>
          <w:rFonts w:ascii="Arial"/>
          <w:sz w:val="21"/>
        </w:rPr>
      </w:pPr>
      <w:r/>
    </w:p>
    <w:p>
      <w:pPr>
        <w:spacing w:line="254" w:lineRule="auto"/>
        <w:rPr>
          <w:rFonts w:ascii="Arial"/>
          <w:sz w:val="21"/>
        </w:rPr>
      </w:pPr>
      <w:r/>
    </w:p>
    <w:p>
      <w:pPr>
        <w:ind w:left="16" w:right="253" w:firstLine="8"/>
        <w:spacing w:before="97" w:line="259" w:lineRule="auto"/>
        <w:jc w:val="both"/>
        <w:rPr>
          <w:rFonts w:ascii="SimSun" w:hAnsi="SimSun" w:eastAsia="SimSun" w:cs="SimSun"/>
          <w:sz w:val="30"/>
          <w:szCs w:val="30"/>
        </w:rPr>
      </w:pPr>
      <w:r>
        <w:rPr>
          <w:rFonts w:ascii="SimSun" w:hAnsi="SimSun" w:eastAsia="SimSun" w:cs="SimSun"/>
          <w:sz w:val="30"/>
          <w:szCs w:val="30"/>
          <w:spacing w:val="-4"/>
        </w:rPr>
        <w:t>低市值从</w:t>
      </w:r>
      <w:r>
        <w:rPr>
          <w:rFonts w:ascii="SimSun" w:hAnsi="SimSun" w:eastAsia="SimSun" w:cs="SimSun"/>
          <w:sz w:val="30"/>
          <w:szCs w:val="30"/>
          <w:spacing w:val="-69"/>
        </w:rPr>
        <w:t xml:space="preserve"> </w:t>
      </w:r>
      <w:r>
        <w:rPr>
          <w:rFonts w:ascii="Times New Roman" w:hAnsi="Times New Roman" w:eastAsia="Times New Roman" w:cs="Times New Roman"/>
          <w:sz w:val="30"/>
          <w:szCs w:val="30"/>
          <w:spacing w:val="-4"/>
        </w:rPr>
        <w:t>20</w:t>
      </w:r>
      <w:r>
        <w:rPr>
          <w:rFonts w:ascii="Times New Roman" w:hAnsi="Times New Roman" w:eastAsia="Times New Roman" w:cs="Times New Roman"/>
          <w:sz w:val="30"/>
          <w:szCs w:val="30"/>
          <w:spacing w:val="26"/>
          <w:w w:val="101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4"/>
        </w:rPr>
        <w:t>多亿元下降到</w:t>
      </w:r>
      <w:r>
        <w:rPr>
          <w:rFonts w:ascii="SimSun" w:hAnsi="SimSun" w:eastAsia="SimSun" w:cs="SimSun"/>
          <w:sz w:val="30"/>
          <w:szCs w:val="30"/>
          <w:spacing w:val="-61"/>
        </w:rPr>
        <w:t xml:space="preserve"> </w:t>
      </w:r>
      <w:r>
        <w:rPr>
          <w:rFonts w:ascii="Times New Roman" w:hAnsi="Times New Roman" w:eastAsia="Times New Roman" w:cs="Times New Roman"/>
          <w:sz w:val="30"/>
          <w:szCs w:val="30"/>
          <w:spacing w:val="-4"/>
        </w:rPr>
        <w:t>5 </w:t>
      </w:r>
      <w:r>
        <w:rPr>
          <w:rFonts w:ascii="SimSun" w:hAnsi="SimSun" w:eastAsia="SimSun" w:cs="SimSun"/>
          <w:sz w:val="30"/>
          <w:szCs w:val="30"/>
          <w:spacing w:val="-4"/>
        </w:rPr>
        <w:t>亿元以下</w:t>
      </w:r>
      <w:r>
        <w:rPr>
          <w:rFonts w:ascii="Times New Roman" w:hAnsi="Times New Roman" w:eastAsia="Times New Roman" w:cs="Times New Roman"/>
          <w:sz w:val="18"/>
          <w:szCs w:val="18"/>
          <w:spacing w:val="-4"/>
          <w:position w:val="10"/>
        </w:rPr>
        <w:t>4 </w:t>
      </w:r>
      <w:r>
        <w:rPr>
          <w:rFonts w:ascii="SimSun" w:hAnsi="SimSun" w:eastAsia="SimSun" w:cs="SimSun"/>
          <w:sz w:val="30"/>
          <w:szCs w:val="30"/>
          <w:spacing w:val="-4"/>
        </w:rPr>
        <w:t>。</w:t>
      </w:r>
      <w:r>
        <w:rPr>
          <w:rFonts w:ascii="SimSun" w:hAnsi="SimSun" w:eastAsia="SimSun" w:cs="SimSun"/>
          <w:sz w:val="30"/>
          <w:szCs w:val="30"/>
          <w:spacing w:val="-5"/>
        </w:rPr>
        <w:t>同时，试点注册制以来</w:t>
      </w:r>
      <w:r>
        <w:rPr>
          <w:rFonts w:ascii="Times New Roman" w:hAnsi="Times New Roman" w:eastAsia="Times New Roman" w:cs="Times New Roman"/>
          <w:sz w:val="30"/>
          <w:szCs w:val="30"/>
        </w:rPr>
        <w:t>A  </w:t>
      </w:r>
      <w:r>
        <w:rPr>
          <w:rFonts w:ascii="SimSun" w:hAnsi="SimSun" w:eastAsia="SimSun" w:cs="SimSun"/>
          <w:sz w:val="30"/>
          <w:szCs w:val="30"/>
        </w:rPr>
        <w:t>股市场退市率明显增长，</w:t>
      </w:r>
      <w:r>
        <w:rPr>
          <w:rFonts w:ascii="Times New Roman" w:hAnsi="Times New Roman" w:eastAsia="Times New Roman" w:cs="Times New Roman"/>
          <w:sz w:val="30"/>
          <w:szCs w:val="30"/>
        </w:rPr>
        <w:t>2020 </w:t>
      </w:r>
      <w:r>
        <w:rPr>
          <w:rFonts w:ascii="Times New Roman" w:hAnsi="Times New Roman" w:eastAsia="Times New Roman" w:cs="Times New Roman"/>
          <w:sz w:val="30"/>
          <w:szCs w:val="30"/>
          <w:spacing w:val="-1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1"/>
        </w:rPr>
        <w:t>年以来退市公司数量已占过去</w:t>
      </w:r>
      <w:r>
        <w:rPr>
          <w:rFonts w:ascii="Times New Roman" w:hAnsi="Times New Roman" w:eastAsia="Times New Roman" w:cs="Times New Roman"/>
          <w:sz w:val="30"/>
          <w:szCs w:val="30"/>
          <w:spacing w:val="4"/>
        </w:rPr>
        <w:t>30 </w:t>
      </w:r>
      <w:r>
        <w:rPr>
          <w:rFonts w:ascii="SimSun" w:hAnsi="SimSun" w:eastAsia="SimSun" w:cs="SimSun"/>
          <w:sz w:val="30"/>
          <w:szCs w:val="30"/>
          <w:spacing w:val="4"/>
        </w:rPr>
        <w:t>年来退市公司数量的</w:t>
      </w:r>
      <w:r>
        <w:rPr>
          <w:rFonts w:ascii="Times New Roman" w:hAnsi="Times New Roman" w:eastAsia="Times New Roman" w:cs="Times New Roman"/>
          <w:sz w:val="30"/>
          <w:szCs w:val="30"/>
          <w:spacing w:val="4"/>
        </w:rPr>
        <w:t>40%</w:t>
      </w:r>
      <w:r>
        <w:rPr>
          <w:rFonts w:ascii="SimSun" w:hAnsi="SimSun" w:eastAsia="SimSun" w:cs="SimSun"/>
          <w:sz w:val="30"/>
          <w:szCs w:val="30"/>
          <w:spacing w:val="4"/>
        </w:rPr>
        <w:t>。</w:t>
      </w:r>
    </w:p>
    <w:p>
      <w:pPr>
        <w:spacing w:line="346" w:lineRule="auto"/>
        <w:rPr>
          <w:rFonts w:ascii="Arial"/>
          <w:sz w:val="21"/>
        </w:rPr>
      </w:pPr>
      <w:r/>
    </w:p>
    <w:p>
      <w:pPr>
        <w:ind w:left="676"/>
        <w:spacing w:before="100" w:line="224" w:lineRule="auto"/>
        <w:outlineLvl w:val="1"/>
        <w:rPr>
          <w:rFonts w:ascii="SimHei" w:hAnsi="SimHei" w:eastAsia="SimHei" w:cs="SimHei"/>
          <w:sz w:val="31"/>
          <w:szCs w:val="31"/>
        </w:rPr>
      </w:pPr>
      <w:r>
        <w:rPr>
          <w:rFonts w:ascii="SimHei" w:hAnsi="SimHei" w:eastAsia="SimHei" w:cs="SimHei"/>
          <w:sz w:val="31"/>
          <w:szCs w:val="31"/>
          <w:b/>
          <w:bCs/>
          <w:spacing w:val="6"/>
        </w:rPr>
        <w:t>三、中国电信启示及建议</w:t>
      </w:r>
    </w:p>
    <w:p>
      <w:pPr>
        <w:spacing w:line="272" w:lineRule="auto"/>
        <w:rPr>
          <w:rFonts w:ascii="Arial"/>
          <w:sz w:val="21"/>
        </w:rPr>
      </w:pPr>
      <w:r/>
    </w:p>
    <w:p>
      <w:pPr>
        <w:ind w:left="636"/>
        <w:spacing w:before="97" w:line="233" w:lineRule="auto"/>
        <w:outlineLvl w:val="2"/>
        <w:rPr>
          <w:rFonts w:ascii="SimSun" w:hAnsi="SimSun" w:eastAsia="SimSun" w:cs="SimSun"/>
          <w:sz w:val="30"/>
          <w:szCs w:val="30"/>
        </w:rPr>
      </w:pPr>
      <w:r>
        <w:rPr>
          <w:rFonts w:ascii="Times New Roman" w:hAnsi="Times New Roman" w:eastAsia="Times New Roman" w:cs="Times New Roman"/>
          <w:sz w:val="30"/>
          <w:szCs w:val="30"/>
          <w:b/>
          <w:bCs/>
          <w:spacing w:val="-3"/>
        </w:rPr>
        <w:t>1</w:t>
      </w:r>
      <w:r>
        <w:rPr>
          <w:rFonts w:ascii="SimSun" w:hAnsi="SimSun" w:eastAsia="SimSun" w:cs="SimSun"/>
          <w:sz w:val="30"/>
          <w:szCs w:val="30"/>
          <w:b/>
          <w:bCs/>
          <w:spacing w:val="-3"/>
        </w:rPr>
        <w:t>．把握好全面注册制机遇，搭建并优化资本布局</w:t>
      </w:r>
    </w:p>
    <w:p>
      <w:pPr>
        <w:ind w:left="26" w:right="169" w:firstLine="628"/>
        <w:spacing w:before="320" w:line="262" w:lineRule="auto"/>
        <w:rPr>
          <w:rFonts w:ascii="SimSun" w:hAnsi="SimSun" w:eastAsia="SimSun" w:cs="SimSun"/>
          <w:sz w:val="30"/>
          <w:szCs w:val="30"/>
        </w:rPr>
      </w:pPr>
      <w:r>
        <w:rPr>
          <w:rFonts w:ascii="SimSun" w:hAnsi="SimSun" w:eastAsia="SimSun" w:cs="SimSun"/>
          <w:sz w:val="30"/>
          <w:szCs w:val="30"/>
          <w:spacing w:val="-2"/>
        </w:rPr>
        <w:t>中国电信应积极把握注册制带来的窗口期，抓住政策红利，</w:t>
      </w:r>
      <w:r>
        <w:rPr>
          <w:rFonts w:ascii="SimSun" w:hAnsi="SimSun" w:eastAsia="SimSun" w:cs="SimSun"/>
          <w:sz w:val="30"/>
          <w:szCs w:val="30"/>
          <w:spacing w:val="-6"/>
        </w:rPr>
        <w:t>做好资本市场对接。</w:t>
      </w:r>
    </w:p>
    <w:p>
      <w:pPr>
        <w:ind w:left="25" w:right="256" w:firstLine="605"/>
        <w:spacing w:before="272" w:line="259" w:lineRule="auto"/>
        <w:jc w:val="both"/>
        <w:rPr>
          <w:rFonts w:ascii="SimSun" w:hAnsi="SimSun" w:eastAsia="SimSun" w:cs="SimSun"/>
          <w:sz w:val="30"/>
          <w:szCs w:val="30"/>
        </w:rPr>
      </w:pPr>
      <w:r>
        <w:rPr>
          <w:rFonts w:ascii="SimSun" w:hAnsi="SimSun" w:eastAsia="SimSun" w:cs="SimSun"/>
          <w:sz w:val="30"/>
          <w:szCs w:val="30"/>
          <w:spacing w:val="-5"/>
        </w:rPr>
        <w:t>一是在集团层面优化搭建多元业务结构和产业板块划分，明</w:t>
      </w:r>
      <w:r>
        <w:rPr>
          <w:rFonts w:ascii="SimSun" w:hAnsi="SimSun" w:eastAsia="SimSun" w:cs="SimSun"/>
          <w:sz w:val="30"/>
          <w:szCs w:val="30"/>
          <w:spacing w:val="-4"/>
        </w:rPr>
        <w:t>确梳理好非上市、已上市、拟上市、孵化培育等不同属性板块的</w:t>
      </w:r>
      <w:r>
        <w:rPr>
          <w:rFonts w:ascii="SimSun" w:hAnsi="SimSun" w:eastAsia="SimSun" w:cs="SimSun"/>
          <w:sz w:val="30"/>
          <w:szCs w:val="30"/>
          <w:spacing w:val="-4"/>
        </w:rPr>
        <w:t>梯次格局，区分哪些需要对外融资、是否需要对接资本市场及具</w:t>
      </w:r>
      <w:r>
        <w:rPr>
          <w:rFonts w:ascii="SimSun" w:hAnsi="SimSun" w:eastAsia="SimSun" w:cs="SimSun"/>
          <w:sz w:val="30"/>
          <w:szCs w:val="30"/>
          <w:spacing w:val="-9"/>
        </w:rPr>
        <w:t>体融资路径、滚动融资周期的问题。提前规划储备上市资源， 适</w:t>
      </w:r>
      <w:r>
        <w:rPr>
          <w:rFonts w:ascii="SimSun" w:hAnsi="SimSun" w:eastAsia="SimSun" w:cs="SimSun"/>
          <w:sz w:val="30"/>
          <w:szCs w:val="30"/>
          <w:spacing w:val="-5"/>
        </w:rPr>
        <w:t>时分批推进专业公司上市。</w:t>
      </w:r>
    </w:p>
    <w:p>
      <w:pPr>
        <w:ind w:left="26" w:right="148" w:firstLine="604"/>
        <w:spacing w:before="274" w:line="260" w:lineRule="auto"/>
        <w:jc w:val="both"/>
        <w:rPr>
          <w:rFonts w:ascii="SimSun" w:hAnsi="SimSun" w:eastAsia="SimSun" w:cs="SimSun"/>
          <w:sz w:val="30"/>
          <w:szCs w:val="30"/>
        </w:rPr>
      </w:pPr>
      <w:r>
        <w:rPr>
          <w:rFonts w:ascii="SimSun" w:hAnsi="SimSun" w:eastAsia="SimSun" w:cs="SimSun"/>
          <w:sz w:val="30"/>
          <w:szCs w:val="30"/>
          <w:spacing w:val="-7"/>
        </w:rPr>
        <w:t>二是借助资本市场的政策风口，围绕云、</w:t>
      </w:r>
      <w:r>
        <w:rPr>
          <w:rFonts w:ascii="Times New Roman" w:hAnsi="Times New Roman" w:eastAsia="Times New Roman" w:cs="Times New Roman"/>
          <w:sz w:val="30"/>
          <w:szCs w:val="30"/>
          <w:spacing w:val="-7"/>
        </w:rPr>
        <w:t>AI </w:t>
      </w:r>
      <w:r>
        <w:rPr>
          <w:rFonts w:ascii="SimSun" w:hAnsi="SimSun" w:eastAsia="SimSun" w:cs="SimSun"/>
          <w:sz w:val="30"/>
          <w:szCs w:val="30"/>
          <w:spacing w:val="-7"/>
        </w:rPr>
        <w:t>和</w:t>
      </w:r>
      <w:r>
        <w:rPr>
          <w:rFonts w:ascii="SimSun" w:hAnsi="SimSun" w:eastAsia="SimSun" w:cs="SimSun"/>
          <w:sz w:val="30"/>
          <w:szCs w:val="30"/>
          <w:spacing w:val="-8"/>
        </w:rPr>
        <w:t>大数据、安全</w:t>
      </w:r>
      <w:r>
        <w:rPr>
          <w:rFonts w:ascii="SimSun" w:hAnsi="SimSun" w:eastAsia="SimSun" w:cs="SimSun"/>
          <w:sz w:val="30"/>
          <w:szCs w:val="30"/>
        </w:rPr>
        <w:t>产业链关键环节开展股权投资和创新孵化，培育拥有核心技术、</w:t>
      </w:r>
      <w:r>
        <w:rPr>
          <w:rFonts w:ascii="SimSun" w:hAnsi="SimSun" w:eastAsia="SimSun" w:cs="SimSun"/>
          <w:sz w:val="30"/>
          <w:szCs w:val="30"/>
          <w:spacing w:val="-4"/>
        </w:rPr>
        <w:t>垂直场景的细分龙头企业，以股权为纽带促进产业链企业融通创</w:t>
      </w:r>
      <w:r>
        <w:rPr>
          <w:rFonts w:ascii="SimSun" w:hAnsi="SimSun" w:eastAsia="SimSun" w:cs="SimSun"/>
          <w:sz w:val="30"/>
          <w:szCs w:val="30"/>
          <w:spacing w:val="-7"/>
        </w:rPr>
        <w:t>新、协同发展。</w:t>
      </w:r>
    </w:p>
    <w:p>
      <w:pPr>
        <w:ind w:left="26" w:firstLine="599"/>
        <w:spacing w:before="271" w:line="260" w:lineRule="auto"/>
        <w:jc w:val="both"/>
        <w:rPr>
          <w:rFonts w:ascii="SimSun" w:hAnsi="SimSun" w:eastAsia="SimSun" w:cs="SimSun"/>
          <w:sz w:val="30"/>
          <w:szCs w:val="30"/>
        </w:rPr>
      </w:pPr>
      <w:r>
        <w:rPr>
          <w:rFonts w:ascii="SimSun" w:hAnsi="SimSun" w:eastAsia="SimSun" w:cs="SimSun"/>
          <w:sz w:val="30"/>
          <w:szCs w:val="30"/>
          <w:spacing w:val="-6"/>
        </w:rPr>
        <w:t>三是进一步加强信息披露广度深度，结合中国特色估值体系、</w:t>
      </w:r>
      <w:r>
        <w:rPr>
          <w:rFonts w:ascii="SimSun" w:hAnsi="SimSun" w:eastAsia="SimSun" w:cs="SimSun"/>
          <w:sz w:val="30"/>
          <w:szCs w:val="30"/>
          <w:spacing w:val="-4"/>
        </w:rPr>
        <w:t>硬科技等市场焦点，提高市场对中国电信的整体认同度，拉升市</w:t>
      </w:r>
      <w:r>
        <w:rPr>
          <w:rFonts w:ascii="SimSun" w:hAnsi="SimSun" w:eastAsia="SimSun" w:cs="SimSun"/>
          <w:sz w:val="30"/>
          <w:szCs w:val="30"/>
          <w:spacing w:val="-2"/>
        </w:rPr>
        <w:t>值，推动国有资本做强做优做大、加快建设世界一流企业。</w:t>
      </w:r>
    </w:p>
    <w:p>
      <w:pPr>
        <w:ind w:left="624"/>
        <w:spacing w:before="272" w:line="232" w:lineRule="auto"/>
        <w:outlineLvl w:val="2"/>
        <w:rPr>
          <w:rFonts w:ascii="SimSun" w:hAnsi="SimSun" w:eastAsia="SimSun" w:cs="SimSun"/>
          <w:sz w:val="30"/>
          <w:szCs w:val="30"/>
        </w:rPr>
      </w:pPr>
      <w:r>
        <w:rPr>
          <w:rFonts w:ascii="Times New Roman" w:hAnsi="Times New Roman" w:eastAsia="Times New Roman" w:cs="Times New Roman"/>
          <w:sz w:val="30"/>
          <w:szCs w:val="30"/>
          <w:b/>
          <w:bCs/>
          <w:spacing w:val="-3"/>
        </w:rPr>
        <w:t>2</w:t>
      </w:r>
      <w:r>
        <w:rPr>
          <w:rFonts w:ascii="SimSun" w:hAnsi="SimSun" w:eastAsia="SimSun" w:cs="SimSun"/>
          <w:sz w:val="30"/>
          <w:szCs w:val="30"/>
          <w:b/>
          <w:bCs/>
          <w:spacing w:val="-3"/>
        </w:rPr>
        <w:t>．构建适应新形式下投资评价和管理体系</w:t>
      </w:r>
    </w:p>
    <w:p>
      <w:pPr>
        <w:ind w:left="27" w:right="256" w:firstLine="615"/>
        <w:spacing w:before="322" w:line="262" w:lineRule="auto"/>
        <w:rPr>
          <w:rFonts w:ascii="SimSun" w:hAnsi="SimSun" w:eastAsia="SimSun" w:cs="SimSun"/>
          <w:sz w:val="30"/>
          <w:szCs w:val="30"/>
        </w:rPr>
      </w:pPr>
      <w:r>
        <w:rPr>
          <w:rFonts w:ascii="SimSun" w:hAnsi="SimSun" w:eastAsia="SimSun" w:cs="SimSun"/>
          <w:sz w:val="30"/>
          <w:szCs w:val="30"/>
          <w:spacing w:val="-5"/>
        </w:rPr>
        <w:t>随着市场审美变化，中国电信的战略投资也要及时调整评价</w:t>
      </w:r>
      <w:r>
        <w:rPr>
          <w:rFonts w:ascii="SimSun" w:hAnsi="SimSun" w:eastAsia="SimSun" w:cs="SimSun"/>
          <w:sz w:val="30"/>
          <w:szCs w:val="30"/>
          <w:spacing w:val="-3"/>
        </w:rPr>
        <w:t>标准，打造扎根产业、深度赋能的特色投资管理体系。</w:t>
      </w:r>
    </w:p>
    <w:p>
      <w:pPr>
        <w:ind w:left="35" w:right="146" w:firstLine="595"/>
        <w:spacing w:before="269" w:line="262" w:lineRule="auto"/>
        <w:rPr>
          <w:rFonts w:ascii="SimSun" w:hAnsi="SimSun" w:eastAsia="SimSun" w:cs="SimSun"/>
          <w:sz w:val="30"/>
          <w:szCs w:val="30"/>
        </w:rPr>
      </w:pPr>
      <w:r>
        <w:rPr>
          <w:rFonts w:ascii="SimSun" w:hAnsi="SimSun" w:eastAsia="SimSun" w:cs="SimSun"/>
          <w:sz w:val="30"/>
          <w:szCs w:val="30"/>
        </w:rPr>
        <w:t>一是提升战略前瞻及行业专业能力，加大对市值、流动</w:t>
      </w:r>
      <w:r>
        <w:rPr>
          <w:rFonts w:ascii="SimSun" w:hAnsi="SimSun" w:eastAsia="SimSun" w:cs="SimSun"/>
          <w:sz w:val="30"/>
          <w:szCs w:val="30"/>
          <w:spacing w:val="-1"/>
        </w:rPr>
        <w:t>性、</w:t>
      </w:r>
      <w:r>
        <w:rPr>
          <w:rFonts w:ascii="SimSun" w:hAnsi="SimSun" w:eastAsia="SimSun" w:cs="SimSun"/>
          <w:sz w:val="30"/>
          <w:szCs w:val="30"/>
          <w:spacing w:val="-5"/>
        </w:rPr>
        <w:t>公司治理等综合指标的关注度。</w:t>
      </w:r>
    </w:p>
    <w:p>
      <w:pPr>
        <w:spacing w:line="355" w:lineRule="auto"/>
        <w:rPr>
          <w:rFonts w:ascii="Arial"/>
          <w:sz w:val="21"/>
        </w:rPr>
      </w:pPr>
      <w:r/>
    </w:p>
    <w:p>
      <w:pPr>
        <w:spacing w:line="355" w:lineRule="auto"/>
        <w:rPr>
          <w:rFonts w:ascii="Arial"/>
          <w:sz w:val="21"/>
        </w:rPr>
      </w:pPr>
      <w:r>
        <w:pict>
          <v:shape id="_x0000_s6" style="position:absolute;margin-left:0.72599pt;margin-top:14.2893pt;mso-position-vertical-relative:text;mso-position-horizontal-relative:text;width:144.05pt;height:0.5pt;z-index:251662336;" fillcolor="#000000" filled="true" stroked="false" coordsize="2881,10" coordorigin="0,0" path="m0,9l2880,9l2880,0l0,0l0,9xe"/>
        </w:pict>
      </w:r>
      <w:r/>
    </w:p>
    <w:p>
      <w:pPr>
        <w:pStyle w:val="BodyText"/>
        <w:ind w:left="17"/>
        <w:spacing w:before="69" w:line="239" w:lineRule="auto"/>
        <w:rPr/>
      </w:pPr>
      <w:r>
        <w:rPr>
          <w:sz w:val="11"/>
          <w:szCs w:val="11"/>
          <w:spacing w:val="-1"/>
          <w:position w:val="10"/>
        </w:rPr>
        <w:t>4</w:t>
      </w:r>
      <w:r>
        <w:rPr>
          <w:sz w:val="11"/>
          <w:szCs w:val="11"/>
          <w:spacing w:val="-1"/>
          <w:position w:val="10"/>
        </w:rPr>
        <w:t xml:space="preserve">  </w:t>
      </w:r>
      <w:r>
        <w:rPr>
          <w:spacing w:val="-1"/>
        </w:rPr>
        <w:t>数据来源：WIND，时间截至</w:t>
      </w:r>
      <w:r>
        <w:rPr>
          <w:spacing w:val="-32"/>
        </w:rPr>
        <w:t xml:space="preserve"> </w:t>
      </w:r>
      <w:r>
        <w:rPr>
          <w:spacing w:val="-1"/>
        </w:rPr>
        <w:t>2022.12.31</w:t>
      </w:r>
    </w:p>
    <w:p>
      <w:pPr>
        <w:spacing w:line="239" w:lineRule="auto"/>
        <w:sectPr>
          <w:pgSz w:w="11907" w:h="16839"/>
          <w:pgMar w:top="400" w:right="1543" w:bottom="0" w:left="1785" w:header="0" w:footer="0" w:gutter="0"/>
        </w:sectPr>
        <w:rPr/>
      </w:pPr>
    </w:p>
    <w:p>
      <w:pPr>
        <w:spacing w:line="253" w:lineRule="auto"/>
        <w:rPr>
          <w:rFonts w:ascii="Arial"/>
          <w:sz w:val="21"/>
        </w:rPr>
      </w:pPr>
      <w:r/>
    </w:p>
    <w:p>
      <w:pPr>
        <w:spacing w:line="253" w:lineRule="auto"/>
        <w:rPr>
          <w:rFonts w:ascii="Arial"/>
          <w:sz w:val="21"/>
        </w:rPr>
      </w:pPr>
      <w:r/>
    </w:p>
    <w:p>
      <w:pPr>
        <w:spacing w:line="254" w:lineRule="auto"/>
        <w:rPr>
          <w:rFonts w:ascii="Arial"/>
          <w:sz w:val="21"/>
        </w:rPr>
      </w:pPr>
      <w:r/>
    </w:p>
    <w:p>
      <w:pPr>
        <w:spacing w:line="254" w:lineRule="auto"/>
        <w:rPr>
          <w:rFonts w:ascii="Arial"/>
          <w:sz w:val="21"/>
        </w:rPr>
      </w:pPr>
      <w:r/>
    </w:p>
    <w:p>
      <w:pPr>
        <w:ind w:left="26" w:firstLine="604"/>
        <w:spacing w:before="97" w:line="260" w:lineRule="auto"/>
        <w:jc w:val="both"/>
        <w:rPr>
          <w:rFonts w:ascii="SimSun" w:hAnsi="SimSun" w:eastAsia="SimSun" w:cs="SimSun"/>
          <w:sz w:val="30"/>
          <w:szCs w:val="30"/>
        </w:rPr>
      </w:pPr>
      <w:r>
        <w:rPr>
          <w:rFonts w:ascii="SimSun" w:hAnsi="SimSun" w:eastAsia="SimSun" w:cs="SimSun"/>
          <w:sz w:val="30"/>
          <w:szCs w:val="30"/>
          <w:spacing w:val="-7"/>
        </w:rPr>
        <w:t>二是依托投资公司打造全生命周期、全链条的企业服务生态，</w:t>
      </w:r>
      <w:r>
        <w:rPr>
          <w:rFonts w:ascii="SimSun" w:hAnsi="SimSun" w:eastAsia="SimSun" w:cs="SimSun"/>
          <w:sz w:val="30"/>
          <w:szCs w:val="30"/>
          <w:spacing w:val="-9"/>
        </w:rPr>
        <w:t>充分利用行业资源、已投项目资源、政府资源等， 为被投企业提</w:t>
      </w:r>
      <w:r>
        <w:rPr>
          <w:rFonts w:ascii="SimSun" w:hAnsi="SimSun" w:eastAsia="SimSun" w:cs="SimSun"/>
          <w:sz w:val="30"/>
          <w:szCs w:val="30"/>
          <w:spacing w:val="-16"/>
        </w:rPr>
        <w:t>供数字化服务、管理提升、产业对接、组织人才服务等全面服务。</w:t>
      </w:r>
    </w:p>
    <w:p>
      <w:pPr>
        <w:ind w:left="26" w:right="233" w:firstLine="599"/>
        <w:spacing w:before="269" w:line="261" w:lineRule="auto"/>
        <w:jc w:val="both"/>
        <w:rPr>
          <w:rFonts w:ascii="SimSun" w:hAnsi="SimSun" w:eastAsia="SimSun" w:cs="SimSun"/>
          <w:sz w:val="30"/>
          <w:szCs w:val="30"/>
        </w:rPr>
      </w:pPr>
      <w:r>
        <w:rPr>
          <w:rFonts w:ascii="SimSun" w:hAnsi="SimSun" w:eastAsia="SimSun" w:cs="SimSun"/>
          <w:sz w:val="30"/>
          <w:szCs w:val="30"/>
          <w:spacing w:val="-9"/>
        </w:rPr>
        <w:t>三是完善项目退出机制。注册制下，</w:t>
      </w:r>
      <w:r>
        <w:rPr>
          <w:rFonts w:ascii="SimSun" w:hAnsi="SimSun" w:eastAsia="SimSun" w:cs="SimSun"/>
          <w:sz w:val="30"/>
          <w:szCs w:val="30"/>
          <w:spacing w:val="-23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9"/>
        </w:rPr>
        <w:t>被投企业的经营风险将</w:t>
      </w:r>
      <w:r>
        <w:rPr>
          <w:rFonts w:ascii="SimSun" w:hAnsi="SimSun" w:eastAsia="SimSun" w:cs="SimSun"/>
          <w:sz w:val="30"/>
          <w:szCs w:val="30"/>
          <w:spacing w:val="-4"/>
        </w:rPr>
        <w:t>被进一步放大，应跟进产业周期演进、商业模式变化及估值逻辑</w:t>
      </w:r>
      <w:r>
        <w:rPr>
          <w:rFonts w:ascii="SimSun" w:hAnsi="SimSun" w:eastAsia="SimSun" w:cs="SimSun"/>
          <w:sz w:val="30"/>
          <w:szCs w:val="30"/>
          <w:spacing w:val="-5"/>
        </w:rPr>
        <w:t>变化，及时退出锁定收益。</w:t>
      </w:r>
    </w:p>
    <w:p>
      <w:pPr>
        <w:ind w:left="621"/>
        <w:spacing w:before="271" w:line="233" w:lineRule="auto"/>
        <w:outlineLvl w:val="2"/>
        <w:rPr>
          <w:rFonts w:ascii="SimSun" w:hAnsi="SimSun" w:eastAsia="SimSun" w:cs="SimSun"/>
          <w:sz w:val="30"/>
          <w:szCs w:val="30"/>
        </w:rPr>
      </w:pPr>
      <w:r>
        <w:rPr>
          <w:rFonts w:ascii="Times New Roman" w:hAnsi="Times New Roman" w:eastAsia="Times New Roman" w:cs="Times New Roman"/>
          <w:sz w:val="30"/>
          <w:szCs w:val="30"/>
          <w:b/>
          <w:bCs/>
          <w:spacing w:val="-4"/>
        </w:rPr>
        <w:t>3</w:t>
      </w:r>
      <w:r>
        <w:rPr>
          <w:rFonts w:ascii="SimSun" w:hAnsi="SimSun" w:eastAsia="SimSun" w:cs="SimSun"/>
          <w:sz w:val="30"/>
          <w:szCs w:val="30"/>
          <w:b/>
          <w:bCs/>
          <w:spacing w:val="-4"/>
        </w:rPr>
        <w:t>．打造一、二级市场联动的投资闭环体系</w:t>
      </w:r>
    </w:p>
    <w:p>
      <w:pPr>
        <w:ind w:left="26" w:right="127" w:firstLine="604"/>
        <w:spacing w:before="317" w:line="260" w:lineRule="auto"/>
        <w:jc w:val="both"/>
        <w:rPr>
          <w:rFonts w:ascii="SimSun" w:hAnsi="SimSun" w:eastAsia="SimSun" w:cs="SimSun"/>
          <w:sz w:val="30"/>
          <w:szCs w:val="30"/>
        </w:rPr>
      </w:pPr>
      <w:r>
        <w:rPr>
          <w:rFonts w:ascii="SimSun" w:hAnsi="SimSun" w:eastAsia="SimSun" w:cs="SimSun"/>
          <w:sz w:val="30"/>
          <w:szCs w:val="30"/>
          <w:spacing w:val="-9"/>
        </w:rPr>
        <w:t>一是聚焦一级市场早期轮次的高新企业布局。注册制下，</w:t>
      </w:r>
      <w:r>
        <w:rPr>
          <w:rFonts w:ascii="SimSun" w:hAnsi="SimSun" w:eastAsia="SimSun" w:cs="SimSun"/>
          <w:sz w:val="30"/>
          <w:szCs w:val="30"/>
          <w:spacing w:val="-30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9"/>
        </w:rPr>
        <w:t>上</w:t>
      </w:r>
      <w:r>
        <w:rPr>
          <w:rFonts w:ascii="SimSun" w:hAnsi="SimSun" w:eastAsia="SimSun" w:cs="SimSun"/>
          <w:sz w:val="30"/>
          <w:szCs w:val="30"/>
          <w:spacing w:val="-1"/>
        </w:rPr>
        <w:t>市条件放宽、企业上市周期前移、</w:t>
      </w:r>
      <w:r>
        <w:rPr>
          <w:rFonts w:ascii="Times New Roman" w:hAnsi="Times New Roman" w:eastAsia="Times New Roman" w:cs="Times New Roman"/>
          <w:sz w:val="30"/>
          <w:szCs w:val="30"/>
          <w:spacing w:val="-1"/>
        </w:rPr>
        <w:t>IPO  </w:t>
      </w:r>
      <w:r>
        <w:rPr>
          <w:rFonts w:ascii="SimSun" w:hAnsi="SimSun" w:eastAsia="SimSun" w:cs="SimSun"/>
          <w:sz w:val="30"/>
          <w:szCs w:val="30"/>
          <w:spacing w:val="-1"/>
        </w:rPr>
        <w:t>新股破发率上升</w:t>
      </w:r>
      <w:r>
        <w:rPr>
          <w:rFonts w:ascii="SimSun" w:hAnsi="SimSun" w:eastAsia="SimSun" w:cs="SimSun"/>
          <w:sz w:val="30"/>
          <w:szCs w:val="30"/>
          <w:spacing w:val="-2"/>
        </w:rPr>
        <w:t>等因素，</w:t>
      </w:r>
      <w:r>
        <w:rPr>
          <w:rFonts w:ascii="SimSun" w:hAnsi="SimSun" w:eastAsia="SimSun" w:cs="SimSun"/>
          <w:sz w:val="30"/>
          <w:szCs w:val="30"/>
          <w:spacing w:val="-1"/>
        </w:rPr>
        <w:t>导致战略配售、</w:t>
      </w:r>
      <w:r>
        <w:rPr>
          <w:rFonts w:ascii="Times New Roman" w:hAnsi="Times New Roman" w:eastAsia="Times New Roman" w:cs="Times New Roman"/>
          <w:sz w:val="30"/>
          <w:szCs w:val="30"/>
          <w:spacing w:val="-1"/>
        </w:rPr>
        <w:t>Pre-IPO</w:t>
      </w:r>
      <w:r>
        <w:rPr>
          <w:rFonts w:ascii="Times New Roman" w:hAnsi="Times New Roman" w:eastAsia="Times New Roman" w:cs="Times New Roman"/>
          <w:sz w:val="30"/>
          <w:szCs w:val="30"/>
          <w:spacing w:val="67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1"/>
        </w:rPr>
        <w:t>等投资方式套利空间缩小，中国电信应</w:t>
      </w:r>
      <w:r>
        <w:rPr>
          <w:rFonts w:ascii="SimSun" w:hAnsi="SimSun" w:eastAsia="SimSun" w:cs="SimSun"/>
          <w:sz w:val="30"/>
          <w:szCs w:val="30"/>
          <w:spacing w:val="-11"/>
        </w:rPr>
        <w:t>加速一级市场早期初创项目挖掘，缩短投资决策流程，抢占先机。</w:t>
      </w:r>
    </w:p>
    <w:p>
      <w:pPr>
        <w:ind w:left="25" w:right="125" w:firstLine="605"/>
        <w:spacing w:before="273" w:line="259" w:lineRule="auto"/>
        <w:jc w:val="both"/>
        <w:rPr>
          <w:rFonts w:ascii="SimSun" w:hAnsi="SimSun" w:eastAsia="SimSun" w:cs="SimSun"/>
          <w:sz w:val="30"/>
          <w:szCs w:val="30"/>
        </w:rPr>
      </w:pPr>
      <w:r>
        <w:rPr>
          <w:rFonts w:ascii="SimSun" w:hAnsi="SimSun" w:eastAsia="SimSun" w:cs="SimSun"/>
          <w:sz w:val="30"/>
          <w:szCs w:val="30"/>
          <w:spacing w:val="-5"/>
        </w:rPr>
        <w:t>二是提升二级市场头部企业关注度。目前中国电信股权投资</w:t>
      </w:r>
      <w:r>
        <w:rPr>
          <w:rFonts w:ascii="SimSun" w:hAnsi="SimSun" w:eastAsia="SimSun" w:cs="SimSun"/>
          <w:sz w:val="30"/>
          <w:szCs w:val="30"/>
          <w:spacing w:val="-5"/>
        </w:rPr>
        <w:t>中</w:t>
      </w:r>
      <w:r>
        <w:rPr>
          <w:rFonts w:ascii="SimSun" w:hAnsi="SimSun" w:eastAsia="SimSun" w:cs="SimSun"/>
          <w:sz w:val="30"/>
          <w:szCs w:val="30"/>
          <w:spacing w:val="-57"/>
        </w:rPr>
        <w:t xml:space="preserve"> </w:t>
      </w:r>
      <w:r>
        <w:rPr>
          <w:rFonts w:ascii="Times New Roman" w:hAnsi="Times New Roman" w:eastAsia="Times New Roman" w:cs="Times New Roman"/>
          <w:sz w:val="30"/>
          <w:szCs w:val="30"/>
          <w:spacing w:val="-5"/>
        </w:rPr>
        <w:t>85%</w:t>
      </w:r>
      <w:r>
        <w:rPr>
          <w:rFonts w:ascii="SimSun" w:hAnsi="SimSun" w:eastAsia="SimSun" w:cs="SimSun"/>
          <w:sz w:val="30"/>
          <w:szCs w:val="30"/>
          <w:spacing w:val="-5"/>
        </w:rPr>
        <w:t>为一级市场投资，二级市场关注度较低。注册制</w:t>
      </w:r>
      <w:r>
        <w:rPr>
          <w:rFonts w:ascii="SimSun" w:hAnsi="SimSun" w:eastAsia="SimSun" w:cs="SimSun"/>
          <w:sz w:val="30"/>
          <w:szCs w:val="30"/>
          <w:spacing w:val="-6"/>
        </w:rPr>
        <w:t>下二级市</w:t>
      </w:r>
      <w:r>
        <w:rPr>
          <w:rFonts w:ascii="SimSun" w:hAnsi="SimSun" w:eastAsia="SimSun" w:cs="SimSun"/>
          <w:sz w:val="30"/>
          <w:szCs w:val="30"/>
          <w:spacing w:val="-4"/>
        </w:rPr>
        <w:t>场企业信息和价值将更加透明和市场化，头部企业价值进一步凸</w:t>
      </w:r>
      <w:r>
        <w:rPr>
          <w:rFonts w:ascii="SimSun" w:hAnsi="SimSun" w:eastAsia="SimSun" w:cs="SimSun"/>
          <w:sz w:val="30"/>
          <w:szCs w:val="30"/>
          <w:spacing w:val="-4"/>
        </w:rPr>
        <w:t>显。中国电信应进一步加强二级市场的企业研究，可尝试中小比</w:t>
      </w:r>
      <w:r>
        <w:rPr>
          <w:rFonts w:ascii="SimSun" w:hAnsi="SimSun" w:eastAsia="SimSun" w:cs="SimSun"/>
          <w:sz w:val="30"/>
          <w:szCs w:val="30"/>
        </w:rPr>
        <w:t>率参与部分龙头企业的增发等模式介入，做好收益和风险平衡。</w:t>
      </w:r>
      <w:r>
        <w:rPr>
          <w:rFonts w:ascii="SimSun" w:hAnsi="SimSun" w:eastAsia="SimSun" w:cs="SimSun"/>
          <w:sz w:val="30"/>
          <w:szCs w:val="30"/>
          <w:spacing w:val="-4"/>
        </w:rPr>
        <w:t>同时，以二级市场头部企业为重点标杆，进一步对标优化一级市</w:t>
      </w:r>
      <w:r>
        <w:rPr>
          <w:rFonts w:ascii="SimSun" w:hAnsi="SimSun" w:eastAsia="SimSun" w:cs="SimSun"/>
          <w:sz w:val="30"/>
          <w:szCs w:val="30"/>
          <w:spacing w:val="-6"/>
        </w:rPr>
        <w:t>场投资方向和战略。</w:t>
      </w:r>
    </w:p>
    <w:p>
      <w:pPr>
        <w:ind w:left="25" w:right="233" w:firstLine="601"/>
        <w:spacing w:before="272" w:line="260" w:lineRule="auto"/>
        <w:jc w:val="both"/>
        <w:rPr>
          <w:rFonts w:ascii="SimSun" w:hAnsi="SimSun" w:eastAsia="SimSun" w:cs="SimSun"/>
          <w:sz w:val="30"/>
          <w:szCs w:val="30"/>
        </w:rPr>
      </w:pPr>
      <w:r>
        <w:rPr>
          <w:rFonts w:ascii="SimSun" w:hAnsi="SimSun" w:eastAsia="SimSun" w:cs="SimSun"/>
          <w:sz w:val="30"/>
          <w:szCs w:val="30"/>
          <w:spacing w:val="-4"/>
        </w:rPr>
        <w:t>三是探索建立跟投机制。企业两极分化加大将进一步</w:t>
      </w:r>
      <w:r>
        <w:rPr>
          <w:rFonts w:ascii="SimSun" w:hAnsi="SimSun" w:eastAsia="SimSun" w:cs="SimSun"/>
          <w:sz w:val="30"/>
          <w:szCs w:val="30"/>
          <w:spacing w:val="-5"/>
        </w:rPr>
        <w:t>增加头</w:t>
      </w:r>
      <w:r>
        <w:rPr>
          <w:rFonts w:ascii="SimSun" w:hAnsi="SimSun" w:eastAsia="SimSun" w:cs="SimSun"/>
          <w:sz w:val="30"/>
          <w:szCs w:val="30"/>
          <w:spacing w:val="-2"/>
        </w:rPr>
        <w:t>部企业的投资难问题，中国电信可积极探索与大型 </w:t>
      </w:r>
      <w:r>
        <w:rPr>
          <w:rFonts w:ascii="Times New Roman" w:hAnsi="Times New Roman" w:eastAsia="Times New Roman" w:cs="Times New Roman"/>
          <w:sz w:val="30"/>
          <w:szCs w:val="30"/>
          <w:spacing w:val="-2"/>
        </w:rPr>
        <w:t>PE/VC</w:t>
      </w:r>
      <w:r>
        <w:rPr>
          <w:rFonts w:ascii="Times New Roman" w:hAnsi="Times New Roman" w:eastAsia="Times New Roman" w:cs="Times New Roman"/>
          <w:sz w:val="30"/>
          <w:szCs w:val="30"/>
          <w:spacing w:val="78"/>
          <w:w w:val="101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2"/>
        </w:rPr>
        <w:t>投资</w:t>
      </w:r>
      <w:r>
        <w:rPr>
          <w:rFonts w:ascii="SimSun" w:hAnsi="SimSun" w:eastAsia="SimSun" w:cs="SimSun"/>
          <w:sz w:val="30"/>
          <w:szCs w:val="30"/>
          <w:spacing w:val="-4"/>
        </w:rPr>
        <w:t>机构的跟投联动机制，提高投资专业性和投后管理能力，降低投</w:t>
      </w:r>
      <w:r>
        <w:rPr>
          <w:rFonts w:ascii="SimSun" w:hAnsi="SimSun" w:eastAsia="SimSun" w:cs="SimSun"/>
          <w:sz w:val="30"/>
          <w:szCs w:val="30"/>
          <w:spacing w:val="-3"/>
        </w:rPr>
        <w:t>资风险，使投资服务于核心业务发展。</w:t>
      </w:r>
    </w:p>
    <w:p>
      <w:pPr>
        <w:rPr>
          <w:rFonts w:ascii="Arial"/>
          <w:sz w:val="21"/>
        </w:rPr>
      </w:pPr>
      <w:r/>
    </w:p>
    <w:p>
      <w:pPr>
        <w:rPr>
          <w:rFonts w:ascii="Arial"/>
          <w:sz w:val="21"/>
        </w:rPr>
      </w:pPr>
      <w:r/>
    </w:p>
    <w:p>
      <w:pPr>
        <w:rPr>
          <w:rFonts w:ascii="Arial"/>
          <w:sz w:val="21"/>
        </w:rPr>
      </w:pPr>
      <w:r/>
    </w:p>
    <w:p>
      <w:pPr>
        <w:rPr>
          <w:rFonts w:ascii="Arial"/>
          <w:sz w:val="21"/>
        </w:rPr>
      </w:pPr>
      <w:r/>
    </w:p>
    <w:p>
      <w:pPr>
        <w:rPr>
          <w:rFonts w:ascii="Arial"/>
          <w:sz w:val="21"/>
        </w:rPr>
      </w:pPr>
      <w:r/>
    </w:p>
    <w:p>
      <w:pPr>
        <w:pStyle w:val="BodyText"/>
        <w:ind w:left="39"/>
        <w:spacing w:before="98" w:line="216" w:lineRule="auto"/>
        <w:rPr>
          <w:rFonts w:ascii="KaiTi" w:hAnsi="KaiTi" w:eastAsia="KaiTi" w:cs="KaiTi"/>
          <w:sz w:val="30"/>
          <w:szCs w:val="30"/>
        </w:rPr>
      </w:pPr>
      <w:r>
        <w:rPr>
          <w:sz w:val="30"/>
          <w:szCs w:val="30"/>
          <w:b/>
          <w:bCs/>
          <w:spacing w:val="-1"/>
        </w:rPr>
        <w:t>作者简介：</w:t>
      </w:r>
      <w:r>
        <w:rPr>
          <w:rFonts w:ascii="KaiTi" w:hAnsi="KaiTi" w:eastAsia="KaiTi" w:cs="KaiTi"/>
          <w:sz w:val="30"/>
          <w:szCs w:val="30"/>
          <w:spacing w:val="-1"/>
        </w:rPr>
        <w:t>中国电信股份有限公司研究院/</w:t>
      </w:r>
      <w:r>
        <w:rPr>
          <w:rFonts w:ascii="KaiTi" w:hAnsi="KaiTi" w:eastAsia="KaiTi" w:cs="KaiTi"/>
          <w:sz w:val="30"/>
          <w:szCs w:val="30"/>
          <w:spacing w:val="-2"/>
        </w:rPr>
        <w:t>战略发展研究所</w:t>
      </w:r>
    </w:p>
    <w:p>
      <w:pPr>
        <w:spacing w:line="216" w:lineRule="auto"/>
        <w:sectPr>
          <w:pgSz w:w="11907" w:h="16839"/>
          <w:pgMar w:top="400" w:right="1566" w:bottom="0" w:left="1785" w:header="0" w:footer="0" w:gutter="0"/>
        </w:sectPr>
        <w:rPr>
          <w:rFonts w:ascii="KaiTi" w:hAnsi="KaiTi" w:eastAsia="KaiTi" w:cs="KaiTi"/>
          <w:sz w:val="30"/>
          <w:szCs w:val="30"/>
        </w:rPr>
      </w:pPr>
    </w:p>
    <w:p>
      <w:pPr>
        <w:spacing w:line="279" w:lineRule="auto"/>
        <w:rPr>
          <w:rFonts w:ascii="Arial"/>
          <w:sz w:val="21"/>
        </w:rPr>
      </w:pPr>
      <w:r/>
    </w:p>
    <w:p>
      <w:pPr>
        <w:spacing w:line="279" w:lineRule="auto"/>
        <w:rPr>
          <w:rFonts w:ascii="Arial"/>
          <w:sz w:val="21"/>
        </w:rPr>
      </w:pPr>
      <w:r/>
    </w:p>
    <w:p>
      <w:pPr>
        <w:spacing w:line="280" w:lineRule="auto"/>
        <w:rPr>
          <w:rFonts w:ascii="Arial"/>
          <w:sz w:val="21"/>
        </w:rPr>
      </w:pPr>
      <w:r/>
    </w:p>
    <w:p>
      <w:pPr>
        <w:spacing w:line="280" w:lineRule="auto"/>
        <w:rPr>
          <w:rFonts w:ascii="Arial"/>
          <w:sz w:val="21"/>
        </w:rPr>
      </w:pPr>
      <w:r/>
    </w:p>
    <w:p>
      <w:pPr>
        <w:spacing w:line="280" w:lineRule="auto"/>
        <w:rPr>
          <w:rFonts w:ascii="Arial"/>
          <w:sz w:val="21"/>
        </w:rPr>
      </w:pPr>
      <w:r>
        <w:drawing>
          <wp:anchor distT="0" distB="0" distL="0" distR="0" simplePos="0" relativeHeight="251664384" behindDoc="0" locked="0" layoutInCell="1" allowOverlap="1">
            <wp:simplePos x="0" y="0"/>
            <wp:positionH relativeFrom="column">
              <wp:posOffset>194843</wp:posOffset>
            </wp:positionH>
            <wp:positionV relativeFrom="paragraph">
              <wp:posOffset>7412</wp:posOffset>
            </wp:positionV>
            <wp:extent cx="845819" cy="2276857"/>
            <wp:effectExtent l="0" t="0" r="0" b="0"/>
            <wp:wrapNone/>
            <wp:docPr id="6" name="IM 6"/>
            <wp:cNvGraphicFramePr/>
            <a:graphic>
              <a:graphicData uri="http://schemas.openxmlformats.org/drawingml/2006/picture">
                <pic:pic>
                  <pic:nvPicPr>
                    <pic:cNvPr id="6" name="IM 6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845819" cy="227685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/>
    </w:p>
    <w:p>
      <w:pPr>
        <w:ind w:left="2259"/>
        <w:spacing w:before="91" w:line="224" w:lineRule="auto"/>
        <w:rPr>
          <w:rFonts w:ascii="KaiTi" w:hAnsi="KaiTi" w:eastAsia="KaiTi" w:cs="KaiTi"/>
          <w:sz w:val="28"/>
          <w:szCs w:val="28"/>
        </w:rPr>
      </w:pPr>
      <w:r>
        <w:rPr>
          <w:rFonts w:ascii="KaiTi" w:hAnsi="KaiTi" w:eastAsia="KaiTi" w:cs="KaiTi"/>
          <w:sz w:val="28"/>
          <w:szCs w:val="28"/>
          <w:b/>
          <w:bCs/>
          <w:spacing w:val="-1"/>
        </w:rPr>
        <w:t>樊启明</w:t>
      </w:r>
      <w:r>
        <w:rPr>
          <w:rFonts w:ascii="KaiTi" w:hAnsi="KaiTi" w:eastAsia="KaiTi" w:cs="KaiTi"/>
          <w:sz w:val="28"/>
          <w:szCs w:val="28"/>
          <w:spacing w:val="-1"/>
        </w:rPr>
        <w:t xml:space="preserve"> </w:t>
      </w:r>
      <w:r>
        <w:rPr>
          <w:rFonts w:ascii="KaiTi" w:hAnsi="KaiTi" w:eastAsia="KaiTi" w:cs="KaiTi"/>
          <w:sz w:val="28"/>
          <w:szCs w:val="28"/>
          <w:spacing w:val="-1"/>
        </w:rPr>
        <w:t>【17319098625】</w:t>
      </w:r>
    </w:p>
    <w:p>
      <w:pPr>
        <w:ind w:left="2262" w:right="203" w:firstLine="278"/>
        <w:spacing w:before="109" w:line="224" w:lineRule="auto"/>
        <w:rPr>
          <w:rFonts w:ascii="KaiTi" w:hAnsi="KaiTi" w:eastAsia="KaiTi" w:cs="KaiTi"/>
          <w:sz w:val="28"/>
          <w:szCs w:val="28"/>
        </w:rPr>
      </w:pPr>
      <w:r>
        <w:rPr>
          <w:rFonts w:ascii="KaiTi" w:hAnsi="KaiTi" w:eastAsia="KaiTi" w:cs="KaiTi"/>
          <w:sz w:val="28"/>
          <w:szCs w:val="28"/>
          <w:spacing w:val="-1"/>
        </w:rPr>
        <w:t>硕士，中级工程师，长期从事科技创新、资本</w:t>
      </w:r>
      <w:r>
        <w:rPr>
          <w:rFonts w:ascii="KaiTi" w:hAnsi="KaiTi" w:eastAsia="KaiTi" w:cs="KaiTi"/>
          <w:sz w:val="28"/>
          <w:szCs w:val="28"/>
          <w:spacing w:val="-1"/>
        </w:rPr>
        <w:t>运营和企业战略等相关研究。</w:t>
      </w:r>
    </w:p>
    <w:p>
      <w:pPr>
        <w:spacing w:line="323" w:lineRule="auto"/>
        <w:rPr>
          <w:rFonts w:ascii="Arial"/>
          <w:sz w:val="21"/>
        </w:rPr>
      </w:pPr>
      <w:r/>
    </w:p>
    <w:p>
      <w:pPr>
        <w:spacing w:line="323" w:lineRule="auto"/>
        <w:rPr>
          <w:rFonts w:ascii="Arial"/>
          <w:sz w:val="21"/>
        </w:rPr>
      </w:pPr>
      <w:r/>
    </w:p>
    <w:p>
      <w:pPr>
        <w:ind w:left="2267"/>
        <w:spacing w:before="91" w:line="219" w:lineRule="auto"/>
        <w:rPr>
          <w:rFonts w:ascii="KaiTi" w:hAnsi="KaiTi" w:eastAsia="KaiTi" w:cs="KaiTi"/>
          <w:sz w:val="28"/>
          <w:szCs w:val="28"/>
        </w:rPr>
      </w:pPr>
      <w:r>
        <w:rPr>
          <w:rFonts w:ascii="KaiTi" w:hAnsi="KaiTi" w:eastAsia="KaiTi" w:cs="KaiTi"/>
          <w:sz w:val="28"/>
          <w:szCs w:val="28"/>
          <w:b/>
          <w:bCs/>
          <w:spacing w:val="-7"/>
        </w:rPr>
        <w:t>王禹辰</w:t>
      </w:r>
    </w:p>
    <w:p>
      <w:pPr>
        <w:ind w:left="2263" w:right="203" w:firstLine="277"/>
        <w:spacing w:before="117" w:line="223" w:lineRule="auto"/>
        <w:rPr>
          <w:rFonts w:ascii="KaiTi" w:hAnsi="KaiTi" w:eastAsia="KaiTi" w:cs="KaiTi"/>
          <w:sz w:val="28"/>
          <w:szCs w:val="28"/>
        </w:rPr>
      </w:pPr>
      <w:r>
        <w:rPr>
          <w:rFonts w:ascii="KaiTi" w:hAnsi="KaiTi" w:eastAsia="KaiTi" w:cs="KaiTi"/>
          <w:sz w:val="28"/>
          <w:szCs w:val="28"/>
          <w:spacing w:val="-1"/>
        </w:rPr>
        <w:t>硕士，中级经济师，主要从事企业发展、资本</w:t>
      </w:r>
      <w:r>
        <w:rPr>
          <w:rFonts w:ascii="KaiTi" w:hAnsi="KaiTi" w:eastAsia="KaiTi" w:cs="KaiTi"/>
          <w:sz w:val="28"/>
          <w:szCs w:val="28"/>
          <w:spacing w:val="-1"/>
        </w:rPr>
        <w:t>市场、国企改革等相关研究。</w:t>
      </w:r>
    </w:p>
    <w:sectPr>
      <w:pgSz w:w="11907" w:h="16839"/>
      <w:pgMar w:top="400" w:right="1785" w:bottom="0" w:left="1785" w:header="0" w:footer="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T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SimSun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altName w:val="SimHei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Arial">
    <w:panose1 w:val="020B0604020202020204"/>
    <w:charset w:val="86"/>
    <w:family w:val="auto"/>
    <w:pitch w:val="default"/>
    <w:sig w:usb0="E0002EFF" w:usb1="C000785B" w:usb2="00000009" w:usb3="00000000" w:csb0="400001FF" w:csb1="FFFF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FFFF0000"/>
  </w:font>
  <w:font w:name="Microsoft JhengHei">
    <w:panose1 w:val="020B0604030504040204"/>
    <w:charset w:val="88"/>
    <w:family w:val="auto"/>
    <w:pitch w:val="default"/>
    <w:sig w:usb0="000002A7" w:usb1="28CF4400" w:usb2="00000016" w:usb3="00000000" w:csb0="00100009" w:csb1="00000000"/>
  </w:font>
  <w:font w:name="FangSong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KaiT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Microsoft YaHei">
    <w:panose1 w:val="020B0703020204020201"/>
    <w:charset w:val="86"/>
    <w:family w:val="auto"/>
    <w:pitch w:val="variable"/>
    <w:sig w:usb0="80000287" w:usb1="2ACF3C50" w:usb2="00000016" w:usb3="00000000" w:csb0="0004001F" w:csb1="00000000"/>
  </w:font>
  <w:font w:name="STKaiti">
    <w:panose1 w:val="02010600040101010101"/>
    <w:charset w:val="86"/>
    <w:family w:val="auto"/>
    <w:pitch w:val="variable"/>
    <w:sig w:usb0="00000287" w:usb1="080F0000" w:usb2="00000000" w:usb3="00000000" w:csb0="0004009F" w:csb1="DFD70000"/>
  </w:font>
  <w:font w:name="Times New Roman">
    <w:panose1 w:val="02020603050405020304"/>
    <w:charset w:val="00"/>
    <w:family w:val="auto"/>
    <w:pitch w:val="variable"/>
    <w:sig w:usb0="E0002EFF" w:usb1="C000785B" w:usb2="00000009" w:usb3="00000000" w:csb0="400001FF" w:csb1="FFFF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4" w:lineRule="auto"/>
      <w:rPr>
        <w:rFonts w:ascii="Arial"/>
        <w:sz w:val="2"/>
      </w:rPr>
    </w:pPr>
    <w:r/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4" w:lineRule="auto"/>
      <w:rPr>
        <w:rFonts w:ascii="Arial"/>
        <w:sz w:val="2"/>
      </w:rPr>
    </w:pPr>
    <w:r/>
  </w:p>
</w:hdr>
</file>

<file path=word/settings.xml><?xml version="1.0" encoding="utf-8"?>
<w:settings xmlns:w="http://schemas.openxmlformats.org/wordprocessingml/2006/main">
  <w:displayBackgroundShape/>
  <w:characterSpacingControl w:val="doNotCompress"/>
  <w:compat>
    <w:spaceForUL/>
    <w:ulTrailSpace/>
    <w:compatSetting w:name="compatibilityMode" w:uri="http://schemas.microsoft.com/office/word" w:val="14"/>
  </w:compa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0="urn:schemas-microsoft-com:office:word" xmlns:sl="http://schemas.openxmlformats.org/schemaLibrary/2006/main" xmlns:w14="http://schemas.microsoft.com/office/word/2010/wordml" mc:Ignorable="w14">
  <w:docDefaults>
    <w:rPrDefault>
      <w:rPr>
        <w:rFonts w:ascii="Arial" w:hAnsi="Arial" w:eastAsia="Arial" w:cs="Arial"/>
        <w:sz w:val="21"/>
        <w:szCs w:val="21"/>
        <w:lang w:val="en-US" w:eastAsia="en-US" w:bidi="ar-SA"/>
        <w:color w:val="000000"/>
        <w:kern w:val="0"/>
        <w:snapToGrid w:val="0"/>
      </w:rPr>
    </w:rPrDefault>
  </w:docDefaults>
  <w:style w:type="paragraph" w:styleId="Normal" w:default="1">
    <w:name w:val="Normal"/>
    <w:semiHidden/>
    <w:qFormat/>
    <w:pPr>
      <w:spacing w:line="240" w:lineRule="auto"/>
      <w:jc w:val="left"/>
      <w:autoSpaceDE w:val="0"/>
      <w:autoSpaceDN w:val="0"/>
      <w:adjustRightInd w:val="0"/>
      <w:snapToGrid w:val="0"/>
      <w:kinsoku w:val="0"/>
      <w:textAlignment w:val="baseline"/>
    </w:pPr>
    <w:rPr>
      <w:color w:val="000000"/>
      <w:kern w:val="0"/>
      <w:snapToGrid w:val="0"/>
      <w:noProof w:val="1"/>
    </w:rPr>
  </w:style>
  <w:style w:type="table" w:styleId="TableNormal" w:default="1">
    <w:name w:val="Table Normal"/>
    <w:semiHidden/>
    <w:unhideWhenUsed/>
    <w:qFormat/>
    <w:tblPr>
      <w:tblCellMar>
        <w:left w:w="0" w:type="dxa"/>
        <w:right w:w="0" w:type="dxa"/>
        <w:bottom w:w="0" w:type="dxa"/>
        <w:top w:w="0" w:type="dxa"/>
      </w:tblCellMar>
    </w:tblPr>
  </w:style>
  <w:style w:type="paragraph" w:styleId="BodyText">
    <w:name w:val="Body Text"/>
    <w:basedOn w:val="Normal"/>
    <w:semiHidden/>
    <w:qFormat/>
    <w:pPr/>
    <w:rPr>
      <w:rFonts w:ascii="FangSong" w:hAnsi="FangSong" w:eastAsia="FangSong" w:cs="FangSong"/>
      <w:sz w:val="21"/>
      <w:szCs w:val="21"/>
      <w:lang w:val="en-US" w:eastAsia="en-US" w:bidi="ar-SA"/>
    </w:rPr>
  </w:style>
  <w:style w:type="paragraph" w:styleId="TableText">
    <w:name w:val="Table Text"/>
    <w:basedOn w:val="Normal"/>
    <w:semiHidden/>
    <w:qFormat/>
    <w:pPr/>
    <w:rPr>
      <w:rFonts w:ascii="KaiTi" w:hAnsi="KaiTi" w:eastAsia="KaiTi" w:cs="KaiTi"/>
      <w:sz w:val="17"/>
      <w:szCs w:val="17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image" Target="media/image3.png"/><Relationship Id="rId4" Type="http://schemas.openxmlformats.org/officeDocument/2006/relationships/header" Target="header2.xml"/><Relationship Id="rId3" Type="http://schemas.openxmlformats.org/officeDocument/2006/relationships/image" Target="media/image2.png"/><Relationship Id="rId2" Type="http://schemas.openxmlformats.org/officeDocument/2006/relationships/image" Target="media/image1.png"/><Relationship Id="rId1" Type="http://schemas.openxmlformats.org/officeDocument/2006/relationships/header" Target="header1.xml"/></Relationships>
</file>

<file path=docProps/app.xml><?xml version="1.0" encoding="utf-8"?>
<ap:Properties xmlns:vt="http://schemas.openxmlformats.org/officeDocument/2006/docPropsVTypes" xmlns:ap="http://schemas.openxmlformats.org/officeDocument/2006/extended-properties">
  <ap:Application>Microsoft® Word 2016</ap:Application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谢婷婷</dc:creator>
  <dcterms:created xsi:type="dcterms:W3CDTF">2023-07-07T09:06:52Z</dcterms:creat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O">
    <vt:lpwstr>wqlLaW5nc29mdCBQREYgdG8gV1BTIDExNQ</vt:lpwstr>
  </property>
  <property fmtid="{D5CDD505-2E9C-101B-9397-08002B2CF9AE}" pid="3" name="Created">
    <vt:filetime>2025-11-04T15:54:51</vt:filetime>
  </property>
</Properties>
</file>