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3D7" w:rsidRDefault="00082F23">
      <w:pPr>
        <w:jc w:val="center"/>
        <w:rPr>
          <w:rFonts w:ascii="黑体" w:eastAsia="黑体" w:hAnsi="黑体" w:cs="黑体"/>
          <w:b/>
          <w:bCs/>
          <w:sz w:val="40"/>
          <w:szCs w:val="32"/>
          <w:shd w:val="clear" w:color="auto" w:fill="FFFFFF"/>
        </w:rPr>
      </w:pPr>
      <w:bookmarkStart w:id="0" w:name="OLE_LINK2"/>
      <w:r>
        <w:rPr>
          <w:rFonts w:ascii="黑体" w:eastAsia="黑体" w:hAnsi="黑体" w:cs="黑体" w:hint="eastAsia"/>
          <w:b/>
          <w:bCs/>
          <w:sz w:val="40"/>
          <w:szCs w:val="32"/>
          <w:shd w:val="clear" w:color="auto" w:fill="FFFFFF"/>
        </w:rPr>
        <w:t>全面AI战略升级背景下，新型基础设施REIT</w:t>
      </w:r>
      <w:r>
        <w:rPr>
          <w:rFonts w:ascii="黑体" w:eastAsia="黑体" w:hAnsi="黑体" w:cs="黑体"/>
          <w:b/>
          <w:bCs/>
          <w:sz w:val="40"/>
          <w:szCs w:val="32"/>
          <w:shd w:val="clear" w:color="auto" w:fill="FFFFFF"/>
        </w:rPr>
        <w:t>s</w:t>
      </w:r>
      <w:r>
        <w:rPr>
          <w:rFonts w:ascii="黑体" w:eastAsia="黑体" w:hAnsi="黑体" w:cs="黑体" w:hint="eastAsia"/>
          <w:b/>
          <w:bCs/>
          <w:sz w:val="40"/>
          <w:szCs w:val="32"/>
          <w:shd w:val="clear" w:color="auto" w:fill="FFFFFF"/>
        </w:rPr>
        <w:t>融资模式分析及建议</w:t>
      </w:r>
    </w:p>
    <w:bookmarkEnd w:id="0"/>
    <w:p w:rsidR="004E53D7" w:rsidRDefault="004E53D7">
      <w:pPr>
        <w:ind w:firstLineChars="200" w:firstLine="640"/>
        <w:rPr>
          <w:rFonts w:ascii="仿宋" w:eastAsia="仿宋" w:hAnsi="仿宋" w:cs="Arial"/>
          <w:sz w:val="32"/>
          <w:szCs w:val="32"/>
          <w:shd w:val="clear" w:color="auto" w:fill="FFFFFF"/>
        </w:rPr>
      </w:pPr>
    </w:p>
    <w:p w:rsidR="004E53D7" w:rsidRDefault="0076758E">
      <w:pPr>
        <w:ind w:firstLineChars="200" w:firstLine="640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4月2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4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日，万国数据“数据中心持有型不动产ABS</w:t>
      </w:r>
      <w:r w:rsidR="00DC0510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”在上交所成功挂牌上市，</w:t>
      </w:r>
      <w:r w:rsidR="0030359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总</w:t>
      </w:r>
      <w:r w:rsidR="003F6CF9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募资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超16亿元，</w:t>
      </w:r>
      <w:r w:rsidR="00E53D08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成为我国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数据中心</w:t>
      </w:r>
      <w:r w:rsidR="0030359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行业</w:t>
      </w:r>
      <w:r w:rsidR="00E53D08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的首单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公募</w:t>
      </w:r>
      <w:r w:rsidR="00DC0510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REIT</w:t>
      </w:r>
      <w:r w:rsidR="00DC0510">
        <w:rPr>
          <w:rFonts w:ascii="仿宋" w:eastAsia="仿宋" w:hAnsi="仿宋" w:cs="Arial"/>
          <w:sz w:val="32"/>
          <w:szCs w:val="32"/>
          <w:shd w:val="clear" w:color="auto" w:fill="FFFFFF"/>
        </w:rPr>
        <w:t>s</w:t>
      </w:r>
      <w:r w:rsidR="00DC0510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（不动产投资信托基金）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。近年来，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发改委</w:t>
      </w:r>
      <w:r w:rsidR="00E53D08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和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证监会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持续推进</w:t>
      </w:r>
      <w:r w:rsidR="00F74B4F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REIT</w:t>
      </w:r>
      <w:r w:rsidR="00F74B4F">
        <w:rPr>
          <w:rFonts w:ascii="仿宋" w:eastAsia="仿宋" w:hAnsi="仿宋" w:cs="Arial"/>
          <w:sz w:val="32"/>
          <w:szCs w:val="32"/>
          <w:shd w:val="clear" w:color="auto" w:fill="FFFFFF"/>
        </w:rPr>
        <w:t>s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常态发行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鼓励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人工智能、数据中心等新型信息基础设施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资产证券化</w:t>
      </w:r>
      <w:r w:rsidR="0096495B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 w:rsidR="003F6CF9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国内</w:t>
      </w:r>
      <w:r w:rsidR="0096495B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第三方数据中心服务商</w:t>
      </w:r>
      <w:r w:rsidR="007818C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如</w:t>
      </w:r>
      <w:r w:rsidR="00A5234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万国</w:t>
      </w:r>
      <w:r w:rsidR="00BF515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数据</w:t>
      </w:r>
      <w:r w:rsidR="00A5234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和</w:t>
      </w:r>
      <w:r w:rsidR="003F6CF9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润泽</w:t>
      </w:r>
      <w:r w:rsidR="00BF515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科技</w:t>
      </w:r>
      <w:r w:rsidR="00A5234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 w:rsidR="00514E4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积极实践</w:t>
      </w:r>
      <w:r w:rsidR="002028DC" w:rsidRPr="00514E4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新</w:t>
      </w:r>
      <w:r w:rsidR="007818C3" w:rsidRPr="00514E4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融资</w:t>
      </w:r>
      <w:r w:rsidR="003F6CF9" w:rsidRPr="00514E4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模式</w:t>
      </w:r>
      <w:r w:rsidR="00514E4C" w:rsidRPr="00514E4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 w:rsidR="00FA7C96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助力AI时代规模扩张</w:t>
      </w:r>
      <w:r w:rsidR="002028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；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国外数据中心</w:t>
      </w:r>
      <w:r w:rsidR="007818C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服务商如Equinix，</w:t>
      </w:r>
      <w:r w:rsidR="002028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则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借助</w:t>
      </w:r>
      <w:r w:rsidR="007818C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成熟的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REIT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s</w:t>
      </w:r>
      <w:r w:rsidR="007818C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模式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实现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高速</w:t>
      </w:r>
      <w:r w:rsidR="00316888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发展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bookmarkStart w:id="1" w:name="_GoBack"/>
      <w:bookmarkEnd w:id="1"/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占据</w:t>
      </w:r>
      <w:r w:rsidR="002028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行业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全球领先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地位。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当</w:t>
      </w:r>
      <w:r w:rsidR="00DF10F6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前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中国电信迎来全面AI战略升级，</w:t>
      </w:r>
      <w:r w:rsidR="00C6752F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智算和AI等新型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信息基础设施战投加码，</w:t>
      </w:r>
      <w:bookmarkStart w:id="2" w:name="OLE_LINK4"/>
      <w:r w:rsidR="00DF10F6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建议</w:t>
      </w:r>
      <w:r w:rsidR="003A4CB9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集团</w:t>
      </w:r>
      <w:r w:rsidR="00CC07CD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加强REIT</w:t>
      </w:r>
      <w:r w:rsidR="00CC07CD">
        <w:rPr>
          <w:rFonts w:ascii="仿宋" w:eastAsia="仿宋" w:hAnsi="仿宋" w:cs="Arial"/>
          <w:sz w:val="32"/>
          <w:szCs w:val="32"/>
          <w:shd w:val="clear" w:color="auto" w:fill="FFFFFF"/>
        </w:rPr>
        <w:t>s</w:t>
      </w:r>
      <w:r w:rsidR="00CC07CD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融资专项研究</w:t>
      </w:r>
      <w:r w:rsidR="003A4CB9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和应对谋划，</w:t>
      </w:r>
      <w:r w:rsidR="00DF10F6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开展数据中心</w:t>
      </w:r>
      <w:r w:rsidR="002E3498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等</w:t>
      </w:r>
      <w:r w:rsidR="003A4CB9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资产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REITs</w:t>
      </w:r>
      <w:r w:rsidR="002E3498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项目</w:t>
      </w:r>
      <w:r w:rsidR="00DF10F6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示范和</w:t>
      </w:r>
      <w:r w:rsidR="002E3498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融资模式</w:t>
      </w:r>
      <w:r w:rsidR="00DF10F6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探索，</w:t>
      </w:r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有效盘活存量优质资产，形成存量资产和新增投资的良性循环，</w:t>
      </w:r>
      <w:bookmarkStart w:id="3" w:name="OLE_LINK5"/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为新兴产业投资布局提供资本支撑，扩宽风险</w:t>
      </w:r>
      <w:bookmarkEnd w:id="3"/>
      <w:r w:rsidR="00082F2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共担新模式。</w:t>
      </w:r>
    </w:p>
    <w:p w:rsidR="004E53D7" w:rsidRPr="002028DC" w:rsidRDefault="004E53D7">
      <w:pPr>
        <w:ind w:firstLineChars="200" w:firstLine="640"/>
        <w:rPr>
          <w:rFonts w:ascii="仿宋" w:eastAsia="仿宋" w:hAnsi="仿宋" w:cs="Arial"/>
          <w:sz w:val="32"/>
          <w:szCs w:val="32"/>
          <w:shd w:val="clear" w:color="auto" w:fill="FFFFFF"/>
        </w:rPr>
      </w:pPr>
    </w:p>
    <w:bookmarkEnd w:id="2"/>
    <w:p w:rsidR="004E53D7" w:rsidRPr="000E2DFD" w:rsidRDefault="00082F23" w:rsidP="000E2DFD">
      <w:pPr>
        <w:ind w:firstLine="600"/>
        <w:rPr>
          <w:rFonts w:ascii="楷体" w:eastAsia="楷体" w:hAnsi="楷体" w:cs="Arial"/>
          <w:b/>
          <w:sz w:val="32"/>
          <w:szCs w:val="32"/>
          <w:shd w:val="clear" w:color="auto" w:fill="FFFFFF"/>
        </w:rPr>
      </w:pPr>
      <w:r w:rsidRPr="000E2DFD">
        <w:rPr>
          <w:rFonts w:ascii="楷体" w:eastAsia="楷体" w:hAnsi="楷体" w:cs="Arial" w:hint="eastAsia"/>
          <w:b/>
          <w:sz w:val="32"/>
          <w:szCs w:val="32"/>
          <w:shd w:val="clear" w:color="auto" w:fill="FFFFFF"/>
        </w:rPr>
        <w:t>一、</w:t>
      </w:r>
      <w:r w:rsidRPr="000E2DFD">
        <w:rPr>
          <w:rFonts w:ascii="楷体" w:eastAsia="楷体" w:hAnsi="楷体" w:cs="Arial"/>
          <w:b/>
          <w:sz w:val="32"/>
          <w:szCs w:val="32"/>
          <w:shd w:val="clear" w:color="auto" w:fill="FFFFFF"/>
        </w:rPr>
        <w:t>REIT</w:t>
      </w:r>
      <w:r w:rsidRPr="000E2DFD">
        <w:rPr>
          <w:rFonts w:ascii="楷体" w:eastAsia="楷体" w:hAnsi="楷体" w:cs="Arial" w:hint="eastAsia"/>
          <w:b/>
          <w:sz w:val="32"/>
          <w:szCs w:val="32"/>
          <w:shd w:val="clear" w:color="auto" w:fill="FFFFFF"/>
        </w:rPr>
        <w:t>s</w:t>
      </w:r>
      <w:r w:rsidR="00D10DA5">
        <w:rPr>
          <w:rFonts w:ascii="楷体" w:eastAsia="楷体" w:hAnsi="楷体" w:cs="Arial" w:hint="eastAsia"/>
          <w:b/>
          <w:sz w:val="32"/>
          <w:szCs w:val="32"/>
          <w:shd w:val="clear" w:color="auto" w:fill="FFFFFF"/>
        </w:rPr>
        <w:t>政策态势及数据中心</w:t>
      </w:r>
      <w:r w:rsidR="002028DC">
        <w:rPr>
          <w:rFonts w:ascii="楷体" w:eastAsia="楷体" w:hAnsi="楷体" w:cs="Arial" w:hint="eastAsia"/>
          <w:b/>
          <w:sz w:val="32"/>
          <w:szCs w:val="32"/>
          <w:shd w:val="clear" w:color="auto" w:fill="FFFFFF"/>
        </w:rPr>
        <w:t>行业</w:t>
      </w:r>
      <w:r w:rsidR="00D10DA5">
        <w:rPr>
          <w:rFonts w:ascii="楷体" w:eastAsia="楷体" w:hAnsi="楷体" w:cs="Arial" w:hint="eastAsia"/>
          <w:b/>
          <w:sz w:val="32"/>
          <w:szCs w:val="32"/>
          <w:shd w:val="clear" w:color="auto" w:fill="FFFFFF"/>
        </w:rPr>
        <w:t>REIT</w:t>
      </w:r>
      <w:r w:rsidR="00D10DA5">
        <w:rPr>
          <w:rFonts w:ascii="楷体" w:eastAsia="楷体" w:hAnsi="楷体" w:cs="Arial"/>
          <w:b/>
          <w:sz w:val="32"/>
          <w:szCs w:val="32"/>
          <w:shd w:val="clear" w:color="auto" w:fill="FFFFFF"/>
        </w:rPr>
        <w:t>s</w:t>
      </w:r>
      <w:r w:rsidR="00D10DA5">
        <w:rPr>
          <w:rFonts w:ascii="楷体" w:eastAsia="楷体" w:hAnsi="楷体" w:cs="Arial" w:hint="eastAsia"/>
          <w:b/>
          <w:sz w:val="32"/>
          <w:szCs w:val="32"/>
          <w:shd w:val="clear" w:color="auto" w:fill="FFFFFF"/>
        </w:rPr>
        <w:t>市场</w:t>
      </w:r>
      <w:r w:rsidRPr="000E2DFD">
        <w:rPr>
          <w:rFonts w:ascii="楷体" w:eastAsia="楷体" w:hAnsi="楷体" w:cs="Arial" w:hint="eastAsia"/>
          <w:b/>
          <w:sz w:val="32"/>
          <w:szCs w:val="32"/>
          <w:shd w:val="clear" w:color="auto" w:fill="FFFFFF"/>
        </w:rPr>
        <w:t>特点</w:t>
      </w:r>
    </w:p>
    <w:p w:rsidR="004E53D7" w:rsidRDefault="00082F23">
      <w:pPr>
        <w:ind w:firstLine="600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REIT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s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是指向投资者发行股份或收益凭证,募集资金投资于不动产,</w:t>
      </w:r>
      <w:r w:rsidR="002028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并向投资者分配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收益的一种基金，旨在帮助企业快速回笼资金，盘活存量资产，</w:t>
      </w:r>
      <w:r w:rsidR="007B520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降低资产负债率。</w:t>
      </w:r>
    </w:p>
    <w:p w:rsidR="004E53D7" w:rsidRDefault="00082F23">
      <w:pPr>
        <w:ind w:firstLine="600"/>
        <w:rPr>
          <w:rFonts w:ascii="仿宋" w:eastAsia="仿宋" w:hAnsi="仿宋" w:cs="Arial"/>
          <w:b/>
          <w:bCs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lastRenderedPageBreak/>
        <w:t>（一）</w:t>
      </w:r>
      <w:r w:rsidR="00D10DA5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我国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REITs发行全面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常态化，</w:t>
      </w:r>
      <w:r w:rsidR="002028DC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人工智能、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数据中心等新型基础设施资产纳入优先支持范畴</w:t>
      </w:r>
    </w:p>
    <w:p w:rsidR="004E53D7" w:rsidRDefault="00082F23">
      <w:pPr>
        <w:ind w:firstLine="600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2020年4月，证监会</w:t>
      </w:r>
      <w:r w:rsidR="002028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和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发改委联合发布《关于推进基础设施REITs试点相关工作的通知》，公募REITs试点正式起步。2024年7</w:t>
      </w:r>
      <w:r w:rsidR="002028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月，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发改委明确全面推动REITs常态化发行，简化申报流程、取消项目收益率硬性要求。2025年2月，证监会发布《关于资本市场做好金融“五篇大文章”的实施意见》，再次明确支持人工智能、数据中心、</w:t>
      </w:r>
      <w:r w:rsidR="008148AF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5G、宽带网络</w:t>
      </w:r>
      <w:r w:rsidR="002028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等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新型基础设施领域项目发行REITs。</w:t>
      </w:r>
    </w:p>
    <w:p w:rsidR="009A3491" w:rsidRDefault="009A3491" w:rsidP="000852B5">
      <w:pPr>
        <w:ind w:firstLine="600"/>
        <w:jc w:val="center"/>
        <w:rPr>
          <w:rFonts w:ascii="仿宋" w:eastAsia="仿宋" w:hAnsi="仿宋" w:cs="Arial"/>
          <w:sz w:val="32"/>
          <w:szCs w:val="32"/>
          <w:shd w:val="clear" w:color="auto" w:fill="FFFFFF"/>
        </w:rPr>
      </w:pPr>
      <w:r w:rsidRPr="00CC3599">
        <w:rPr>
          <w:noProof/>
        </w:rPr>
        <w:drawing>
          <wp:inline distT="0" distB="0" distL="114300" distR="114300" wp14:anchorId="6B159943" wp14:editId="36A59DAB">
            <wp:extent cx="5241998" cy="1294674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702" cy="130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2B5" w:rsidRPr="000852B5" w:rsidRDefault="000852B5" w:rsidP="000852B5">
      <w:pPr>
        <w:jc w:val="center"/>
        <w:rPr>
          <w:rFonts w:ascii="楷体" w:eastAsia="楷体" w:hAnsi="楷体" w:cs="楷体"/>
          <w:sz w:val="22"/>
          <w:szCs w:val="28"/>
          <w:shd w:val="clear" w:color="auto" w:fill="FFFFFF"/>
        </w:rPr>
      </w:pPr>
      <w:r w:rsidRPr="000852B5">
        <w:rPr>
          <w:rFonts w:ascii="楷体" w:eastAsia="楷体" w:hAnsi="楷体" w:cs="楷体" w:hint="eastAsia"/>
          <w:sz w:val="22"/>
          <w:szCs w:val="28"/>
          <w:shd w:val="clear" w:color="auto" w:fill="FFFFFF"/>
        </w:rPr>
        <w:t>图1 我国REIT</w:t>
      </w:r>
      <w:r w:rsidRPr="000852B5">
        <w:rPr>
          <w:rFonts w:ascii="楷体" w:eastAsia="楷体" w:hAnsi="楷体" w:cs="楷体"/>
          <w:sz w:val="22"/>
          <w:szCs w:val="28"/>
          <w:shd w:val="clear" w:color="auto" w:fill="FFFFFF"/>
        </w:rPr>
        <w:t>s</w:t>
      </w:r>
      <w:r w:rsidRPr="000852B5">
        <w:rPr>
          <w:rFonts w:ascii="楷体" w:eastAsia="楷体" w:hAnsi="楷体" w:cs="楷体" w:hint="eastAsia"/>
          <w:sz w:val="22"/>
          <w:szCs w:val="28"/>
          <w:shd w:val="clear" w:color="auto" w:fill="FFFFFF"/>
        </w:rPr>
        <w:t>发行的政策历程</w:t>
      </w:r>
    </w:p>
    <w:p w:rsidR="004E53D7" w:rsidRDefault="00D10DA5" w:rsidP="00D10DA5">
      <w:pPr>
        <w:ind w:firstLineChars="200" w:firstLine="643"/>
        <w:rPr>
          <w:rFonts w:ascii="仿宋" w:eastAsia="仿宋" w:hAnsi="仿宋" w:cs="Arial"/>
          <w:b/>
          <w:bCs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（二）</w:t>
      </w:r>
      <w:r w:rsidR="00082F23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我国数据中心</w:t>
      </w:r>
      <w:r w:rsidR="0017769C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行业</w:t>
      </w:r>
      <w:r w:rsidR="00082F23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REITs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市场特点及</w:t>
      </w:r>
      <w:r w:rsidR="00020246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发行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要求</w:t>
      </w:r>
    </w:p>
    <w:p w:rsidR="004E53D7" w:rsidRDefault="00082F23" w:rsidP="00F876FE">
      <w:pPr>
        <w:ind w:firstLineChars="200" w:firstLine="643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一是</w:t>
      </w:r>
      <w:r w:rsidR="009A3491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头部企业倾向公募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模式</w:t>
      </w:r>
      <w:r w:rsidR="009A3491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，环一线城市周边成投资热点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。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我国数据中心</w:t>
      </w:r>
      <w:r w:rsidR="0017769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行业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REITs发展尚处初</w:t>
      </w:r>
      <w:r w:rsidR="0017769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期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。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从募资方式看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 w:rsidR="0017769C" w:rsidRPr="0017769C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公募融资在</w:t>
      </w:r>
      <w:r w:rsidRPr="0017769C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长期稳定融资</w:t>
      </w:r>
      <w:r w:rsidR="0017769C" w:rsidRPr="0017769C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、</w:t>
      </w:r>
      <w:r w:rsidRPr="0017769C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资产流动</w:t>
      </w:r>
      <w:r w:rsidR="0017769C" w:rsidRPr="0017769C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周转方面更具优势。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私募</w:t>
      </w:r>
      <w:r w:rsidR="0017769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虽然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准入门槛低（运营1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-2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年</w:t>
      </w:r>
      <w:r w:rsidR="0017769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即可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、融资规模</w:t>
      </w:r>
      <w:r w:rsidR="00BF515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较小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），</w:t>
      </w:r>
      <w:r w:rsidR="009A349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但</w:t>
      </w:r>
      <w:r w:rsidR="0017769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同时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存在融资成本高、底层资产不可周转且常设固定期限等问题。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从资本化率看，环一线城市周边的数据中心投资信心更强。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根据</w:t>
      </w:r>
      <w:r w:rsidR="0017769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2</w:t>
      </w:r>
      <w:r w:rsidR="0017769C">
        <w:rPr>
          <w:rFonts w:ascii="仿宋" w:eastAsia="仿宋" w:hAnsi="仿宋" w:cs="Arial"/>
          <w:sz w:val="32"/>
          <w:szCs w:val="32"/>
          <w:shd w:val="clear" w:color="auto" w:fill="FFFFFF"/>
        </w:rPr>
        <w:t>024</w:t>
      </w:r>
      <w:r w:rsidR="0017769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年调研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显示，数据中心类REITs的资本化率在7.2%至11%</w:t>
      </w:r>
      <w:r w:rsidR="00FE4B4A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之间，其中，一线城市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为7.2%</w:t>
      </w:r>
      <w:r w:rsidR="00FE4B4A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至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8.6%，环京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lastRenderedPageBreak/>
        <w:t>区域为7.5%</w:t>
      </w:r>
      <w:r w:rsidR="00FE4B4A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至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8.8%，环沪区域和大湾区（不含广深）</w:t>
      </w:r>
      <w:r w:rsidR="00FE4B4A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则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为7.6%</w:t>
      </w:r>
      <w:r w:rsidR="00FE4B4A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至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9.0%。</w:t>
      </w:r>
    </w:p>
    <w:p w:rsidR="004E53D7" w:rsidRDefault="00082F23" w:rsidP="00082F23">
      <w:pPr>
        <w:ind w:firstLineChars="200" w:firstLine="643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二是公募</w:t>
      </w:r>
      <w:r w:rsidR="00BF5154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REIT</w:t>
      </w:r>
      <w:r w:rsidR="00BF5154">
        <w:rPr>
          <w:rFonts w:ascii="仿宋" w:eastAsia="仿宋" w:hAnsi="仿宋" w:cs="Arial"/>
          <w:b/>
          <w:sz w:val="32"/>
          <w:szCs w:val="32"/>
          <w:shd w:val="clear" w:color="auto" w:fill="FFFFFF"/>
        </w:rPr>
        <w:t>s</w:t>
      </w:r>
      <w:r w:rsidR="00BF5154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发行</w:t>
      </w:r>
      <w:r w:rsidR="009A3491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对</w:t>
      </w:r>
      <w:r w:rsidRPr="009A3491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资产合规性、资产优质性、运营稳定性</w:t>
      </w:r>
      <w:r w:rsidR="00BF5154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等</w:t>
      </w:r>
      <w:r w:rsidR="009A3491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准入</w:t>
      </w:r>
      <w:r w:rsidR="00BF5154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要求</w:t>
      </w:r>
      <w:r w:rsidR="009A3491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高</w:t>
      </w:r>
      <w:r w:rsidRPr="009A3491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。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合规性方面，</w:t>
      </w:r>
      <w:r w:rsidRPr="009A349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强调资产权属清晰和土地依法合规</w:t>
      </w:r>
      <w:r w:rsidR="009A349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 w:rsidR="00BF515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如不允许资产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设备存在融资租赁质押</w:t>
      </w:r>
      <w:r w:rsidR="00BF5154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情况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。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优质性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方面，</w:t>
      </w:r>
      <w:r w:rsidR="000852B5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强调区域属性、运营成熟度</w:t>
      </w:r>
      <w:r w:rsidR="00BF515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和低能耗要求</w:t>
      </w:r>
      <w:r w:rsidR="009A349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，如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万国（苏州昆山）</w:t>
      </w:r>
      <w:r w:rsidR="00BF515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和润泽（河北廊坊）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项目位置均处环一线城市，两项目运营</w:t>
      </w:r>
      <w:r w:rsidR="00BF515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时间均超过3年，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PUE</w:t>
      </w:r>
      <w:r w:rsidR="00BF515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指标均</w:t>
      </w:r>
      <w:r w:rsidR="000852B5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小于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1.3。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运营稳定性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方面，</w:t>
      </w:r>
      <w:r w:rsidR="000852B5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强调业务和客户稳定性、现金流稳定性，</w:t>
      </w:r>
      <w:r w:rsidR="00F953FC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如</w:t>
      </w:r>
      <w:r w:rsidR="004D724C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万国和</w:t>
      </w:r>
      <w:r w:rsidR="000852B5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润泽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项目均采用批发型经营模式</w:t>
      </w:r>
      <w:r w:rsidR="004D724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绑定优质大客户资源</w:t>
      </w:r>
      <w:r w:rsidR="004D724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确保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上架率</w:t>
      </w:r>
      <w:r w:rsidR="000852B5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；</w:t>
      </w:r>
      <w:r w:rsidR="00F42FF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项目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盈利能力均较强，润泽近三年平均利润率超50%</w:t>
      </w:r>
      <w:r w:rsidR="000852B5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 w:rsidRPr="009D230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万国近三年EBITDA</w:t>
      </w:r>
      <w:r w:rsidR="000852B5" w:rsidRPr="009D230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值</w:t>
      </w:r>
      <w:r w:rsidR="00F42FF1" w:rsidRPr="009D230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基本</w:t>
      </w:r>
      <w:r w:rsidR="000852B5" w:rsidRPr="009D230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维持在</w:t>
      </w:r>
      <w:r w:rsidR="00F42FF1" w:rsidRPr="009D230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约1</w:t>
      </w:r>
      <w:r w:rsidR="00F42FF1" w:rsidRPr="009D2301">
        <w:rPr>
          <w:rFonts w:ascii="仿宋" w:eastAsia="仿宋" w:hAnsi="仿宋" w:cs="Arial"/>
          <w:sz w:val="32"/>
          <w:szCs w:val="32"/>
          <w:shd w:val="clear" w:color="auto" w:fill="FFFFFF"/>
        </w:rPr>
        <w:t>.5</w:t>
      </w:r>
      <w:r w:rsidR="00F42FF1" w:rsidRPr="009D230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亿元</w:t>
      </w:r>
      <w:r w:rsidR="000852B5" w:rsidRPr="009D2301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（不含电计价）</w:t>
      </w:r>
      <w:r w:rsidR="000852B5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。</w:t>
      </w:r>
    </w:p>
    <w:p w:rsidR="004E53D7" w:rsidRPr="000852B5" w:rsidRDefault="00082F23">
      <w:pPr>
        <w:jc w:val="center"/>
        <w:rPr>
          <w:rFonts w:ascii="楷体" w:eastAsia="楷体" w:hAnsi="楷体" w:cs="楷体"/>
          <w:sz w:val="22"/>
          <w:szCs w:val="28"/>
          <w:shd w:val="clear" w:color="auto" w:fill="FFFFFF"/>
        </w:rPr>
      </w:pPr>
      <w:r w:rsidRPr="000852B5">
        <w:rPr>
          <w:rFonts w:ascii="楷体" w:eastAsia="楷体" w:hAnsi="楷体" w:cs="楷体" w:hint="eastAsia"/>
          <w:sz w:val="22"/>
          <w:szCs w:val="28"/>
          <w:shd w:val="clear" w:color="auto" w:fill="FFFFFF"/>
        </w:rPr>
        <w:t>表1 润泽科技和万国数据公募REITs项目基本情况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0"/>
        <w:gridCol w:w="2325"/>
        <w:gridCol w:w="3071"/>
      </w:tblGrid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bCs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2"/>
                <w:szCs w:val="22"/>
                <w:lang w:bidi="ar"/>
              </w:rPr>
              <w:t>项目名称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bCs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2"/>
                <w:szCs w:val="22"/>
                <w:lang w:bidi="ar"/>
              </w:rPr>
              <w:t>润泽（廊坊）国际信息港A-18数据中心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bCs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2"/>
                <w:szCs w:val="22"/>
                <w:lang w:bidi="ar"/>
              </w:rPr>
              <w:t>万国数据国金数据中心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开始运营时间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2020年12月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2020年7月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地理位置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河北廊坊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江苏昆山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机柜个数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5897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4192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总建面（万平方米）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4.2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3.5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PUE指标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1.286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1.24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资产估值（亿元）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42.03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21.95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直接客户及签约年限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 w:rsidP="00F42FF1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北京电信</w:t>
            </w:r>
            <w:r w:rsidR="00F42FF1"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15年</w:t>
            </w:r>
            <w:r w:rsidR="00F42FF1"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）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 w:rsidP="00F42FF1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上海电信（5年）、上海联通（10年）、头部互联网</w:t>
            </w:r>
            <w:r w:rsidR="00020246"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公司</w:t>
            </w: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（10年）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终端客户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头部互联网公司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头部互联网公司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24年1-9月上架率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99.20%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F42FF1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  <w:t>91.9%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24年1-9月营收（万元）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40804.96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12286.81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24年1-9月EBITDA（万元）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22089.34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10615.46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土地剩余年限（年）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49.56</w:t>
            </w:r>
            <w:r>
              <w:rPr>
                <w:rFonts w:ascii="楷体" w:eastAsia="楷体" w:hAnsi="楷体" w:cs="楷体"/>
                <w:kern w:val="0"/>
                <w:sz w:val="22"/>
                <w:szCs w:val="22"/>
                <w:lang w:bidi="ar"/>
              </w:rPr>
              <w:t xml:space="preserve"> </w:t>
            </w: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（科研用地）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37.69（工业用地）</w:t>
            </w:r>
          </w:p>
        </w:tc>
      </w:tr>
      <w:tr w:rsidR="004E53D7">
        <w:trPr>
          <w:trHeight w:val="280"/>
        </w:trPr>
        <w:tc>
          <w:tcPr>
            <w:tcW w:w="1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lastRenderedPageBreak/>
              <w:t>计费模式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含电</w:t>
            </w:r>
          </w:p>
        </w:tc>
        <w:tc>
          <w:tcPr>
            <w:tcW w:w="1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E53D7" w:rsidRDefault="00082F23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不含电</w:t>
            </w:r>
          </w:p>
        </w:tc>
      </w:tr>
    </w:tbl>
    <w:p w:rsidR="004E53D7" w:rsidRDefault="00082F23">
      <w:pPr>
        <w:rPr>
          <w:rFonts w:ascii="仿宋" w:eastAsia="仿宋" w:hAnsi="仿宋" w:cs="Arial"/>
          <w:b/>
          <w:sz w:val="32"/>
          <w:szCs w:val="32"/>
          <w:shd w:val="clear" w:color="auto" w:fill="FFFFFF"/>
        </w:rPr>
      </w:pPr>
      <w:r>
        <w:rPr>
          <w:rFonts w:ascii="仿宋" w:eastAsia="仿宋" w:hAnsi="仿宋" w:cs="Arial"/>
          <w:sz w:val="32"/>
          <w:szCs w:val="32"/>
          <w:shd w:val="clear" w:color="auto" w:fill="FFFFFF"/>
        </w:rPr>
        <w:tab/>
      </w:r>
      <w:r w:rsidR="00D10DA5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（三）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美国数据中心</w:t>
      </w:r>
      <w:r w:rsidR="0017769C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行业</w:t>
      </w:r>
      <w:r w:rsidR="00D10DA5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REIT</w:t>
      </w:r>
      <w:r w:rsidR="00D10DA5">
        <w:rPr>
          <w:rFonts w:ascii="仿宋" w:eastAsia="仿宋" w:hAnsi="仿宋" w:cs="Arial"/>
          <w:b/>
          <w:sz w:val="32"/>
          <w:szCs w:val="32"/>
          <w:shd w:val="clear" w:color="auto" w:fill="FFFFFF"/>
        </w:rPr>
        <w:t>s</w:t>
      </w:r>
      <w:r w:rsidR="00D10DA5" w:rsidRPr="0002777B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市场</w:t>
      </w:r>
      <w:r w:rsidR="00020246" w:rsidRPr="0002777B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特点</w:t>
      </w:r>
      <w:r w:rsidR="0002777B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及成效</w:t>
      </w:r>
    </w:p>
    <w:p w:rsidR="004E53D7" w:rsidRDefault="00082F23">
      <w:pPr>
        <w:ind w:firstLine="600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一是数据中心</w:t>
      </w:r>
      <w:r w:rsidR="00020246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资产成为</w:t>
      </w:r>
      <w:r w:rsidR="00930FD4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投资主流，综合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收益率</w:t>
      </w:r>
      <w:r w:rsidR="00020246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相对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领先。</w:t>
      </w:r>
      <w:r w:rsidR="00020246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包括数据中心、通信塔等科技驱动型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资产，已取代办公楼和仓库等成为美国</w:t>
      </w:r>
      <w:r w:rsidR="00930FD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REIT</w:t>
      </w:r>
      <w:r w:rsidR="00930FD4">
        <w:rPr>
          <w:rFonts w:ascii="仿宋" w:eastAsia="仿宋" w:hAnsi="仿宋" w:cs="Arial"/>
          <w:sz w:val="32"/>
          <w:szCs w:val="32"/>
          <w:shd w:val="clear" w:color="auto" w:fill="FFFFFF"/>
        </w:rPr>
        <w:t>s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市场领先板块。截至2024</w:t>
      </w:r>
      <w:r w:rsidR="005C060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年，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数据中心REITs总市值</w:t>
      </w:r>
      <w:r w:rsidR="00020246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达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1281亿美元，占权益类REITs总市值的8%,行业排名第</w:t>
      </w:r>
      <w:r w:rsidR="00020246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六位；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综合收益率处于美国各业态REITs前列，年平均回报高达15.35%。</w:t>
      </w:r>
    </w:p>
    <w:p w:rsidR="004E53D7" w:rsidRDefault="00082F23">
      <w:pPr>
        <w:ind w:firstLine="600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二是</w:t>
      </w:r>
      <w:r w:rsidR="00A45C95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助推</w:t>
      </w:r>
      <w:r w:rsidR="005C060C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数据中心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企业</w:t>
      </w:r>
      <w:r w:rsidR="005C060C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融资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扩张，</w:t>
      </w:r>
      <w:r w:rsidR="005C060C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有效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降低财务风险。</w:t>
      </w:r>
      <w:r w:rsidRPr="005C060C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一方面，</w:t>
      </w:r>
      <w:r w:rsidR="00513D4B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通过REIT</w:t>
      </w:r>
      <w:r w:rsidR="00513D4B">
        <w:rPr>
          <w:rFonts w:ascii="仿宋" w:eastAsia="仿宋" w:hAnsi="仿宋" w:cs="Arial"/>
          <w:bCs/>
          <w:sz w:val="32"/>
          <w:szCs w:val="32"/>
          <w:shd w:val="clear" w:color="auto" w:fill="FFFFFF"/>
        </w:rPr>
        <w:t>s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获得稳定的长期现金流</w:t>
      </w:r>
      <w:r w:rsidR="00513D4B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、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更优的债务结构，</w:t>
      </w:r>
      <w:r w:rsidR="00513D4B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以及</w:t>
      </w:r>
      <w:r w:rsidR="00A45C95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高信用评级</w:t>
      </w:r>
      <w:r w:rsidR="00513D4B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，</w:t>
      </w:r>
      <w:r w:rsidR="00A45C95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再融资</w:t>
      </w:r>
      <w:r w:rsidR="006C5F62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推进</w:t>
      </w:r>
      <w:r w:rsidR="00A45C95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全球化</w:t>
      </w:r>
      <w:r w:rsidR="00A45C95" w:rsidRPr="005C060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扩张。</w:t>
      </w:r>
      <w:r w:rsidR="00513D4B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如</w:t>
      </w:r>
      <w:r w:rsidR="005C060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Equinix</w:t>
      </w:r>
      <w:r w:rsidR="00513D4B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于2</w:t>
      </w:r>
      <w:r w:rsidR="00513D4B">
        <w:rPr>
          <w:rFonts w:ascii="仿宋" w:eastAsia="仿宋" w:hAnsi="仿宋" w:cs="Arial"/>
          <w:sz w:val="32"/>
          <w:szCs w:val="32"/>
          <w:shd w:val="clear" w:color="auto" w:fill="FFFFFF"/>
        </w:rPr>
        <w:t>020</w:t>
      </w:r>
      <w:r w:rsidR="00513D4B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年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利用其投资</w:t>
      </w:r>
      <w:r w:rsidR="00513D4B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评级融资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26</w:t>
      </w:r>
      <w:r w:rsidR="002C6854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亿美元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，综合票面利率仅2.07%，</w:t>
      </w:r>
      <w:r w:rsidR="006C5F62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为当年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所有BBB级</w:t>
      </w:r>
      <w:r w:rsidR="006C5F62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债券的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最低利率。</w:t>
      </w:r>
      <w:r w:rsidRPr="005C060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另一方面，通过</w:t>
      </w:r>
      <w:r w:rsidR="006C5F62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转型</w:t>
      </w:r>
      <w:r w:rsidRPr="005C060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REIT</w:t>
      </w:r>
      <w:r w:rsidRPr="005C060C">
        <w:rPr>
          <w:rFonts w:ascii="仿宋" w:eastAsia="仿宋" w:hAnsi="仿宋" w:cs="Arial"/>
          <w:sz w:val="32"/>
          <w:szCs w:val="32"/>
          <w:shd w:val="clear" w:color="auto" w:fill="FFFFFF"/>
        </w:rPr>
        <w:t>s</w:t>
      </w:r>
      <w:r w:rsidRPr="005C060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降低负债率，并获取</w:t>
      </w:r>
      <w:r w:rsidR="00D37DAE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企业所得</w:t>
      </w:r>
      <w:r w:rsidRPr="005C060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税优惠。</w:t>
      </w:r>
      <w:r w:rsidR="00513D4B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转型REIT</w:t>
      </w:r>
      <w:r w:rsidR="00513D4B">
        <w:rPr>
          <w:rFonts w:ascii="仿宋" w:eastAsia="仿宋" w:hAnsi="仿宋" w:cs="Arial"/>
          <w:sz w:val="32"/>
          <w:szCs w:val="32"/>
          <w:shd w:val="clear" w:color="auto" w:fill="FFFFFF"/>
        </w:rPr>
        <w:t>s</w:t>
      </w:r>
      <w:r w:rsidR="00513D4B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后，</w:t>
      </w:r>
      <w:r w:rsidR="005C060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Equinix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资产负债率从</w:t>
      </w:r>
      <w:r w:rsidR="00513D4B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超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60%降低至50%左右，Digital Realty也基本保持在50%左右</w:t>
      </w:r>
      <w:r w:rsidR="006C5F62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；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同时，Equinix</w:t>
      </w:r>
      <w:r w:rsidR="00912EBD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企业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有效税率仅为12.5%，远低于</w:t>
      </w:r>
      <w:r w:rsidR="00912EBD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转型REIT</w:t>
      </w:r>
      <w:r w:rsidR="00D37DAE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之前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的30.9%。</w:t>
      </w:r>
    </w:p>
    <w:p w:rsidR="004E53D7" w:rsidRPr="000E2DFD" w:rsidRDefault="00082F23" w:rsidP="000E2DFD">
      <w:pPr>
        <w:ind w:firstLine="600"/>
        <w:rPr>
          <w:rFonts w:ascii="楷体" w:eastAsia="楷体" w:hAnsi="楷体" w:cs="Arial"/>
          <w:b/>
          <w:sz w:val="32"/>
          <w:szCs w:val="32"/>
          <w:shd w:val="clear" w:color="auto" w:fill="FFFFFF"/>
        </w:rPr>
      </w:pPr>
      <w:r w:rsidRPr="000E2DFD">
        <w:rPr>
          <w:rFonts w:ascii="楷体" w:eastAsia="楷体" w:hAnsi="楷体" w:cs="Arial" w:hint="eastAsia"/>
          <w:b/>
          <w:sz w:val="32"/>
          <w:szCs w:val="32"/>
          <w:shd w:val="clear" w:color="auto" w:fill="FFFFFF"/>
        </w:rPr>
        <w:t>二、中国电信推进基础设施REIT</w:t>
      </w:r>
      <w:r w:rsidRPr="000E2DFD">
        <w:rPr>
          <w:rFonts w:ascii="楷体" w:eastAsia="楷体" w:hAnsi="楷体" w:cs="Arial"/>
          <w:b/>
          <w:sz w:val="32"/>
          <w:szCs w:val="32"/>
          <w:shd w:val="clear" w:color="auto" w:fill="FFFFFF"/>
        </w:rPr>
        <w:t>s</w:t>
      </w:r>
      <w:r w:rsidRPr="000E2DFD">
        <w:rPr>
          <w:rFonts w:ascii="楷体" w:eastAsia="楷体" w:hAnsi="楷体" w:cs="Arial" w:hint="eastAsia"/>
          <w:b/>
          <w:sz w:val="32"/>
          <w:szCs w:val="32"/>
          <w:shd w:val="clear" w:color="auto" w:fill="FFFFFF"/>
        </w:rPr>
        <w:t>的机遇及挑战</w:t>
      </w:r>
    </w:p>
    <w:p w:rsidR="004E53D7" w:rsidRDefault="00082F23">
      <w:pPr>
        <w:ind w:firstLine="600"/>
        <w:rPr>
          <w:rFonts w:ascii="仿宋" w:eastAsia="仿宋" w:hAnsi="仿宋" w:cs="Arial"/>
          <w:b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（一）REIT</w:t>
      </w:r>
      <w:r>
        <w:rPr>
          <w:rFonts w:ascii="仿宋" w:eastAsia="仿宋" w:hAnsi="仿宋" w:cs="Arial"/>
          <w:b/>
          <w:sz w:val="32"/>
          <w:szCs w:val="32"/>
          <w:shd w:val="clear" w:color="auto" w:fill="FFFFFF"/>
        </w:rPr>
        <w:t>s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融资</w:t>
      </w:r>
      <w:r w:rsidR="0015606D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为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企业战略</w:t>
      </w:r>
      <w:r w:rsidR="00112DB1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发展带来新机遇</w:t>
      </w:r>
    </w:p>
    <w:p w:rsidR="004E53D7" w:rsidRDefault="00082F23">
      <w:pPr>
        <w:ind w:firstLine="600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响应</w:t>
      </w:r>
      <w:r>
        <w:rPr>
          <w:rFonts w:ascii="仿宋" w:eastAsia="仿宋" w:hAnsi="仿宋" w:cs="Arial"/>
          <w:b/>
          <w:sz w:val="32"/>
          <w:szCs w:val="32"/>
          <w:shd w:val="clear" w:color="auto" w:fill="FFFFFF"/>
        </w:rPr>
        <w:t>政策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红利，加速新基建投资循环。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一方面，“东数西算”枢纽、西部地区甚至海外市场，数据中心</w:t>
      </w:r>
      <w:r w:rsidR="00656170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和算力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需持续</w:t>
      </w:r>
      <w:r w:rsidR="00DC7F8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的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战略</w:t>
      </w:r>
      <w:r w:rsidR="00656170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投资布局。另一方面，资本市场要求企业不断增强盈利能力，企业每年面临近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千亿元资本开支</w:t>
      </w:r>
      <w:r w:rsidR="00656170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压力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。REIT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s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可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lastRenderedPageBreak/>
        <w:t>为</w:t>
      </w:r>
      <w:r w:rsidR="00DC7F8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传统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数据中心、</w:t>
      </w:r>
      <w:r w:rsidR="00DC7F8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智算中心、云和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算力、AI等新基建提供长期融资支持，助力企业抢占战略投资布局窗口期。</w:t>
      </w:r>
    </w:p>
    <w:p w:rsidR="004E53D7" w:rsidRDefault="00082F23">
      <w:pPr>
        <w:ind w:firstLine="600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盘活存量资产，提升现金流和估值弹性。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数据中心、移动网和宽带网，投资规模大，回报周期长，</w:t>
      </w:r>
      <w:r w:rsidR="00C20EAF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业务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市场进入成熟期，2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024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年收入增幅分别为7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.3%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、3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.5%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和2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.1%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。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REIT</w:t>
      </w:r>
      <w:r>
        <w:rPr>
          <w:rFonts w:ascii="仿宋" w:eastAsia="仿宋" w:hAnsi="仿宋" w:cs="Arial"/>
          <w:bCs/>
          <w:sz w:val="32"/>
          <w:szCs w:val="32"/>
          <w:shd w:val="clear" w:color="auto" w:fill="FFFFFF"/>
        </w:rPr>
        <w:t>s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将成熟的资产进行盘活，转化为流动性资金，降低资产负债率（数据中心平均负债率超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70%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）,同时通过“科技溢价”传导，实现存量资产重估增值，增强企业二级市场估值逻辑。</w:t>
      </w:r>
    </w:p>
    <w:p w:rsidR="004E53D7" w:rsidRDefault="00082F23">
      <w:pPr>
        <w:ind w:firstLine="600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拓展轻资产运营模式，强化生态协同。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REITs模式下，运营商通过降低持有基金份额可实现项目资产出表，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推动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企业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从“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重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资产持有”转向“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轻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资产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运营</w:t>
      </w:r>
      <w:r>
        <w:rPr>
          <w:rFonts w:ascii="仿宋" w:eastAsia="仿宋" w:hAnsi="仿宋" w:cs="Arial"/>
          <w:sz w:val="32"/>
          <w:szCs w:val="32"/>
          <w:shd w:val="clear" w:color="auto" w:fill="FFFFFF"/>
        </w:rPr>
        <w:t>”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，专注于基础设施运维服务和技术升级，实现业务运营模式创新。同时，以REITs为</w:t>
      </w:r>
      <w:r w:rsidR="00656170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项目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载体</w:t>
      </w:r>
      <w:r w:rsidR="00656170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可整合绿电供应、AI企业合作等资源，构建数据中心生态护城河，增强项目可持续性。</w:t>
      </w:r>
    </w:p>
    <w:p w:rsidR="004E53D7" w:rsidRDefault="00082F23">
      <w:pPr>
        <w:ind w:firstLine="600"/>
        <w:rPr>
          <w:rFonts w:ascii="仿宋" w:eastAsia="仿宋" w:hAnsi="仿宋" w:cs="Arial"/>
          <w:b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（二）资产合规、资产剥离和运营适配</w:t>
      </w:r>
      <w:r w:rsidR="00112DB1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等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面临</w:t>
      </w:r>
      <w:r w:rsidR="00617C45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挑战</w:t>
      </w:r>
    </w:p>
    <w:p w:rsidR="004E53D7" w:rsidRDefault="00082F23">
      <w:pPr>
        <w:ind w:firstLineChars="200" w:firstLine="643"/>
        <w:rPr>
          <w:rFonts w:ascii="仿宋" w:eastAsia="仿宋" w:hAnsi="仿宋" w:cs="Arial"/>
          <w:bCs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资产合规准入门槛高。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数据中心资产</w:t>
      </w:r>
      <w:r>
        <w:rPr>
          <w:rFonts w:ascii="仿宋" w:eastAsia="仿宋" w:hAnsi="仿宋" w:cs="Arial"/>
          <w:bCs/>
          <w:sz w:val="32"/>
          <w:szCs w:val="32"/>
          <w:shd w:val="clear" w:color="auto" w:fill="FFFFFF"/>
        </w:rPr>
        <w:t>估值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受地段、能耗指标、</w:t>
      </w:r>
      <w:r>
        <w:rPr>
          <w:rFonts w:ascii="仿宋" w:eastAsia="仿宋" w:hAnsi="仿宋" w:cs="Arial"/>
          <w:bCs/>
          <w:sz w:val="32"/>
          <w:szCs w:val="32"/>
          <w:shd w:val="clear" w:color="auto" w:fill="FFFFFF"/>
        </w:rPr>
        <w:t>机柜出租率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和</w:t>
      </w:r>
      <w:r>
        <w:rPr>
          <w:rFonts w:ascii="仿宋" w:eastAsia="仿宋" w:hAnsi="仿宋" w:cs="Arial"/>
          <w:bCs/>
          <w:sz w:val="32"/>
          <w:szCs w:val="32"/>
          <w:shd w:val="clear" w:color="auto" w:fill="FFFFFF"/>
        </w:rPr>
        <w:t>客户稳定性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，以及技术快速迭代等因素影响</w:t>
      </w:r>
      <w:r w:rsidR="00325060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；</w:t>
      </w:r>
      <w:r w:rsidR="00325060">
        <w:rPr>
          <w:rFonts w:ascii="仿宋" w:eastAsia="仿宋" w:hAnsi="仿宋" w:cs="Arial" w:hint="eastAsia"/>
          <w:color w:val="222222"/>
          <w:sz w:val="32"/>
          <w:szCs w:val="32"/>
          <w:shd w:val="clear" w:color="auto" w:fill="FFFFFF"/>
        </w:rPr>
        <w:t>普遍</w:t>
      </w:r>
      <w:r w:rsidR="00325060" w:rsidRPr="00525352">
        <w:rPr>
          <w:rFonts w:ascii="仿宋" w:eastAsia="仿宋" w:hAnsi="仿宋" w:cs="Arial"/>
          <w:color w:val="222222"/>
          <w:sz w:val="32"/>
          <w:szCs w:val="32"/>
          <w:shd w:val="clear" w:color="auto" w:fill="FFFFFF"/>
        </w:rPr>
        <w:t>缺乏长期的</w:t>
      </w:r>
      <w:r w:rsidR="00325060">
        <w:rPr>
          <w:rFonts w:ascii="仿宋" w:eastAsia="仿宋" w:hAnsi="仿宋" w:cs="Arial" w:hint="eastAsia"/>
          <w:color w:val="222222"/>
          <w:sz w:val="32"/>
          <w:szCs w:val="32"/>
          <w:shd w:val="clear" w:color="auto" w:fill="FFFFFF"/>
        </w:rPr>
        <w:t>独立</w:t>
      </w:r>
      <w:r w:rsidR="00325060" w:rsidRPr="00525352">
        <w:rPr>
          <w:rFonts w:ascii="仿宋" w:eastAsia="仿宋" w:hAnsi="仿宋" w:cs="Arial"/>
          <w:color w:val="222222"/>
          <w:sz w:val="32"/>
          <w:szCs w:val="32"/>
          <w:shd w:val="clear" w:color="auto" w:fill="FFFFFF"/>
        </w:rPr>
        <w:t>运营和财务业绩记录</w:t>
      </w:r>
      <w:r w:rsidR="00325060">
        <w:rPr>
          <w:rFonts w:ascii="仿宋" w:eastAsia="仿宋" w:hAnsi="仿宋" w:cs="Arial" w:hint="eastAsia"/>
          <w:color w:val="222222"/>
          <w:sz w:val="32"/>
          <w:szCs w:val="32"/>
          <w:shd w:val="clear" w:color="auto" w:fill="FFFFFF"/>
        </w:rPr>
        <w:t>，合作数据中心资源基本不符</w:t>
      </w:r>
      <w:r w:rsidR="00325060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“自持物业”要求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。综合看，</w:t>
      </w:r>
      <w:r w:rsidR="00C20EAF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初期仅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部分热点地域、</w:t>
      </w:r>
      <w:r w:rsidR="00325060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自建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优质资产可纳入REIT</w:t>
      </w:r>
      <w:r>
        <w:rPr>
          <w:rFonts w:ascii="仿宋" w:eastAsia="仿宋" w:hAnsi="仿宋" w:cs="Arial"/>
          <w:bCs/>
          <w:sz w:val="32"/>
          <w:szCs w:val="32"/>
          <w:shd w:val="clear" w:color="auto" w:fill="FFFFFF"/>
        </w:rPr>
        <w:t>s</w:t>
      </w:r>
      <w:r w:rsidR="00325060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盘活范畴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。</w:t>
      </w:r>
    </w:p>
    <w:p w:rsidR="004E53D7" w:rsidRDefault="00082F23">
      <w:pPr>
        <w:ind w:firstLineChars="200" w:firstLine="643"/>
        <w:rPr>
          <w:rFonts w:ascii="仿宋" w:eastAsia="仿宋" w:hAnsi="仿宋" w:cs="Arial"/>
          <w:b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资产剥离操作</w:t>
      </w:r>
      <w:r w:rsidR="00ED5895"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有</w:t>
      </w: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难度。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数据中心REITs要求底层资产权属清晰，需剥离资产至单独项目公司（SPV），涉及企业的上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lastRenderedPageBreak/>
        <w:t>市资产股权结构及业务结构，长</w:t>
      </w:r>
      <w:r w:rsidR="00325060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期租赁合同及技术服务协议，产权界定和运营合规涉及多部门审批与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认定。此外，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剥离优质资产</w:t>
      </w:r>
      <w:r w:rsidR="004741DA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可能导致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股份公司营收</w:t>
      </w:r>
      <w:r w:rsidR="004741DA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和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利润下降，</w:t>
      </w:r>
      <w:r w:rsidR="004741DA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影响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财务表现。</w:t>
      </w:r>
    </w:p>
    <w:p w:rsidR="004E53D7" w:rsidRDefault="00082F23">
      <w:pPr>
        <w:ind w:firstLineChars="200" w:firstLine="643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sz w:val="32"/>
          <w:szCs w:val="32"/>
          <w:shd w:val="clear" w:color="auto" w:fill="FFFFFF"/>
        </w:rPr>
        <w:t>运营管理适配性挑战</w:t>
      </w:r>
      <w:r>
        <w:rPr>
          <w:rFonts w:ascii="仿宋" w:eastAsia="仿宋" w:hAnsi="仿宋" w:cs="Arial" w:hint="eastAsia"/>
          <w:sz w:val="32"/>
          <w:szCs w:val="32"/>
          <w:shd w:val="clear" w:color="auto" w:fill="FFFFFF"/>
        </w:rPr>
        <w:t>。数据中心的运维专业性强，REITs存续期内需持续提供技术服务支持，数据中心电力供应、网络架构、运维团队可能与母公司其他业务共享资源，可能涉及运维体系和人员划转问题，同时对资产经营控制将减弱。</w:t>
      </w:r>
    </w:p>
    <w:p w:rsidR="004E53D7" w:rsidRPr="000E2DFD" w:rsidRDefault="00082F23" w:rsidP="000E2DFD">
      <w:pPr>
        <w:ind w:firstLine="600"/>
        <w:rPr>
          <w:rFonts w:ascii="楷体" w:eastAsia="楷体" w:hAnsi="楷体" w:cs="Arial"/>
          <w:b/>
          <w:sz w:val="32"/>
          <w:szCs w:val="32"/>
          <w:shd w:val="clear" w:color="auto" w:fill="FFFFFF"/>
        </w:rPr>
      </w:pPr>
      <w:r w:rsidRPr="000E2DFD">
        <w:rPr>
          <w:rFonts w:ascii="楷体" w:eastAsia="楷体" w:hAnsi="楷体" w:cs="Arial" w:hint="eastAsia"/>
          <w:b/>
          <w:sz w:val="32"/>
          <w:szCs w:val="32"/>
          <w:shd w:val="clear" w:color="auto" w:fill="FFFFFF"/>
        </w:rPr>
        <w:t>三、下一步发展建议</w:t>
      </w:r>
    </w:p>
    <w:p w:rsidR="004E53D7" w:rsidRDefault="00616CB3">
      <w:pPr>
        <w:ind w:firstLine="600"/>
        <w:rPr>
          <w:rFonts w:ascii="仿宋_GB2312" w:eastAsia="仿宋_GB2312"/>
          <w:kern w:val="0"/>
          <w:sz w:val="32"/>
          <w:szCs w:val="32"/>
        </w:rPr>
      </w:pP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一</w:t>
      </w:r>
      <w:r w:rsidR="00082F23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是成立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REIT</w:t>
      </w:r>
      <w:r>
        <w:rPr>
          <w:rFonts w:ascii="仿宋" w:eastAsia="仿宋" w:hAnsi="仿宋" w:cs="Arial"/>
          <w:b/>
          <w:bCs/>
          <w:sz w:val="32"/>
          <w:szCs w:val="32"/>
          <w:shd w:val="clear" w:color="auto" w:fill="FFFFFF"/>
        </w:rPr>
        <w:t>s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融资专项</w:t>
      </w:r>
      <w:r w:rsidR="00082F23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工作组。</w:t>
      </w:r>
      <w:r w:rsidRPr="00616CB3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建议</w:t>
      </w:r>
      <w:r w:rsidR="00082F23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组建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涵盖</w:t>
      </w:r>
      <w:r w:rsidR="00082F23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战略、财务、</w:t>
      </w:r>
      <w:r w:rsidR="0036179B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建设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、</w:t>
      </w:r>
      <w:r w:rsidR="0036179B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运营等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相关领域的联合工作团队，</w:t>
      </w:r>
      <w:r>
        <w:rPr>
          <w:rFonts w:ascii="仿宋_GB2312" w:eastAsia="仿宋_GB2312" w:hint="eastAsia"/>
          <w:kern w:val="0"/>
          <w:sz w:val="32"/>
          <w:szCs w:val="32"/>
        </w:rPr>
        <w:t>跟踪国家政策及上海、安徽等省试点申报进展，研究并提出集团整体应对策略和具体举措。</w:t>
      </w:r>
    </w:p>
    <w:p w:rsidR="00616CB3" w:rsidRDefault="00616CB3" w:rsidP="00616CB3">
      <w:pPr>
        <w:ind w:firstLine="600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二是</w:t>
      </w:r>
      <w:r>
        <w:rPr>
          <w:rFonts w:ascii="仿宋" w:eastAsia="仿宋" w:hAnsi="仿宋" w:cs="Arial"/>
          <w:b/>
          <w:bCs/>
          <w:sz w:val="32"/>
          <w:szCs w:val="32"/>
          <w:shd w:val="clear" w:color="auto" w:fill="FFFFFF"/>
        </w:rPr>
        <w:t>优选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成熟</w:t>
      </w:r>
      <w:r>
        <w:rPr>
          <w:rFonts w:ascii="仿宋" w:eastAsia="仿宋" w:hAnsi="仿宋" w:cs="Arial"/>
          <w:b/>
          <w:bCs/>
          <w:sz w:val="32"/>
          <w:szCs w:val="32"/>
          <w:shd w:val="clear" w:color="auto" w:fill="FFFFFF"/>
        </w:rPr>
        <w:t>资产</w:t>
      </w: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先行示范。</w:t>
      </w:r>
      <w:r w:rsidR="002B30E8" w:rsidRPr="002B30E8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近期</w:t>
      </w:r>
      <w:r w:rsidR="00EE37B9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可</w:t>
      </w:r>
      <w:r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优选“东数西算”枢纽节点范围，</w:t>
      </w:r>
      <w:r w:rsidR="002B30E8">
        <w:rPr>
          <w:rFonts w:ascii="仿宋" w:eastAsia="仿宋" w:hAnsi="仿宋" w:cs="Arial"/>
          <w:sz w:val="32"/>
          <w:szCs w:val="32"/>
          <w:shd w:val="clear" w:color="auto" w:fill="FFFFFF"/>
        </w:rPr>
        <w:t>权属清晰、现金流稳定的数据中心</w:t>
      </w:r>
      <w:r w:rsidR="00EE37B9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</w:t>
      </w:r>
      <w:r w:rsidR="00AE12DC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提前开展底层资产梳理及合规性“体检”。远期</w:t>
      </w:r>
      <w:r w:rsidR="00AE12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通过能源数字化平台</w:t>
      </w:r>
      <w:r w:rsidR="00AE12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等汇聚</w:t>
      </w:r>
      <w:r w:rsidR="00AE12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管理</w:t>
      </w:r>
      <w:r w:rsidR="00AE12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，实现</w:t>
      </w:r>
      <w:r w:rsidR="00AE12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小而分散、符合标准的数据中心储备资产实现证券化。</w:t>
      </w:r>
    </w:p>
    <w:p w:rsidR="00616CB3" w:rsidRDefault="00E839B8" w:rsidP="00616CB3">
      <w:pPr>
        <w:ind w:firstLine="600"/>
        <w:rPr>
          <w:rFonts w:ascii="仿宋" w:eastAsia="仿宋" w:hAnsi="仿宋" w:cs="Arial"/>
          <w:sz w:val="32"/>
          <w:szCs w:val="32"/>
          <w:shd w:val="clear" w:color="auto" w:fill="FFFFFF"/>
        </w:rPr>
      </w:pPr>
      <w:r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三</w:t>
      </w:r>
      <w:r w:rsidR="00616CB3">
        <w:rPr>
          <w:rFonts w:ascii="仿宋" w:eastAsia="仿宋" w:hAnsi="仿宋" w:cs="Arial" w:hint="eastAsia"/>
          <w:b/>
          <w:bCs/>
          <w:sz w:val="32"/>
          <w:szCs w:val="32"/>
          <w:shd w:val="clear" w:color="auto" w:fill="FFFFFF"/>
        </w:rPr>
        <w:t>是加大融资模式创新探索。</w:t>
      </w:r>
      <w:r w:rsidR="00616CB3">
        <w:rPr>
          <w:rFonts w:ascii="仿宋" w:eastAsia="仿宋" w:hAnsi="仿宋" w:cs="Arial" w:hint="eastAsia"/>
          <w:bCs/>
          <w:sz w:val="32"/>
          <w:szCs w:val="32"/>
          <w:shd w:val="clear" w:color="auto" w:fill="FFFFFF"/>
        </w:rPr>
        <w:t>寻求</w:t>
      </w:r>
      <w:r w:rsidR="00616CB3">
        <w:rPr>
          <w:rFonts w:ascii="仿宋" w:eastAsia="仿宋" w:hAnsi="仿宋" w:cs="Arial"/>
          <w:sz w:val="32"/>
          <w:szCs w:val="32"/>
          <w:shd w:val="clear" w:color="auto" w:fill="FFFFFF"/>
        </w:rPr>
        <w:t>数据中心REITs与云计算、AI企业战略合作</w:t>
      </w:r>
      <w:r w:rsidR="00AE12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锁定现金流</w:t>
      </w:r>
      <w:r w:rsidR="00616CB3">
        <w:rPr>
          <w:rFonts w:ascii="仿宋" w:eastAsia="仿宋" w:hAnsi="仿宋" w:cs="Arial"/>
          <w:sz w:val="32"/>
          <w:szCs w:val="32"/>
          <w:shd w:val="clear" w:color="auto" w:fill="FFFFFF"/>
        </w:rPr>
        <w:t>，</w:t>
      </w:r>
      <w:r w:rsidR="00AE12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以及统筹新能源、储能资产整体上市。</w:t>
      </w:r>
      <w:r w:rsidR="00616CB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探索“数据中心不动产+算力设备租赁收益权”等混合模式，</w:t>
      </w:r>
      <w:r w:rsidR="00AE12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以及</w:t>
      </w:r>
      <w:r w:rsidR="00616CB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通过REIT</w:t>
      </w:r>
      <w:r w:rsidR="00616CB3">
        <w:rPr>
          <w:rFonts w:ascii="仿宋" w:eastAsia="仿宋" w:hAnsi="仿宋" w:cs="Arial"/>
          <w:sz w:val="32"/>
          <w:szCs w:val="32"/>
          <w:shd w:val="clear" w:color="auto" w:fill="FFFFFF"/>
        </w:rPr>
        <w:t>s</w:t>
      </w:r>
      <w:r w:rsidR="00616CB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融资在东南亚、欧洲等海外建设</w:t>
      </w:r>
      <w:r w:rsidR="00AE12DC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跨境</w:t>
      </w:r>
      <w:r w:rsidR="00616CB3">
        <w:rPr>
          <w:rFonts w:ascii="仿宋" w:eastAsia="仿宋" w:hAnsi="仿宋" w:cs="Arial" w:hint="eastAsia"/>
          <w:sz w:val="32"/>
          <w:szCs w:val="32"/>
          <w:shd w:val="clear" w:color="auto" w:fill="FFFFFF"/>
        </w:rPr>
        <w:t>数据中心。</w:t>
      </w:r>
    </w:p>
    <w:sectPr w:rsidR="00616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B30" w:rsidRDefault="00573B30" w:rsidP="00617C45">
      <w:r>
        <w:separator/>
      </w:r>
    </w:p>
  </w:endnote>
  <w:endnote w:type="continuationSeparator" w:id="0">
    <w:p w:rsidR="00573B30" w:rsidRDefault="00573B30" w:rsidP="00617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B30" w:rsidRDefault="00573B30" w:rsidP="00617C45">
      <w:r>
        <w:separator/>
      </w:r>
    </w:p>
  </w:footnote>
  <w:footnote w:type="continuationSeparator" w:id="0">
    <w:p w:rsidR="00573B30" w:rsidRDefault="00573B30" w:rsidP="00617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9A9A8"/>
    <w:multiLevelType w:val="singleLevel"/>
    <w:tmpl w:val="3E89A9A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DE3A32"/>
    <w:rsid w:val="00002A35"/>
    <w:rsid w:val="00020246"/>
    <w:rsid w:val="0002777B"/>
    <w:rsid w:val="00036CCF"/>
    <w:rsid w:val="00061F40"/>
    <w:rsid w:val="00082F23"/>
    <w:rsid w:val="000852B5"/>
    <w:rsid w:val="00092FB9"/>
    <w:rsid w:val="000E2DFD"/>
    <w:rsid w:val="000E5A74"/>
    <w:rsid w:val="000F6DD5"/>
    <w:rsid w:val="00107A66"/>
    <w:rsid w:val="00112DB1"/>
    <w:rsid w:val="00122987"/>
    <w:rsid w:val="00145E89"/>
    <w:rsid w:val="0015606D"/>
    <w:rsid w:val="001577C5"/>
    <w:rsid w:val="0017769C"/>
    <w:rsid w:val="002028DC"/>
    <w:rsid w:val="0022271B"/>
    <w:rsid w:val="00235455"/>
    <w:rsid w:val="00272627"/>
    <w:rsid w:val="002B30E8"/>
    <w:rsid w:val="002C6854"/>
    <w:rsid w:val="002E3498"/>
    <w:rsid w:val="002F3670"/>
    <w:rsid w:val="00303593"/>
    <w:rsid w:val="00305ED9"/>
    <w:rsid w:val="00316888"/>
    <w:rsid w:val="00325060"/>
    <w:rsid w:val="00336CD5"/>
    <w:rsid w:val="00342B7D"/>
    <w:rsid w:val="003556E6"/>
    <w:rsid w:val="0036179B"/>
    <w:rsid w:val="003A4CB9"/>
    <w:rsid w:val="003B1476"/>
    <w:rsid w:val="003F6CF9"/>
    <w:rsid w:val="00406FCF"/>
    <w:rsid w:val="00416061"/>
    <w:rsid w:val="00423D82"/>
    <w:rsid w:val="004741DA"/>
    <w:rsid w:val="00482851"/>
    <w:rsid w:val="004D724C"/>
    <w:rsid w:val="004E53D7"/>
    <w:rsid w:val="00513D4B"/>
    <w:rsid w:val="00514E4C"/>
    <w:rsid w:val="00524AF6"/>
    <w:rsid w:val="00530AF1"/>
    <w:rsid w:val="005362A7"/>
    <w:rsid w:val="00555FC3"/>
    <w:rsid w:val="00573B30"/>
    <w:rsid w:val="00587425"/>
    <w:rsid w:val="00593E47"/>
    <w:rsid w:val="005A4E86"/>
    <w:rsid w:val="005B1366"/>
    <w:rsid w:val="005C060C"/>
    <w:rsid w:val="005F1877"/>
    <w:rsid w:val="00616CB3"/>
    <w:rsid w:val="00617C45"/>
    <w:rsid w:val="00655123"/>
    <w:rsid w:val="00656170"/>
    <w:rsid w:val="006A3C90"/>
    <w:rsid w:val="006C5F62"/>
    <w:rsid w:val="006E1D9D"/>
    <w:rsid w:val="00720A30"/>
    <w:rsid w:val="0076758E"/>
    <w:rsid w:val="00772DD1"/>
    <w:rsid w:val="007818C3"/>
    <w:rsid w:val="0079752B"/>
    <w:rsid w:val="007B520C"/>
    <w:rsid w:val="007D34DA"/>
    <w:rsid w:val="007E1268"/>
    <w:rsid w:val="008017B9"/>
    <w:rsid w:val="008148AF"/>
    <w:rsid w:val="00821869"/>
    <w:rsid w:val="00823E48"/>
    <w:rsid w:val="0084097D"/>
    <w:rsid w:val="00874E0F"/>
    <w:rsid w:val="008E10FF"/>
    <w:rsid w:val="008F0043"/>
    <w:rsid w:val="00912EBD"/>
    <w:rsid w:val="00930FD4"/>
    <w:rsid w:val="00946A8E"/>
    <w:rsid w:val="009510BD"/>
    <w:rsid w:val="0096495B"/>
    <w:rsid w:val="00967922"/>
    <w:rsid w:val="0098442D"/>
    <w:rsid w:val="009A3491"/>
    <w:rsid w:val="009B5646"/>
    <w:rsid w:val="009B5A8D"/>
    <w:rsid w:val="009D2301"/>
    <w:rsid w:val="00A17FE5"/>
    <w:rsid w:val="00A219EB"/>
    <w:rsid w:val="00A45C95"/>
    <w:rsid w:val="00A52344"/>
    <w:rsid w:val="00A62947"/>
    <w:rsid w:val="00A65754"/>
    <w:rsid w:val="00A724FF"/>
    <w:rsid w:val="00A95ED4"/>
    <w:rsid w:val="00AB08F1"/>
    <w:rsid w:val="00AD3CBB"/>
    <w:rsid w:val="00AE12DC"/>
    <w:rsid w:val="00AE2CAB"/>
    <w:rsid w:val="00B015EB"/>
    <w:rsid w:val="00B0688A"/>
    <w:rsid w:val="00B122CF"/>
    <w:rsid w:val="00B40D0E"/>
    <w:rsid w:val="00B5109B"/>
    <w:rsid w:val="00B538B9"/>
    <w:rsid w:val="00B75235"/>
    <w:rsid w:val="00BB08B0"/>
    <w:rsid w:val="00BB1A06"/>
    <w:rsid w:val="00BF5154"/>
    <w:rsid w:val="00C20EAF"/>
    <w:rsid w:val="00C24A1D"/>
    <w:rsid w:val="00C3299C"/>
    <w:rsid w:val="00C564D0"/>
    <w:rsid w:val="00C6752F"/>
    <w:rsid w:val="00C95465"/>
    <w:rsid w:val="00CB7005"/>
    <w:rsid w:val="00CC07CD"/>
    <w:rsid w:val="00CC3599"/>
    <w:rsid w:val="00CC44EB"/>
    <w:rsid w:val="00CE46C2"/>
    <w:rsid w:val="00D10DA5"/>
    <w:rsid w:val="00D15BCF"/>
    <w:rsid w:val="00D37DAE"/>
    <w:rsid w:val="00D65428"/>
    <w:rsid w:val="00D86796"/>
    <w:rsid w:val="00DA3D1B"/>
    <w:rsid w:val="00DC0510"/>
    <w:rsid w:val="00DC7F8C"/>
    <w:rsid w:val="00DD51DA"/>
    <w:rsid w:val="00DE4C29"/>
    <w:rsid w:val="00DF10F6"/>
    <w:rsid w:val="00DF7B09"/>
    <w:rsid w:val="00E22D53"/>
    <w:rsid w:val="00E25C2F"/>
    <w:rsid w:val="00E32095"/>
    <w:rsid w:val="00E53D08"/>
    <w:rsid w:val="00E757EB"/>
    <w:rsid w:val="00E839B8"/>
    <w:rsid w:val="00E9782D"/>
    <w:rsid w:val="00EB5264"/>
    <w:rsid w:val="00ED4F06"/>
    <w:rsid w:val="00ED5895"/>
    <w:rsid w:val="00EE3659"/>
    <w:rsid w:val="00EE37B9"/>
    <w:rsid w:val="00F069D3"/>
    <w:rsid w:val="00F42FF1"/>
    <w:rsid w:val="00F52B72"/>
    <w:rsid w:val="00F53D89"/>
    <w:rsid w:val="00F709CC"/>
    <w:rsid w:val="00F74B4F"/>
    <w:rsid w:val="00F805DC"/>
    <w:rsid w:val="00F876FE"/>
    <w:rsid w:val="00F9110E"/>
    <w:rsid w:val="00F9179E"/>
    <w:rsid w:val="00F953FC"/>
    <w:rsid w:val="00FA7C96"/>
    <w:rsid w:val="00FD79D7"/>
    <w:rsid w:val="00FE4B4A"/>
    <w:rsid w:val="00FF1B8D"/>
    <w:rsid w:val="0150329E"/>
    <w:rsid w:val="03E16021"/>
    <w:rsid w:val="040B506B"/>
    <w:rsid w:val="04B2316F"/>
    <w:rsid w:val="06021ED4"/>
    <w:rsid w:val="064F3D0C"/>
    <w:rsid w:val="06585F98"/>
    <w:rsid w:val="07F27D26"/>
    <w:rsid w:val="08DE3A32"/>
    <w:rsid w:val="093F5222"/>
    <w:rsid w:val="098C0BEF"/>
    <w:rsid w:val="0B3C3210"/>
    <w:rsid w:val="0CCA1272"/>
    <w:rsid w:val="0FA47B58"/>
    <w:rsid w:val="102E1B18"/>
    <w:rsid w:val="11884CA5"/>
    <w:rsid w:val="118E23E0"/>
    <w:rsid w:val="12C837FA"/>
    <w:rsid w:val="13372FF1"/>
    <w:rsid w:val="13F25EC4"/>
    <w:rsid w:val="144F625E"/>
    <w:rsid w:val="16460917"/>
    <w:rsid w:val="19874988"/>
    <w:rsid w:val="1A4E34E2"/>
    <w:rsid w:val="1A7032F0"/>
    <w:rsid w:val="1D605385"/>
    <w:rsid w:val="1FA12306"/>
    <w:rsid w:val="20452C91"/>
    <w:rsid w:val="20F47B8A"/>
    <w:rsid w:val="221200F3"/>
    <w:rsid w:val="230230BC"/>
    <w:rsid w:val="23E32EED"/>
    <w:rsid w:val="2471383A"/>
    <w:rsid w:val="276F6341"/>
    <w:rsid w:val="295327E5"/>
    <w:rsid w:val="2AD41E98"/>
    <w:rsid w:val="2CF33A75"/>
    <w:rsid w:val="2F8F5CD7"/>
    <w:rsid w:val="3240150B"/>
    <w:rsid w:val="342D21CA"/>
    <w:rsid w:val="37456C90"/>
    <w:rsid w:val="385B0683"/>
    <w:rsid w:val="3989537D"/>
    <w:rsid w:val="39AE31FE"/>
    <w:rsid w:val="3BF41797"/>
    <w:rsid w:val="3C985175"/>
    <w:rsid w:val="3C9F32D2"/>
    <w:rsid w:val="406E7B8B"/>
    <w:rsid w:val="40DF3614"/>
    <w:rsid w:val="40F005A0"/>
    <w:rsid w:val="423B3903"/>
    <w:rsid w:val="42E874D3"/>
    <w:rsid w:val="44E05090"/>
    <w:rsid w:val="454B01F4"/>
    <w:rsid w:val="45C559C0"/>
    <w:rsid w:val="462574EA"/>
    <w:rsid w:val="46AE7637"/>
    <w:rsid w:val="481D433B"/>
    <w:rsid w:val="48AC74A2"/>
    <w:rsid w:val="4AB43141"/>
    <w:rsid w:val="4ACA00E9"/>
    <w:rsid w:val="4AE051E1"/>
    <w:rsid w:val="4BE771A1"/>
    <w:rsid w:val="4C05364A"/>
    <w:rsid w:val="51330F27"/>
    <w:rsid w:val="519D7836"/>
    <w:rsid w:val="5223401C"/>
    <w:rsid w:val="52CF6D08"/>
    <w:rsid w:val="52ED6F99"/>
    <w:rsid w:val="53040D3D"/>
    <w:rsid w:val="547A48F8"/>
    <w:rsid w:val="55B158C0"/>
    <w:rsid w:val="55E0078B"/>
    <w:rsid w:val="579D6934"/>
    <w:rsid w:val="58490869"/>
    <w:rsid w:val="59384E70"/>
    <w:rsid w:val="5CAA564F"/>
    <w:rsid w:val="5E1C3EED"/>
    <w:rsid w:val="5E321914"/>
    <w:rsid w:val="5E711953"/>
    <w:rsid w:val="60AF1F4F"/>
    <w:rsid w:val="62086E62"/>
    <w:rsid w:val="64561F2A"/>
    <w:rsid w:val="64AD03BA"/>
    <w:rsid w:val="6707201B"/>
    <w:rsid w:val="67A7359A"/>
    <w:rsid w:val="68694610"/>
    <w:rsid w:val="69114664"/>
    <w:rsid w:val="69511CE2"/>
    <w:rsid w:val="696C085C"/>
    <w:rsid w:val="699121C1"/>
    <w:rsid w:val="6B362ECF"/>
    <w:rsid w:val="6B755E21"/>
    <w:rsid w:val="6CED10DA"/>
    <w:rsid w:val="6D8F3913"/>
    <w:rsid w:val="6DD156B9"/>
    <w:rsid w:val="6DEC3CE4"/>
    <w:rsid w:val="6EDA098C"/>
    <w:rsid w:val="6FF10A99"/>
    <w:rsid w:val="7099583F"/>
    <w:rsid w:val="71FD69D0"/>
    <w:rsid w:val="73AD5CF9"/>
    <w:rsid w:val="73F352DB"/>
    <w:rsid w:val="755C10F3"/>
    <w:rsid w:val="76B850E0"/>
    <w:rsid w:val="76E526EE"/>
    <w:rsid w:val="78102643"/>
    <w:rsid w:val="788F4CD8"/>
    <w:rsid w:val="79392BBF"/>
    <w:rsid w:val="7A3E3B4E"/>
    <w:rsid w:val="7CB974BC"/>
    <w:rsid w:val="7D830C85"/>
    <w:rsid w:val="7D8775BA"/>
    <w:rsid w:val="7DBC01D8"/>
    <w:rsid w:val="7DCE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054A18"/>
  <w15:docId w15:val="{2C66FF3E-1944-4AA6-B657-2E346ED5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c">
    <w:name w:val="Emphasis"/>
    <w:basedOn w:val="a0"/>
    <w:qFormat/>
    <w:rPr>
      <w:i/>
    </w:rPr>
  </w:style>
  <w:style w:type="character" w:customStyle="1" w:styleId="aa">
    <w:name w:val="页眉 字符"/>
    <w:basedOn w:val="a0"/>
    <w:link w:val="a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6">
    <w:name w:val="批注框文本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507</Words>
  <Characters>2890</Characters>
  <Application>Microsoft Office Word</Application>
  <DocSecurity>0</DocSecurity>
  <Lines>24</Lines>
  <Paragraphs>6</Paragraphs>
  <ScaleCrop>false</ScaleCrop>
  <Company>中国电信股份有限公司研究院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Administrator</cp:lastModifiedBy>
  <cp:revision>23</cp:revision>
  <dcterms:created xsi:type="dcterms:W3CDTF">2025-05-12T06:31:00Z</dcterms:created>
  <dcterms:modified xsi:type="dcterms:W3CDTF">2025-05-13T01:12:00Z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41C612A08C2043FA8D86D7169B7318CF_13</vt:lpwstr>
  </property>
  <property fmtid="{D5CDD505-2E9C-101B-9397-08002B2CF9AE}" pid="4" name="KSOTemplateDocerSaveRecord">
    <vt:lpwstr>eyJoZGlkIjoiMzEwNTM5NzYwMDRjMzkwZTVkZjY2ODkwMGIxNGU0OTUiLCJ1c2VySWQiOiIxMjM1MzMyNjMxIn0=</vt:lpwstr>
  </property>
</Properties>
</file>