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12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关于构建高水平云生态的建议</w:t>
      </w:r>
    </w:p>
    <w:p>
      <w:pPr>
        <w:ind w:left="2031"/>
        <w:spacing w:before="330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  魏玥   陈琳娜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李思思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马睿文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34" w:right="18" w:firstLine="594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2022</w:t>
      </w:r>
      <w:r>
        <w:rPr>
          <w:rFonts w:ascii="FangSong" w:hAnsi="FangSong" w:eastAsia="FangSong" w:cs="FangSong"/>
          <w:sz w:val="30"/>
          <w:szCs w:val="30"/>
          <w:spacing w:val="-5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年下半年，天翼云分别以</w:t>
      </w:r>
      <w:r>
        <w:rPr>
          <w:rFonts w:ascii="FangSong" w:hAnsi="FangSong" w:eastAsia="FangSong" w:cs="FangSong"/>
          <w:sz w:val="30"/>
          <w:szCs w:val="30"/>
          <w:spacing w:val="-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11.8%和</w:t>
      </w:r>
      <w:r>
        <w:rPr>
          <w:rFonts w:ascii="FangSong" w:hAnsi="FangSong" w:eastAsia="FangSong" w:cs="FangSong"/>
          <w:sz w:val="30"/>
          <w:szCs w:val="30"/>
          <w:spacing w:val="-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10.3%的份额跻身中</w:t>
      </w:r>
      <w:r>
        <w:rPr>
          <w:rFonts w:ascii="FangSong" w:hAnsi="FangSong" w:eastAsia="FangSong" w:cs="FangSong"/>
          <w:sz w:val="30"/>
          <w:szCs w:val="30"/>
          <w:spacing w:val="-6"/>
        </w:rPr>
        <w:t>国公有云</w:t>
      </w:r>
      <w:r>
        <w:rPr>
          <w:rFonts w:ascii="FangSong" w:hAnsi="FangSong" w:eastAsia="FangSong" w:cs="FangSong"/>
          <w:sz w:val="30"/>
          <w:szCs w:val="30"/>
          <w:spacing w:val="-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IaaS</w:t>
      </w:r>
      <w:r>
        <w:rPr>
          <w:rFonts w:ascii="FangSong" w:hAnsi="FangSong" w:eastAsia="FangSong" w:cs="FangSong"/>
          <w:sz w:val="30"/>
          <w:szCs w:val="30"/>
          <w:spacing w:val="-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和</w:t>
      </w:r>
      <w:r>
        <w:rPr>
          <w:rFonts w:ascii="FangSong" w:hAnsi="FangSong" w:eastAsia="FangSong" w:cs="FangSong"/>
          <w:sz w:val="30"/>
          <w:szCs w:val="30"/>
          <w:spacing w:val="-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IaaS+PaaS</w:t>
      </w:r>
      <w:r>
        <w:rPr>
          <w:rFonts w:ascii="FangSong" w:hAnsi="FangSong" w:eastAsia="FangSong" w:cs="FangSong"/>
          <w:sz w:val="30"/>
          <w:szCs w:val="30"/>
          <w:spacing w:val="-2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市场前三，但距离</w:t>
      </w:r>
      <w:r>
        <w:rPr>
          <w:rFonts w:ascii="FangSong" w:hAnsi="FangSong" w:eastAsia="FangSong" w:cs="FangSong"/>
          <w:sz w:val="30"/>
          <w:szCs w:val="30"/>
          <w:spacing w:val="-1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15%生</w:t>
      </w:r>
      <w:r>
        <w:rPr>
          <w:rFonts w:ascii="FangSong" w:hAnsi="FangSong" w:eastAsia="FangSong" w:cs="FangSong"/>
          <w:sz w:val="30"/>
          <w:szCs w:val="30"/>
          <w:spacing w:val="-7"/>
        </w:rPr>
        <w:t>存线仍有</w:t>
      </w:r>
      <w:r>
        <w:rPr>
          <w:rFonts w:ascii="FangSong" w:hAnsi="FangSong" w:eastAsia="FangSong" w:cs="FangSong"/>
          <w:sz w:val="30"/>
          <w:szCs w:val="30"/>
          <w:spacing w:val="-4"/>
        </w:rPr>
        <w:t>很大挑战空间。云厂商借力合作伙伴的客源、服务、技术</w:t>
      </w:r>
      <w:r>
        <w:rPr>
          <w:rFonts w:ascii="FangSong" w:hAnsi="FangSong" w:eastAsia="FangSong" w:cs="FangSong"/>
          <w:sz w:val="30"/>
          <w:szCs w:val="30"/>
          <w:spacing w:val="-5"/>
        </w:rPr>
        <w:t>以及基</w:t>
      </w:r>
      <w:r>
        <w:rPr>
          <w:rFonts w:ascii="FangSong" w:hAnsi="FangSong" w:eastAsia="FangSong" w:cs="FangSong"/>
          <w:sz w:val="30"/>
          <w:szCs w:val="30"/>
          <w:spacing w:val="-11"/>
        </w:rPr>
        <w:t>于云底座的丰富应用等，可有效推动规模扩展与收</w:t>
      </w:r>
      <w:r>
        <w:rPr>
          <w:rFonts w:ascii="FangSong" w:hAnsi="FangSong" w:eastAsia="FangSong" w:cs="FangSong"/>
          <w:sz w:val="30"/>
          <w:szCs w:val="30"/>
          <w:spacing w:val="-12"/>
        </w:rPr>
        <w:t>入增长。因此，</w:t>
      </w:r>
      <w:r>
        <w:rPr>
          <w:rFonts w:ascii="FangSong" w:hAnsi="FangSong" w:eastAsia="FangSong" w:cs="FangSong"/>
          <w:sz w:val="30"/>
          <w:szCs w:val="30"/>
          <w:spacing w:val="-1"/>
        </w:rPr>
        <w:t>天翼云在“超华为赶阿里”进程中，生态力量不可小觑。然而，</w:t>
      </w:r>
      <w:r>
        <w:rPr>
          <w:rFonts w:ascii="FangSong" w:hAnsi="FangSong" w:eastAsia="FangSong" w:cs="FangSong"/>
          <w:sz w:val="30"/>
          <w:szCs w:val="30"/>
          <w:spacing w:val="-4"/>
        </w:rPr>
        <w:t>天翼云生态发展正受到特色不突出、天然伙伴类客户</w:t>
      </w:r>
      <w:r>
        <w:rPr>
          <w:rFonts w:ascii="FangSong" w:hAnsi="FangSong" w:eastAsia="FangSong" w:cs="FangSong"/>
          <w:sz w:val="30"/>
          <w:szCs w:val="30"/>
          <w:spacing w:val="-5"/>
        </w:rPr>
        <w:t>少、服务水</w:t>
      </w:r>
      <w:r>
        <w:rPr>
          <w:rFonts w:ascii="FangSong" w:hAnsi="FangSong" w:eastAsia="FangSong" w:cs="FangSong"/>
          <w:sz w:val="30"/>
          <w:szCs w:val="30"/>
          <w:spacing w:val="-3"/>
        </w:rPr>
        <w:t>平落后、集约管控难度大等问题制约，亟待改善。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一、天翼云生态建设还需继续努力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8" w:right="21" w:firstLine="596"/>
        <w:spacing w:before="99" w:line="261" w:lineRule="auto"/>
        <w:rPr/>
      </w:pPr>
      <w:r>
        <w:rPr>
          <w:spacing w:val="-1"/>
        </w:rPr>
        <w:t>业界通常以生态的规模和对收入的拉动描述生态建设水平，</w:t>
      </w:r>
      <w:r>
        <w:rPr>
          <w:spacing w:val="-3"/>
        </w:rPr>
        <w:t>按照这两个维度，天翼云与头部云商之间仍存在差距。</w:t>
      </w:r>
    </w:p>
    <w:p>
      <w:pPr>
        <w:pStyle w:val="BodyText"/>
        <w:ind w:left="26" w:right="21" w:firstLine="602"/>
        <w:spacing w:before="267" w:line="260" w:lineRule="auto"/>
        <w:jc w:val="both"/>
        <w:rPr/>
      </w:pPr>
      <w:r>
        <w:rPr>
          <w:spacing w:val="-5"/>
        </w:rPr>
        <w:t>生态规模上，天翼云的合作伙伴、开发者和云市场应用数量</w:t>
      </w:r>
      <w:r>
        <w:rPr>
          <w:spacing w:val="-8"/>
        </w:rPr>
        <w:t>均远低于头部云商。依据官方宣传口径和官网信息，</w:t>
      </w:r>
      <w:r>
        <w:rPr>
          <w:spacing w:val="-35"/>
        </w:rPr>
        <w:t xml:space="preserve"> </w:t>
      </w:r>
      <w:r>
        <w:rPr>
          <w:spacing w:val="-8"/>
        </w:rPr>
        <w:t>合作伙伴方</w:t>
      </w:r>
      <w:r>
        <w:rPr>
          <w:spacing w:val="-4"/>
        </w:rPr>
        <w:t>面，阿里云、腾讯云均超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4"/>
        </w:rPr>
        <w:t>万家，华为云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4.1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4"/>
        </w:rPr>
        <w:t>万家，而天翼云仅</w:t>
      </w:r>
      <w:r>
        <w:rPr>
          <w:spacing w:val="-4"/>
        </w:rPr>
        <w:t>为千级；开发者方面，阿里云、腾讯云、华为云均超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300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4"/>
        </w:rPr>
        <w:t>万人，</w:t>
      </w:r>
      <w:r>
        <w:rPr>
          <w:spacing w:val="-6"/>
        </w:rPr>
        <w:t>天翼云刚开始培养；云市场应用方面，阿里云、腾讯云均超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万</w:t>
      </w:r>
      <w:r>
        <w:rPr>
          <w:spacing w:val="-3"/>
        </w:rPr>
        <w:t>个，华为云近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8000 </w:t>
      </w:r>
      <w:r>
        <w:rPr>
          <w:spacing w:val="-3"/>
        </w:rPr>
        <w:t>个，天翼云仅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1500 </w:t>
      </w:r>
      <w:r>
        <w:rPr>
          <w:spacing w:val="-3"/>
        </w:rPr>
        <w:t>个左右。</w:t>
      </w:r>
    </w:p>
    <w:p>
      <w:pPr>
        <w:pStyle w:val="BodyText"/>
        <w:ind w:left="28" w:firstLine="599"/>
        <w:spacing w:before="268" w:line="256" w:lineRule="auto"/>
        <w:jc w:val="both"/>
        <w:rPr/>
      </w:pPr>
      <w:r>
        <w:rPr>
          <w:spacing w:val="-6"/>
        </w:rPr>
        <w:t>生态收入上，阿里云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财年合作伙伴贡献收入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185 </w:t>
      </w:r>
      <w:r>
        <w:rPr>
          <w:spacing w:val="-6"/>
        </w:rPr>
        <w:t>亿元，</w:t>
      </w:r>
      <w:r>
        <w:rPr>
          <w:spacing w:val="-6"/>
        </w:rPr>
        <w:t>占比 </w:t>
      </w:r>
      <w:r>
        <w:rPr>
          <w:rFonts w:ascii="Times New Roman" w:hAnsi="Times New Roman" w:eastAsia="Times New Roman" w:cs="Times New Roman"/>
          <w:spacing w:val="-6"/>
        </w:rPr>
        <w:t>1/4</w:t>
      </w:r>
      <w:r>
        <w:rPr>
          <w:spacing w:val="-6"/>
        </w:rPr>
        <w:t>；腾讯云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2022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6"/>
        </w:rPr>
        <w:t>年 </w:t>
      </w:r>
      <w:r>
        <w:rPr>
          <w:rFonts w:ascii="Times New Roman" w:hAnsi="Times New Roman" w:eastAsia="Times New Roman" w:cs="Times New Roman"/>
          <w:spacing w:val="-6"/>
        </w:rPr>
        <w:t>1/3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6"/>
        </w:rPr>
        <w:t>收入来自生态；华为云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2020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6"/>
        </w:rPr>
        <w:t>年伙</w:t>
      </w:r>
      <w:r>
        <w:rPr>
          <w:spacing w:val="-3"/>
        </w:rPr>
        <w:t>伴收入占比已超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60%</w:t>
      </w:r>
      <w:r>
        <w:rPr>
          <w:spacing w:val="-3"/>
        </w:rPr>
        <w:t>且增速高于华为云整体；天翼云暂未统计，</w:t>
      </w:r>
      <w:r>
        <w:rPr/>
        <w:t>不过依据调研，部分省认为生态对收入并未起到实质帮助作</w:t>
      </w:r>
      <w:r>
        <w:rPr>
          <w:spacing w:val="-1"/>
        </w:rPr>
        <w:t>用。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二、四大问题制约天翼云生态建设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．特色不突出：未形成贴合自身优势的生态策略</w:t>
      </w:r>
    </w:p>
    <w:p>
      <w:pPr>
        <w:spacing w:line="2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31" w:right="105" w:firstLine="599"/>
        <w:spacing w:before="85" w:line="262" w:lineRule="auto"/>
        <w:rPr/>
      </w:pPr>
      <w:r>
        <w:rPr>
          <w:spacing w:val="-4"/>
        </w:rPr>
        <w:t>头部云商均依托自身优势开展生态建设，形</w:t>
      </w:r>
      <w:r>
        <w:rPr>
          <w:spacing w:val="-5"/>
        </w:rPr>
        <w:t>成以云赋能伙伴</w:t>
      </w:r>
      <w:r>
        <w:rPr>
          <w:spacing w:val="-4"/>
        </w:rPr>
        <w:t>发展、伙伴壮大带动云业务的良性循环。</w:t>
      </w:r>
    </w:p>
    <w:p>
      <w:pPr>
        <w:pStyle w:val="BodyText"/>
        <w:ind w:left="26" w:right="104" w:firstLine="612"/>
        <w:spacing w:before="271" w:line="259" w:lineRule="auto"/>
        <w:jc w:val="both"/>
        <w:rPr/>
      </w:pPr>
      <w:r>
        <w:rPr>
          <w:spacing w:val="-2"/>
        </w:rPr>
        <w:t>阿里云，技术领先，生态策略为以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IaaS/PaaS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2"/>
        </w:rPr>
        <w:t>支撑上层应用</w:t>
      </w:r>
      <w:r>
        <w:rPr>
          <w:spacing w:val="-2"/>
        </w:rPr>
        <w:t>蓬勃、反向驱动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IaaS/PaaS </w:t>
      </w:r>
      <w:r>
        <w:rPr>
          <w:spacing w:val="-2"/>
        </w:rPr>
        <w:t>增长。</w:t>
      </w:r>
      <w:r>
        <w:rPr>
          <w:rFonts w:ascii="Times New Roman" w:hAnsi="Times New Roman" w:eastAsia="Times New Roman" w:cs="Times New Roman"/>
          <w:spacing w:val="-2"/>
        </w:rPr>
        <w:t>2019 </w:t>
      </w:r>
      <w:r>
        <w:rPr>
          <w:spacing w:val="-2"/>
        </w:rPr>
        <w:t>年提出被集成后生态发展</w:t>
      </w:r>
      <w:r>
        <w:rPr>
          <w:spacing w:val="-2"/>
        </w:rPr>
        <w:t>迅速，</w:t>
      </w:r>
      <w:r>
        <w:rPr>
          <w:rFonts w:ascii="Times New Roman" w:hAnsi="Times New Roman" w:eastAsia="Times New Roman" w:cs="Times New Roman"/>
          <w:spacing w:val="-2"/>
        </w:rPr>
        <w:t>2020 </w:t>
      </w:r>
      <w:r>
        <w:rPr>
          <w:spacing w:val="-2"/>
        </w:rPr>
        <w:t>财年部分合作伙伴业绩呈指数级增长，营收从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万</w:t>
      </w:r>
      <w:r>
        <w:rPr>
          <w:spacing w:val="-7"/>
        </w:rPr>
        <w:t>元跃升至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 </w:t>
      </w:r>
      <w:r>
        <w:rPr>
          <w:spacing w:val="-7"/>
        </w:rPr>
        <w:t>个亿，</w:t>
      </w: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财年生态伙</w:t>
      </w:r>
      <w:r>
        <w:rPr>
          <w:spacing w:val="-8"/>
        </w:rPr>
        <w:t>伴收入贡献为</w:t>
      </w:r>
      <w:r>
        <w:rPr>
          <w:rFonts w:ascii="Times New Roman" w:hAnsi="Times New Roman" w:eastAsia="Times New Roman" w:cs="Times New Roman"/>
          <w:spacing w:val="-8"/>
        </w:rPr>
        <w:t>2019 </w:t>
      </w:r>
      <w:r>
        <w:rPr>
          <w:spacing w:val="-8"/>
        </w:rPr>
        <w:t>财年</w:t>
      </w:r>
      <w:r>
        <w:rPr>
          <w:spacing w:val="-8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7 </w:t>
      </w:r>
      <w:r>
        <w:rPr>
          <w:spacing w:val="-8"/>
        </w:rPr>
        <w:t>倍。</w:t>
      </w:r>
    </w:p>
    <w:p>
      <w:pPr>
        <w:pStyle w:val="BodyText"/>
        <w:ind w:left="27" w:right="104" w:firstLine="597"/>
        <w:spacing w:before="275" w:line="261" w:lineRule="auto"/>
        <w:jc w:val="both"/>
        <w:rPr/>
      </w:pPr>
      <w:r>
        <w:rPr>
          <w:spacing w:val="-4"/>
        </w:rPr>
        <w:t>腾讯云，产品为王，生态策略是通过为二次开发、服务</w:t>
      </w:r>
      <w:r>
        <w:rPr>
          <w:spacing w:val="-5"/>
        </w:rPr>
        <w:t>交付</w:t>
      </w:r>
      <w:r>
        <w:rPr>
          <w:spacing w:val="1"/>
        </w:rPr>
        <w:t>等提供标准产品提升自研产品销量并扩大利润。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年向服务</w:t>
      </w:r>
      <w:r>
        <w:rPr>
          <w:spacing w:val="-4"/>
        </w:rPr>
        <w:t>伙伴开放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60 </w:t>
      </w:r>
      <w:r>
        <w:rPr>
          <w:spacing w:val="-4"/>
        </w:rPr>
        <w:t>款产品，</w:t>
      </w:r>
      <w:r>
        <w:rPr>
          <w:rFonts w:ascii="Times New Roman" w:hAnsi="Times New Roman" w:eastAsia="Times New Roman" w:cs="Times New Roman"/>
          <w:spacing w:val="-4"/>
        </w:rPr>
        <w:t>11 </w:t>
      </w:r>
      <w:r>
        <w:rPr>
          <w:spacing w:val="-4"/>
        </w:rPr>
        <w:t>款产品代销破亿。</w:t>
      </w:r>
    </w:p>
    <w:p>
      <w:pPr>
        <w:pStyle w:val="BodyText"/>
        <w:ind w:left="25" w:right="107" w:firstLine="602"/>
        <w:spacing w:before="264" w:line="261" w:lineRule="auto"/>
        <w:jc w:val="both"/>
        <w:rPr/>
      </w:pPr>
      <w:r>
        <w:rPr>
          <w:spacing w:val="-4"/>
        </w:rPr>
        <w:t>华为云，深耕产业数字化，采取借力开发伙伴</w:t>
      </w:r>
      <w:r>
        <w:rPr>
          <w:spacing w:val="-5"/>
        </w:rPr>
        <w:t>承接行业客户</w:t>
      </w:r>
      <w:r>
        <w:rPr>
          <w:spacing w:val="-4"/>
        </w:rPr>
        <w:t>长尾需求的生态策略，从技术、平台、体验、多元生态协同等维</w:t>
      </w:r>
      <w:r>
        <w:rPr>
          <w:spacing w:val="-6"/>
        </w:rPr>
        <w:t>度全面赋能开发者。</w:t>
      </w:r>
    </w:p>
    <w:p>
      <w:pPr>
        <w:pStyle w:val="BodyText"/>
        <w:ind w:left="26" w:right="105" w:firstLine="605"/>
        <w:spacing w:before="270" w:line="260" w:lineRule="auto"/>
        <w:jc w:val="both"/>
        <w:rPr/>
      </w:pPr>
      <w:r>
        <w:rPr>
          <w:spacing w:val="-5"/>
        </w:rPr>
        <w:t>天翼云着力打造云生态开放合作高地，提出“领域至广、服</w:t>
      </w:r>
      <w:r>
        <w:rPr>
          <w:spacing w:val="-4"/>
        </w:rPr>
        <w:t>务至上、价值至优、成长至远”国云合作理念，全面但特色并不</w:t>
      </w:r>
      <w:r>
        <w:rPr>
          <w:spacing w:val="-4"/>
        </w:rPr>
        <w:t>鲜明，特别是未与安全可信优势结合，对于合作伙伴来说没有突</w:t>
      </w:r>
      <w:r>
        <w:rPr>
          <w:spacing w:val="-5"/>
        </w:rPr>
        <w:t>出记忆点和绝对吸引力。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．天然伙伴类客户少：缺乏软件厂商等自带伙伴属性客户</w:t>
      </w:r>
    </w:p>
    <w:p>
      <w:pPr>
        <w:pStyle w:val="BodyText"/>
        <w:ind w:left="26" w:firstLine="604"/>
        <w:spacing w:before="314" w:line="260" w:lineRule="auto"/>
        <w:rPr/>
      </w:pPr>
      <w:r>
        <w:rPr>
          <w:spacing w:val="-5"/>
        </w:rPr>
        <w:t>头部云商多拥有庞大互联网厂商、软件厂商等数产客群（兼</w:t>
      </w:r>
      <w:r>
        <w:rPr>
          <w:spacing w:val="-4"/>
        </w:rPr>
        <w:t>具客户和合作伙伴双重身份</w:t>
      </w:r>
      <w:r>
        <w:rPr>
          <w:spacing w:val="-72"/>
          <w:w w:val="91"/>
        </w:rPr>
        <w:t>），</w:t>
      </w:r>
      <w:r>
        <w:rPr>
          <w:spacing w:val="-4"/>
        </w:rPr>
        <w:t>因而自发形成应用和开发者生态。</w:t>
      </w:r>
      <w:r>
        <w:rPr>
          <w:spacing w:val="-17"/>
        </w:rPr>
        <w:t>同时，头部云商十分重视初创企业孵化，</w:t>
      </w:r>
      <w:r>
        <w:rPr>
          <w:rFonts w:ascii="Times New Roman" w:hAnsi="Times New Roman" w:eastAsia="Times New Roman" w:cs="Times New Roman"/>
          <w:spacing w:val="-17"/>
        </w:rPr>
        <w:t>AWS</w:t>
      </w:r>
      <w:r>
        <w:rPr>
          <w:spacing w:val="-17"/>
        </w:rPr>
        <w:t>、微软</w:t>
      </w:r>
      <w:r>
        <w:rPr>
          <w:spacing w:val="-18"/>
        </w:rPr>
        <w:t>云、阿里云、</w:t>
      </w:r>
      <w:r>
        <w:rPr>
          <w:spacing w:val="-4"/>
        </w:rPr>
        <w:t>华为云等均设有初创计划，通过资金、云资源、技术支持等将初</w:t>
      </w:r>
      <w:r>
        <w:rPr>
          <w:spacing w:val="-3"/>
        </w:rPr>
        <w:t>创企业从创立伊始就深入绑定（如底座适配和中间件使用</w:t>
      </w:r>
      <w:r>
        <w:rPr>
          <w:spacing w:val="-40"/>
        </w:rPr>
        <w:t>），</w:t>
      </w:r>
      <w:r>
        <w:rPr>
          <w:spacing w:val="-3"/>
        </w:rPr>
        <w:t>自</w:t>
      </w:r>
      <w:r>
        <w:rPr>
          <w:spacing w:val="-4"/>
        </w:rPr>
        <w:t>然而然地将其培养为有力的合作伙伴。</w:t>
      </w:r>
    </w:p>
    <w:p>
      <w:pPr>
        <w:pStyle w:val="BodyText"/>
        <w:ind w:left="27" w:right="19" w:firstLine="598"/>
        <w:spacing w:before="270" w:line="261" w:lineRule="auto"/>
        <w:jc w:val="both"/>
        <w:rPr/>
      </w:pPr>
      <w:r>
        <w:rPr>
          <w:spacing w:val="-1"/>
        </w:rPr>
        <w:t>相较之下，天翼云受相对欠缺互联网和软件服务基因影响，</w:t>
      </w:r>
      <w:r>
        <w:rPr>
          <w:spacing w:val="-11"/>
        </w:rPr>
        <w:t>开发能力强、能对外提供软件服务的客户数量偏少，在生态建</w:t>
      </w:r>
      <w:r>
        <w:rPr>
          <w:spacing w:val="-12"/>
        </w:rPr>
        <w:t>设，</w:t>
      </w:r>
      <w:r>
        <w:rPr>
          <w:spacing w:val="-3"/>
        </w:rPr>
        <w:t>尤其是壮大应用开发队伍方面处于劣势。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．服务水平落后：不关注合作过程中伙伴</w:t>
      </w:r>
      <w:r>
        <w:rPr>
          <w:b/>
          <w:bCs/>
          <w:spacing w:val="-3"/>
        </w:rPr>
        <w:t>感知与体验</w:t>
      </w:r>
    </w:p>
    <w:p>
      <w:pPr>
        <w:spacing w:line="233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25" w:firstLine="629"/>
        <w:spacing w:before="88" w:line="259" w:lineRule="auto"/>
        <w:jc w:val="both"/>
        <w:rPr/>
      </w:pPr>
      <w:r>
        <w:rPr>
          <w:spacing w:val="-5"/>
        </w:rPr>
        <w:t>中国电信在合作中较少从伙伴角度出发考虑问题</w:t>
      </w:r>
      <w:r>
        <w:rPr>
          <w:spacing w:val="-6"/>
        </w:rPr>
        <w:t>，影响伙伴</w:t>
      </w:r>
      <w:r>
        <w:rPr>
          <w:spacing w:val="-4"/>
        </w:rPr>
        <w:t>体验。如，对于渠道生态，云中台以管理为主，反观阿里云和华</w:t>
      </w:r>
      <w:r>
        <w:rPr>
          <w:spacing w:val="-4"/>
        </w:rPr>
        <w:t>为云，均配备专人提供服务支持。根据合作伙</w:t>
      </w:r>
      <w:r>
        <w:rPr>
          <w:spacing w:val="-5"/>
        </w:rPr>
        <w:t>伴广东亿讯（与天</w:t>
      </w:r>
      <w:r>
        <w:rPr>
          <w:spacing w:val="-4"/>
        </w:rPr>
        <w:t>翼云和华为云均有合作）反馈，华为云生态经理每两周至办公现</w:t>
      </w:r>
      <w:r>
        <w:rPr>
          <w:spacing w:val="-5"/>
        </w:rPr>
        <w:t>场驻点支撑，辅助其完成商机落地并接受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KPI </w:t>
      </w:r>
      <w:r>
        <w:rPr>
          <w:spacing w:val="-5"/>
        </w:rPr>
        <w:t>考核。又如，对于</w:t>
      </w:r>
      <w:r>
        <w:rPr>
          <w:spacing w:val="-4"/>
        </w:rPr>
        <w:t>应用生态，天翼云云市场上架流程复杂，造成合作伙伴困扰。广</w:t>
      </w:r>
      <w:r>
        <w:rPr>
          <w:spacing w:val="-11"/>
        </w:rPr>
        <w:t>东亿讯反馈，合作应用在天翼云云市场上架时，需通过信安</w:t>
      </w:r>
      <w:r>
        <w:rPr>
          <w:spacing w:val="-12"/>
        </w:rPr>
        <w:t>改造，</w:t>
      </w:r>
      <w:r>
        <w:rPr>
          <w:spacing w:val="-4"/>
        </w:rPr>
        <w:t>其中双新评估作为重要环节，指标繁杂，牵扯大量精力，且评估</w:t>
      </w:r>
      <w:r>
        <w:rPr>
          <w:spacing w:val="-9"/>
        </w:rPr>
        <w:t>时间漫长。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．集约管控难度大：没有直接了解生态运营情况的渠道</w:t>
      </w:r>
    </w:p>
    <w:p>
      <w:pPr>
        <w:pStyle w:val="BodyText"/>
        <w:ind w:left="25" w:right="83" w:firstLine="607"/>
        <w:spacing w:before="321" w:line="259" w:lineRule="auto"/>
        <w:jc w:val="both"/>
        <w:rPr/>
      </w:pPr>
      <w:r>
        <w:rPr>
          <w:spacing w:val="-5"/>
        </w:rPr>
        <w:t>天翼云生态合作落地多由各省直接推进，相关信息则散落在</w:t>
      </w:r>
      <w:r>
        <w:rPr>
          <w:spacing w:val="-4"/>
        </w:rPr>
        <w:t>商机系统、协议级系统等多个平台，因此集团云生态管控部门无</w:t>
      </w:r>
      <w:r>
        <w:rPr>
          <w:spacing w:val="-4"/>
        </w:rPr>
        <w:t>法直接获取云生态运营情况，或经由省接口人定期填报，质量不</w:t>
      </w:r>
      <w:r>
        <w:rPr>
          <w:spacing w:val="-4"/>
        </w:rPr>
        <w:t>高，或需明确涉云项目判别取数规则并向多系统申请取数，流程</w:t>
      </w:r>
      <w:r>
        <w:rPr>
          <w:spacing w:val="-9"/>
        </w:rPr>
        <w:t>复杂。因此， 集团难以及时准确了解合作进展与成效，后续的管</w:t>
      </w:r>
      <w:r>
        <w:rPr>
          <w:spacing w:val="-5"/>
        </w:rPr>
        <w:t>控和评估等更是无从谈起。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三、高水平天翼云生态推进建议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．以安全可信为特色打造信创云生态</w:t>
      </w:r>
    </w:p>
    <w:p>
      <w:pPr>
        <w:pStyle w:val="BodyText"/>
        <w:ind w:left="26" w:right="82" w:firstLine="604"/>
        <w:spacing w:before="317" w:line="260" w:lineRule="auto"/>
        <w:jc w:val="both"/>
        <w:rPr/>
      </w:pPr>
      <w:r>
        <w:rPr>
          <w:spacing w:val="-2"/>
        </w:rPr>
        <w:t>发挥安全可信品牌优势，基于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TeleDB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信创数据库、</w:t>
      </w:r>
      <w:r>
        <w:rPr>
          <w:spacing w:val="-3"/>
        </w:rPr>
        <w:t>云安全</w:t>
      </w:r>
      <w:r>
        <w:rPr>
          <w:spacing w:val="-9"/>
        </w:rPr>
        <w:t>产品与能力等，面向生态开展培训、交流与联合研发， 提升合作</w:t>
      </w:r>
      <w:r>
        <w:rPr>
          <w:spacing w:val="-4"/>
        </w:rPr>
        <w:t>伙伴信创能力，赋能合作伙伴为天翼云客户提供更安全可信的服</w:t>
      </w:r>
      <w:r>
        <w:rPr>
          <w:spacing w:val="-4"/>
        </w:rPr>
        <w:t>务，同时，使能合作伙伴赢取更多信创客户，带动天翼云做大做</w:t>
      </w:r>
      <w:r>
        <w:rPr>
          <w:spacing w:val="-7"/>
        </w:rPr>
        <w:t>强信创云服务。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．从生产到落地全面助力软件开发厂商</w:t>
      </w:r>
    </w:p>
    <w:p>
      <w:pPr>
        <w:pStyle w:val="BodyText"/>
        <w:ind w:left="22" w:right="82" w:firstLine="604"/>
        <w:spacing w:before="319" w:line="260" w:lineRule="auto"/>
        <w:jc w:val="both"/>
        <w:rPr/>
      </w:pPr>
      <w:r>
        <w:rPr>
          <w:spacing w:val="7"/>
        </w:rPr>
        <w:t>通过扶持软件开发厂商夯实应用和开发伙伴基础。可打造</w:t>
      </w:r>
      <w:r>
        <w:rPr>
          <w:rFonts w:ascii="Times New Roman" w:hAnsi="Times New Roman" w:eastAsia="Times New Roman" w:cs="Times New Roman"/>
        </w:rPr>
        <w:t>ISV</w:t>
      </w:r>
      <w:r>
        <w:rPr/>
        <w:t>（独立软件开发商）培育计划，为成员提供超低价甚至免费</w:t>
      </w:r>
      <w:r>
        <w:rPr>
          <w:spacing w:val="-2"/>
        </w:rPr>
        <w:t>的云资源和中间件，吸引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SaaS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2"/>
        </w:rPr>
        <w:t>厂商、初创公司等基于天翼云开</w:t>
      </w:r>
      <w:r>
        <w:rPr>
          <w:spacing w:val="-9"/>
        </w:rPr>
        <w:t>发部署应用。此外， 还可利用客情与渠道优势，如鼓励渠道伙伴</w:t>
      </w:r>
    </w:p>
    <w:p>
      <w:pPr>
        <w:spacing w:line="260" w:lineRule="auto"/>
        <w:sectPr>
          <w:pgSz w:w="11907" w:h="16839"/>
          <w:pgMar w:top="1431" w:right="1716" w:bottom="0" w:left="1785" w:header="0" w:footer="0" w:gutter="0"/>
        </w:sectPr>
        <w:rPr/>
      </w:pPr>
    </w:p>
    <w:p>
      <w:pPr>
        <w:pStyle w:val="BodyText"/>
        <w:ind w:left="27"/>
        <w:spacing w:before="87" w:line="219" w:lineRule="auto"/>
        <w:rPr/>
      </w:pPr>
      <w:r>
        <w:rPr>
          <w:spacing w:val="-2"/>
        </w:rPr>
        <w:t>转售合作应用，增加应用伙伴和开发者触达行业客户的机</w:t>
      </w:r>
      <w:r>
        <w:rPr>
          <w:spacing w:val="-3"/>
        </w:rPr>
        <w:t>会。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．树立为合作伙伴服务意识并贯彻执行</w:t>
      </w:r>
    </w:p>
    <w:p>
      <w:pPr>
        <w:pStyle w:val="BodyText"/>
        <w:ind w:left="27" w:right="83" w:firstLine="599"/>
        <w:spacing w:before="321" w:line="258" w:lineRule="auto"/>
        <w:jc w:val="both"/>
        <w:rPr/>
      </w:pPr>
      <w:r>
        <w:rPr>
          <w:spacing w:val="-4"/>
        </w:rPr>
        <w:t>增强服务意识，培养专业队伍，以高品质服务</w:t>
      </w:r>
      <w:r>
        <w:rPr>
          <w:spacing w:val="-5"/>
        </w:rPr>
        <w:t>提高天翼云在</w:t>
      </w:r>
      <w:r>
        <w:rPr>
          <w:spacing w:val="-4"/>
        </w:rPr>
        <w:t>合作伙伴心目中的“印象分”，助推合作关系</w:t>
      </w:r>
      <w:r>
        <w:rPr>
          <w:spacing w:val="-5"/>
        </w:rPr>
        <w:t>稳定向好。可依托</w:t>
      </w:r>
      <w:r>
        <w:rPr>
          <w:spacing w:val="3"/>
        </w:rPr>
        <w:t>云省分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云中台加强区域服务，为本地合作伙伴配备专职生态经</w:t>
      </w:r>
      <w:r>
        <w:rPr>
          <w:spacing w:val="-3"/>
        </w:rPr>
        <w:t>理，力求远程支撑及时准确、驻地支撑定期主动。</w:t>
      </w:r>
    </w:p>
    <w:p>
      <w:pPr>
        <w:pStyle w:val="BodyText"/>
        <w:ind w:left="624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．运用数字化手段强化云生态集约管理</w:t>
      </w:r>
    </w:p>
    <w:p>
      <w:pPr>
        <w:pStyle w:val="BodyText"/>
        <w:ind w:left="26" w:firstLine="599"/>
        <w:spacing w:before="320" w:line="259" w:lineRule="auto"/>
        <w:jc w:val="both"/>
        <w:rPr/>
      </w:pPr>
      <w:r>
        <w:rPr>
          <w:spacing w:val="-4"/>
        </w:rPr>
        <w:t>加快集团统一云生态管理平台建设，提升云生态全周</w:t>
      </w:r>
      <w:r>
        <w:rPr>
          <w:spacing w:val="-5"/>
        </w:rPr>
        <w:t>期管理</w:t>
      </w:r>
      <w:r>
        <w:rPr>
          <w:spacing w:val="-14"/>
        </w:rPr>
        <w:t>和效益分析水平。首先， 与商机系统、协议级系统等对接， 方便</w:t>
      </w:r>
      <w:r>
        <w:rPr>
          <w:spacing w:val="-4"/>
        </w:rPr>
        <w:t>集团云生态管控部门掌握全量涉云合作信息；其次，为合作伙伴</w:t>
      </w:r>
      <w:r>
        <w:rPr>
          <w:spacing w:val="-1"/>
        </w:rPr>
        <w:t>提供发声途径，提高生态推进与成效内容填报全面性与客观度；</w:t>
      </w:r>
    </w:p>
    <w:p>
      <w:pPr>
        <w:pStyle w:val="BodyText"/>
        <w:ind w:left="29" w:right="2" w:hanging="3"/>
        <w:spacing w:before="1" w:line="260" w:lineRule="auto"/>
        <w:rPr/>
      </w:pPr>
      <w:r>
        <w:rPr>
          <w:spacing w:val="-11"/>
        </w:rPr>
        <w:t>第三，建立合作伙伴评估与考核机制，向优秀</w:t>
      </w:r>
      <w:r>
        <w:rPr>
          <w:spacing w:val="-12"/>
        </w:rPr>
        <w:t>合作伙伴倾斜资源；</w:t>
      </w:r>
      <w:r>
        <w:rPr>
          <w:spacing w:val="-2"/>
        </w:rPr>
        <w:t>最后，宣传展示标杆案例，以他山之石促进合</w:t>
      </w:r>
      <w:r>
        <w:rPr>
          <w:spacing w:val="-3"/>
        </w:rPr>
        <w:t>作提量提质。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6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197891</wp:posOffset>
            </wp:positionH>
            <wp:positionV relativeFrom="paragraph">
              <wp:posOffset>209951</wp:posOffset>
            </wp:positionV>
            <wp:extent cx="769620" cy="226923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620" cy="22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52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魏玥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【18911561756】</w:t>
      </w:r>
    </w:p>
    <w:p>
      <w:pPr>
        <w:ind w:left="2152" w:right="381" w:firstLine="280"/>
        <w:spacing w:before="105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硕士，高级工程师，长期从事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6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产业研究，</w:t>
      </w:r>
      <w:r>
        <w:rPr>
          <w:rFonts w:ascii="KaiTi" w:hAnsi="KaiTi" w:eastAsia="KaiTi" w:cs="KaiTi"/>
          <w:sz w:val="28"/>
          <w:szCs w:val="28"/>
          <w:spacing w:val="-1"/>
        </w:rPr>
        <w:t>近年来专注云计算、人工智能、产业数字化等领</w:t>
      </w:r>
      <w:r>
        <w:rPr>
          <w:rFonts w:ascii="KaiTi" w:hAnsi="KaiTi" w:eastAsia="KaiTi" w:cs="KaiTi"/>
          <w:sz w:val="28"/>
          <w:szCs w:val="28"/>
          <w:spacing w:val="-12"/>
        </w:rPr>
        <w:t>域。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ind w:left="2173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陈琳娜</w:t>
      </w:r>
    </w:p>
    <w:p>
      <w:pPr>
        <w:ind w:left="2164" w:right="384" w:firstLine="269"/>
        <w:spacing w:before="11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二级分析师，长期从事通信行业研究，近年来</w:t>
      </w:r>
      <w:r>
        <w:rPr>
          <w:rFonts w:ascii="KaiTi" w:hAnsi="KaiTi" w:eastAsia="KaiTi" w:cs="KaiTi"/>
          <w:sz w:val="28"/>
          <w:szCs w:val="28"/>
          <w:spacing w:val="-5"/>
        </w:rPr>
        <w:t>专注产业数字化领域研究。</w:t>
      </w:r>
    </w:p>
    <w:p>
      <w:pPr>
        <w:spacing w:line="223" w:lineRule="auto"/>
        <w:sectPr>
          <w:pgSz w:w="11907" w:h="16839"/>
          <w:pgMar w:top="1431" w:right="1718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161"/>
        <w:spacing w:before="296" w:line="22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1336547</wp:posOffset>
            </wp:positionH>
            <wp:positionV relativeFrom="page">
              <wp:posOffset>993648</wp:posOffset>
            </wp:positionV>
            <wp:extent cx="761999" cy="10287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9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7"/>
        </w:rPr>
        <w:t>李思思</w:t>
      </w:r>
    </w:p>
    <w:p>
      <w:pPr>
        <w:ind w:left="2154" w:right="311" w:firstLine="278"/>
        <w:spacing w:before="113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硕士，经济师，聚焦于云计算市场及垂直行业</w:t>
      </w:r>
      <w:r>
        <w:rPr>
          <w:rFonts w:ascii="KaiTi" w:hAnsi="KaiTi" w:eastAsia="KaiTi" w:cs="KaiTi"/>
          <w:sz w:val="28"/>
          <w:szCs w:val="28"/>
          <w:spacing w:val="-1"/>
        </w:rPr>
        <w:t>洞察研究，长期跟踪国内外云相关领域发展、云</w:t>
      </w:r>
      <w:r>
        <w:rPr>
          <w:rFonts w:ascii="KaiTi" w:hAnsi="KaiTi" w:eastAsia="KaiTi" w:cs="KaiTi"/>
          <w:sz w:val="28"/>
          <w:szCs w:val="28"/>
          <w:spacing w:val="-1"/>
        </w:rPr>
        <w:t>技术、云商战略、行业用户需求等。</w:t>
      </w:r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208559</wp:posOffset>
            </wp:positionH>
            <wp:positionV relativeFrom="paragraph">
              <wp:posOffset>134849</wp:posOffset>
            </wp:positionV>
            <wp:extent cx="748284" cy="106527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8284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66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马睿文</w:t>
      </w:r>
    </w:p>
    <w:p>
      <w:pPr>
        <w:ind w:left="2147" w:right="311" w:firstLine="285"/>
        <w:spacing w:before="119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硕士，长期从事云计算、前端数字化转型等研</w:t>
      </w:r>
      <w:r>
        <w:rPr>
          <w:rFonts w:ascii="KaiTi" w:hAnsi="KaiTi" w:eastAsia="KaiTi" w:cs="KaiTi"/>
          <w:sz w:val="28"/>
          <w:szCs w:val="28"/>
          <w:spacing w:val="-1"/>
        </w:rPr>
        <w:t>究领域。近年专注于研究产业数字化转型、数字</w:t>
      </w:r>
      <w:r>
        <w:rPr>
          <w:rFonts w:ascii="KaiTi" w:hAnsi="KaiTi" w:eastAsia="KaiTi" w:cs="KaiTi"/>
          <w:sz w:val="28"/>
          <w:szCs w:val="28"/>
          <w:spacing w:val="-1"/>
        </w:rPr>
        <w:t>化平台能力落地方案实施等。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2023-09-20T10:19:02Z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2025-11-04T15:54:26</vt:filetime>
  </property>
</Properties>
</file>