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A9EFD">
      <w:pPr>
        <w:jc w:val="center"/>
        <w:rPr>
          <w:rFonts w:ascii="Times New Roman" w:hAnsi="Times New Roman" w:eastAsia="方正仿宋_GB2312"/>
          <w:b/>
          <w:bCs/>
          <w:sz w:val="30"/>
          <w:szCs w:val="30"/>
          <w14:ligatures w14:val="standardContextual"/>
        </w:rPr>
      </w:pPr>
      <w:r>
        <w:rPr>
          <w:rFonts w:hint="eastAsia" w:ascii="Times New Roman" w:hAnsi="Times New Roman" w:eastAsia="黑体"/>
          <w:sz w:val="30"/>
          <w:szCs w:val="30"/>
        </w:rPr>
        <w:t>关注出境用户通信需求，布局国际流量市场</w:t>
      </w:r>
    </w:p>
    <w:p w14:paraId="6B6A7B4D">
      <w:pPr>
        <w:ind w:firstLine="600" w:firstLineChars="200"/>
        <w:rPr>
          <w:rFonts w:hint="eastAsia" w:ascii="Times New Roman" w:hAnsi="Times New Roman" w:eastAsia="方正仿宋_GB2312"/>
          <w:sz w:val="30"/>
          <w:szCs w:val="30"/>
        </w:rPr>
      </w:pPr>
      <w:r>
        <w:rPr>
          <w:rFonts w:hint="eastAsia" w:ascii="Times New Roman" w:hAnsi="Times New Roman" w:eastAsia="方正仿宋_GB2312"/>
          <w:sz w:val="30"/>
          <w:szCs w:val="30"/>
        </w:rPr>
        <w:t>2024年我国公民出境旅游市场达到1.46亿人次，预计2025年将全面恢复甚至可能超越疫情前水平。当前出境旅游客户以中青年为主体，自由行占比接近80%，对于国际移动流量需求明显，预计市场年通信规模接近百亿元</w:t>
      </w:r>
      <w:r>
        <w:rPr>
          <w:rStyle w:val="14"/>
          <w:rFonts w:hint="eastAsia" w:ascii="Times New Roman" w:hAnsi="Times New Roman" w:eastAsia="方正仿宋_GB2312"/>
          <w:sz w:val="30"/>
          <w:szCs w:val="30"/>
        </w:rPr>
        <w:footnoteReference w:id="0"/>
      </w:r>
      <w:r>
        <w:rPr>
          <w:rFonts w:hint="eastAsia" w:ascii="Times New Roman" w:hAnsi="Times New Roman" w:eastAsia="方正仿宋_GB2312"/>
          <w:sz w:val="30"/>
          <w:szCs w:val="30"/>
        </w:rPr>
        <w:t>。该市场基本由虚拟运营商、旅行代理等企业瓜分，友商中移动已推出国漫产品精准匹配用户需求，虚拟运营商正在构建“通信+消费”闭环生态，中电信应借助出海契机，发挥国际公司基础业务运营能力，内外协同创新国际流量产品和服务模式，满足出境通信市场需求变化。</w:t>
      </w:r>
    </w:p>
    <w:p w14:paraId="6B3FDEF6">
      <w:pPr>
        <w:ind w:firstLine="600" w:firstLineChars="200"/>
        <w:rPr>
          <w:rFonts w:hint="eastAsia" w:ascii="Times New Roman" w:hAnsi="Times New Roman" w:eastAsia="方正仿宋_GB2312"/>
          <w:sz w:val="30"/>
          <w:szCs w:val="30"/>
        </w:rPr>
      </w:pPr>
    </w:p>
    <w:p w14:paraId="45A63756">
      <w:pPr>
        <w:ind w:firstLine="0" w:firstLineChars="0"/>
        <w:outlineLvl w:val="0"/>
        <w:rPr>
          <w:rFonts w:ascii="Times New Roman" w:hAnsi="Times New Roman" w:eastAsia="黑体"/>
          <w:sz w:val="30"/>
          <w:szCs w:val="30"/>
        </w:rPr>
      </w:pPr>
      <w:r>
        <w:rPr>
          <w:rFonts w:hint="eastAsia" w:ascii="Times New Roman" w:hAnsi="Times New Roman" w:eastAsia="黑体"/>
          <w:sz w:val="30"/>
          <w:szCs w:val="30"/>
        </w:rPr>
        <w:t>一、短期出境市场规模大，高质量通信体验需求明显</w:t>
      </w:r>
    </w:p>
    <w:p w14:paraId="14A5C3FF">
      <w:pPr>
        <w:ind w:firstLine="600" w:firstLineChars="200"/>
        <w:rPr>
          <w:rFonts w:ascii="Times New Roman" w:hAnsi="Times New Roman" w:eastAsia="方正仿宋_GB2312"/>
          <w:sz w:val="30"/>
          <w:szCs w:val="30"/>
        </w:rPr>
      </w:pPr>
      <w:r>
        <w:rPr>
          <w:rFonts w:hint="eastAsia" w:ascii="Times New Roman" w:hAnsi="Times New Roman" w:eastAsia="方正楷体_GBK"/>
          <w:sz w:val="30"/>
          <w:szCs w:val="30"/>
        </w:rPr>
        <w:t>（一）短期出境人次规模复苏强劲，自由行比例提升。</w:t>
      </w:r>
      <w:r>
        <w:rPr>
          <w:rFonts w:hint="eastAsia" w:ascii="Times New Roman" w:hAnsi="Times New Roman" w:eastAsia="方正仿宋_GB2312"/>
          <w:sz w:val="30"/>
          <w:szCs w:val="30"/>
        </w:rPr>
        <w:t>2024年我国居民出境人数为1.46亿人次，接近2019年出境人数1.55亿水平，已恢复到2019年的94%水平。分析出境人群特点，一是出行目的变化明显。据国家统计局数据，从2005年至今，以探亲、旅游等为代表的因私出境占比从81%上升到96%。二是出行方式变化明显。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《2024中国出境游白皮书》</w:t>
      </w:r>
      <w:r>
        <w:rPr>
          <w:rStyle w:val="14"/>
          <w:rFonts w:hint="eastAsia" w:ascii="Times New Roman" w:hAnsi="Times New Roman" w:eastAsia="方正仿宋_GB2312"/>
          <w:sz w:val="30"/>
          <w:szCs w:val="30"/>
          <w14:ligatures w14:val="standardContextual"/>
        </w:rPr>
        <w:footnoteReference w:id="1"/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显示，</w:t>
      </w:r>
      <w:r>
        <w:rPr>
          <w:rFonts w:ascii="Times New Roman" w:hAnsi="Times New Roman" w:eastAsia="方正仿宋_GB2312"/>
          <w:sz w:val="30"/>
          <w:szCs w:val="30"/>
          <w14:ligatures w14:val="standardContextual"/>
        </w:rPr>
        <w:t>18-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30</w:t>
      </w:r>
      <w:r>
        <w:rPr>
          <w:rFonts w:ascii="Times New Roman" w:hAnsi="Times New Roman" w:eastAsia="方正仿宋_GB2312"/>
          <w:sz w:val="30"/>
          <w:szCs w:val="30"/>
          <w14:ligatures w14:val="standardContextual"/>
        </w:rPr>
        <w:t>岁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中青年人占出境用户占比为69.7</w:t>
      </w:r>
      <w:r>
        <w:rPr>
          <w:rFonts w:ascii="Times New Roman" w:hAnsi="Times New Roman" w:eastAsia="方正仿宋_GB2312"/>
          <w:sz w:val="30"/>
          <w:szCs w:val="30"/>
          <w14:ligatures w14:val="standardContextual"/>
        </w:rPr>
        <w:t>%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，</w:t>
      </w:r>
      <w:r>
        <w:rPr>
          <w:rFonts w:hint="eastAsia" w:ascii="Times New Roman" w:hAnsi="Times New Roman" w:eastAsia="方正仿宋_GB2312"/>
          <w:sz w:val="30"/>
          <w:szCs w:val="30"/>
        </w:rPr>
        <w:t>自由行是主流方式。以2024年飞猪平台为例，自由行订单量达团游六倍以上，并呈现近程高热度特点，港澳、东南亚、东北亚（日韩）占比分别达到30%、14.7%、10.6%</w:t>
      </w:r>
      <w:r>
        <w:rPr>
          <w:rStyle w:val="14"/>
          <w:rFonts w:hint="eastAsia" w:ascii="Times New Roman" w:hAnsi="Times New Roman" w:eastAsia="方正仿宋_GB2312"/>
          <w:sz w:val="30"/>
          <w:szCs w:val="30"/>
        </w:rPr>
        <w:footnoteReference w:id="2"/>
      </w:r>
      <w:r>
        <w:rPr>
          <w:rFonts w:hint="eastAsia" w:ascii="Times New Roman" w:hAnsi="Times New Roman" w:eastAsia="方正仿宋_GB2312"/>
          <w:sz w:val="30"/>
          <w:szCs w:val="30"/>
        </w:rPr>
        <w:t>。</w:t>
      </w:r>
    </w:p>
    <w:p w14:paraId="76EF0C3F">
      <w:pPr>
        <w:spacing w:line="360" w:lineRule="auto"/>
        <w:jc w:val="center"/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drawing>
          <wp:inline distT="0" distB="0" distL="0" distR="0">
            <wp:extent cx="5290185" cy="2296160"/>
            <wp:effectExtent l="5080" t="4445" r="13335" b="10795"/>
            <wp:docPr id="1033037857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6652A99">
      <w:pPr>
        <w:jc w:val="center"/>
        <w:rPr>
          <w:rFonts w:ascii="Times New Roman" w:hAnsi="Times New Roman" w:eastAsia="方正楷体_GBK"/>
          <w:sz w:val="30"/>
          <w:szCs w:val="30"/>
        </w:rPr>
      </w:pPr>
      <w:r>
        <w:rPr>
          <w:rFonts w:hint="eastAsia" w:ascii="Times New Roman" w:hAnsi="Times New Roman" w:eastAsia="方正仿宋_GB2312"/>
          <w:sz w:val="30"/>
          <w:szCs w:val="30"/>
        </w:rPr>
        <w:t>图1 2005-2024年国内居民出境人次（万）</w:t>
      </w:r>
    </w:p>
    <w:p w14:paraId="63A2DB7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outlineLvl w:val="9"/>
        <w:rPr>
          <w:rFonts w:hint="eastAsia" w:ascii="Times New Roman" w:hAnsi="Times New Roman" w:eastAsia="方正仿宋_GB2312"/>
          <w:sz w:val="30"/>
          <w:szCs w:val="30"/>
        </w:rPr>
      </w:pPr>
      <w:r>
        <w:rPr>
          <w:rFonts w:hint="eastAsia" w:ascii="Times New Roman" w:hAnsi="Times New Roman" w:eastAsia="方正楷体_GBK" w:cstheme="minorBidi"/>
          <w:b w:val="0"/>
          <w:bCs w:val="0"/>
          <w:sz w:val="30"/>
          <w:szCs w:val="30"/>
          <w:lang w:eastAsia="zh-CN"/>
        </w:rPr>
        <w:t>（</w:t>
      </w:r>
      <w:r>
        <w:rPr>
          <w:rFonts w:hint="eastAsia" w:ascii="Times New Roman" w:hAnsi="Times New Roman" w:eastAsia="方正楷体_GBK" w:cstheme="minorBidi"/>
          <w:b w:val="0"/>
          <w:bCs w:val="0"/>
          <w:sz w:val="30"/>
          <w:szCs w:val="30"/>
          <w:lang w:val="en-US" w:eastAsia="zh-CN"/>
        </w:rPr>
        <w:t>二</w:t>
      </w:r>
      <w:r>
        <w:rPr>
          <w:rFonts w:hint="eastAsia" w:ascii="Times New Roman" w:hAnsi="Times New Roman" w:eastAsia="方正楷体_GBK" w:cstheme="minorBidi"/>
          <w:b w:val="0"/>
          <w:bCs w:val="0"/>
          <w:sz w:val="30"/>
          <w:szCs w:val="30"/>
          <w:lang w:eastAsia="zh-CN"/>
        </w:rPr>
        <w:t>）</w:t>
      </w:r>
      <w:r>
        <w:rPr>
          <w:rFonts w:hint="eastAsia" w:ascii="Times New Roman" w:hAnsi="Times New Roman" w:eastAsia="方正楷体_GBK" w:cstheme="minorBidi"/>
          <w:b w:val="0"/>
          <w:bCs w:val="0"/>
          <w:sz w:val="30"/>
          <w:szCs w:val="30"/>
        </w:rPr>
        <w:t>高</w:t>
      </w:r>
      <w:r>
        <w:rPr>
          <w:rFonts w:hint="eastAsia" w:ascii="Times New Roman" w:hAnsi="Times New Roman" w:eastAsia="方正楷体_GBK"/>
          <w:sz w:val="30"/>
          <w:szCs w:val="30"/>
        </w:rPr>
        <w:t>性价比</w:t>
      </w:r>
      <w:r>
        <w:rPr>
          <w:rFonts w:hint="eastAsia" w:ascii="Times New Roman" w:hAnsi="Times New Roman" w:eastAsia="方正楷体_GBK" w:cstheme="minorBidi"/>
          <w:b w:val="0"/>
          <w:bCs w:val="0"/>
          <w:sz w:val="30"/>
          <w:szCs w:val="30"/>
        </w:rPr>
        <w:t>国际</w:t>
      </w:r>
      <w:r>
        <w:rPr>
          <w:rFonts w:hint="eastAsia" w:ascii="Times New Roman" w:hAnsi="Times New Roman" w:eastAsia="方正楷体_GBK"/>
          <w:sz w:val="30"/>
          <w:szCs w:val="30"/>
        </w:rPr>
        <w:t>上网体验</w:t>
      </w:r>
      <w:r>
        <w:rPr>
          <w:rFonts w:hint="eastAsia" w:ascii="Times New Roman" w:hAnsi="Times New Roman" w:eastAsia="方正楷体_GBK" w:cstheme="minorBidi"/>
          <w:b w:val="0"/>
          <w:bCs w:val="0"/>
          <w:sz w:val="30"/>
          <w:szCs w:val="30"/>
        </w:rPr>
        <w:t>成为</w:t>
      </w:r>
      <w:r>
        <w:rPr>
          <w:rFonts w:hint="eastAsia" w:ascii="Times New Roman" w:hAnsi="Times New Roman" w:eastAsia="方正楷体_GBK"/>
          <w:sz w:val="30"/>
          <w:szCs w:val="30"/>
        </w:rPr>
        <w:t>主要</w:t>
      </w:r>
      <w:r>
        <w:rPr>
          <w:rFonts w:hint="eastAsia" w:ascii="Times New Roman" w:hAnsi="Times New Roman" w:eastAsia="方正楷体_GBK" w:cstheme="minorBidi"/>
          <w:b w:val="0"/>
          <w:bCs w:val="0"/>
          <w:sz w:val="30"/>
          <w:szCs w:val="30"/>
        </w:rPr>
        <w:t>需求。</w:t>
      </w:r>
      <w:r>
        <w:rPr>
          <w:rFonts w:hint="eastAsia" w:ascii="Times New Roman" w:hAnsi="Times New Roman" w:eastAsia="方正仿宋_GB2312"/>
          <w:sz w:val="30"/>
          <w:szCs w:val="30"/>
        </w:rPr>
        <w:t>一是移动上网需求明显增强。据统计，出境自由行人群语音支出占比从40%降至25%，流量支出占比从45%升至60%，其中纯流量支出占比80%以上。二是高性价比当地流量卡成为主流。中青年出境主力在交通、社交分享、导航、视频通话等场景对网络速度、稳定性和延迟的要求显著提升，使用国际漫游业务尽管资费呈下降趋势，仍存在费用较高问题，同时谷歌地图等自由行必备软件国漫无法使用，用户更倾向选择购买当地流量卡以实现更经济、便捷的上网体验。三是线上成为购买流量卡的主要渠道。目前主要由电商和在线旅游平台提供多种流量卡产品，是出境用户购买国际流量产品的主要渠道，用户根据需求选择套餐，通过在线获取产品详细信息和服务，但在服务上存在良莠不齐等不确定因素。</w:t>
      </w:r>
    </w:p>
    <w:p w14:paraId="2E6B4C75">
      <w:pPr>
        <w:numPr>
          <w:ilvl w:val="0"/>
          <w:numId w:val="0"/>
        </w:numPr>
        <w:outlineLvl w:val="9"/>
        <w:rPr>
          <w:rFonts w:hint="eastAsia" w:ascii="Times New Roman" w:hAnsi="Times New Roman" w:eastAsia="方正仿宋_GB2312"/>
          <w:sz w:val="30"/>
          <w:szCs w:val="30"/>
        </w:rPr>
      </w:pPr>
    </w:p>
    <w:p w14:paraId="69B42993">
      <w:pPr>
        <w:ind w:firstLine="0" w:firstLineChars="0"/>
        <w:outlineLvl w:val="0"/>
        <w:rPr>
          <w:rFonts w:ascii="Times New Roman" w:hAnsi="Times New Roman" w:eastAsia="黑体"/>
          <w:sz w:val="30"/>
          <w:szCs w:val="30"/>
        </w:rPr>
      </w:pPr>
      <w:r>
        <w:rPr>
          <w:rFonts w:hint="eastAsia" w:ascii="Times New Roman" w:hAnsi="Times New Roman" w:eastAsia="黑体"/>
          <w:sz w:val="30"/>
          <w:szCs w:val="30"/>
        </w:rPr>
        <w:t>二、问题与挑战</w:t>
      </w:r>
    </w:p>
    <w:p w14:paraId="3FABE483">
      <w:pPr>
        <w:ind w:firstLine="600" w:firstLineChars="200"/>
        <w:rPr>
          <w:rFonts w:ascii="Times New Roman" w:hAnsi="Times New Roman" w:eastAsia="方正仿宋_GB2312"/>
          <w:sz w:val="30"/>
          <w:szCs w:val="30"/>
          <w14:ligatures w14:val="standardContextual"/>
        </w:rPr>
      </w:pPr>
      <w:r>
        <w:rPr>
          <w:rFonts w:hint="eastAsia" w:ascii="方正楷体_GBK" w:hAnsi="方正楷体_GBK" w:eastAsia="方正楷体_GBK" w:cs="方正楷体_GBK"/>
          <w:b w:val="0"/>
          <w:bCs w:val="0"/>
          <w:sz w:val="30"/>
          <w:szCs w:val="30"/>
          <w14:ligatures w14:val="standardContextual"/>
        </w:rPr>
        <w:t>（一）中电信国漫产品与用户需求存在差距。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一是国漫资费偏高。以日本为例，流量套餐价格劣势明显。电信7日流量包169元含7GB高速流量，中</w:t>
      </w:r>
      <w:r>
        <w:rPr>
          <w:rFonts w:ascii="Times New Roman" w:hAnsi="Times New Roman" w:eastAsia="方正仿宋_GB2312"/>
          <w:sz w:val="30"/>
          <w:szCs w:val="30"/>
          <w14:ligatures w14:val="standardContextual"/>
        </w:rPr>
        <w:t>移动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7日7GB流量+30分钟通话套餐仅39.99元，虚拟运营商亿点通信7日7GB套餐低至28.8元。同时标准资费与友商相比差距同样明显</w:t>
      </w:r>
      <w:r>
        <w:rPr>
          <w:rStyle w:val="14"/>
          <w:rFonts w:hint="eastAsia" w:ascii="Times New Roman" w:hAnsi="Times New Roman" w:eastAsia="方正仿宋_GB2312"/>
          <w:sz w:val="30"/>
          <w:szCs w:val="30"/>
          <w14:ligatures w14:val="standardContextual"/>
        </w:rPr>
        <w:footnoteReference w:id="3"/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，</w:t>
      </w:r>
      <w:r>
        <w:rPr>
          <w:rFonts w:hint="eastAsia" w:ascii="Times New Roman" w:hAnsi="Times New Roman" w:eastAsia="方正仿宋_GB2312"/>
          <w:sz w:val="30"/>
          <w:szCs w:val="30"/>
          <w:lang w:val="en-US" w:eastAsia="zh-CN"/>
          <w14:ligatures w14:val="standardContextual"/>
        </w:rPr>
        <w:t>以日本为例，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电信25元日封顶含2GB高速流量，单价12.5元/GB，中移动30元日封顶含3GB流量，单价仅10元/GB。二是国漫产品套餐设计未与时俱进。100M/300M仍作为主推流量产品之一，与文旅部数据显示2023年出境游客日均1.5GB使用量存在代际差距。此外产品形态固化，以标准化套餐为主，无法匹配用户“轻量化、场景化”需求。如仅提供多国多天流量包99元4日和169元7日两种规格，用户选择余地有限且与标准套餐区隔不明显。三是国漫</w:t>
      </w:r>
      <w:r>
        <w:rPr>
          <w:rFonts w:ascii="Times New Roman" w:hAnsi="Times New Roman" w:eastAsia="方正仿宋_GB2312"/>
          <w:sz w:val="30"/>
          <w:szCs w:val="30"/>
          <w14:ligatures w14:val="standardContextual"/>
        </w:rPr>
        <w:t>宣传触点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与用户习惯脱节。目前过度依赖传统线上线下营业厅，与目标用户偏好</w:t>
      </w:r>
      <w:r>
        <w:rPr>
          <w:rFonts w:ascii="Times New Roman" w:hAnsi="Times New Roman" w:eastAsia="方正仿宋_GB2312"/>
          <w:sz w:val="30"/>
          <w:szCs w:val="30"/>
          <w14:ligatures w14:val="standardContextual"/>
        </w:rPr>
        <w:t>小红书、抖音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、携程等渠道严重错位。如小红书</w:t>
      </w:r>
      <w:r>
        <w:rPr>
          <w:rFonts w:ascii="Times New Roman" w:hAnsi="Times New Roman" w:eastAsia="方正仿宋_GB2312"/>
          <w:sz w:val="30"/>
          <w:szCs w:val="30"/>
          <w14:ligatures w14:val="standardContextual"/>
        </w:rPr>
        <w:t>关于国漫的攻略中，电信产品提及率远低于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中移动，后者凭借软文嵌入流量包购买链接，实现高频曝光</w:t>
      </w:r>
      <w:r>
        <w:rPr>
          <w:rStyle w:val="14"/>
          <w:rFonts w:ascii="Times New Roman" w:hAnsi="Times New Roman" w:eastAsia="方正仿宋_GB2312"/>
          <w:sz w:val="30"/>
          <w:szCs w:val="30"/>
          <w14:ligatures w14:val="standardContextual"/>
        </w:rPr>
        <w:footnoteReference w:id="4"/>
      </w:r>
      <w:r>
        <w:rPr>
          <w:rFonts w:ascii="Times New Roman" w:hAnsi="Times New Roman" w:eastAsia="方正仿宋_GB2312"/>
          <w:sz w:val="30"/>
          <w:szCs w:val="30"/>
          <w14:ligatures w14:val="standardContextual"/>
        </w:rPr>
        <w:t>。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此外，电信境外卡（CTExcel）仅在欧洲服务号或小程序销售，单一渠道难以触达核心客群。</w:t>
      </w:r>
    </w:p>
    <w:p w14:paraId="48F11CBA">
      <w:pPr>
        <w:spacing w:line="240" w:lineRule="atLeast"/>
        <w:ind w:firstLine="600" w:firstLineChars="200"/>
        <w:jc w:val="center"/>
        <w:rPr>
          <w:rFonts w:ascii="Times New Roman" w:hAnsi="Times New Roman" w:eastAsia="方正仿宋_GB2312"/>
          <w:sz w:val="30"/>
          <w:szCs w:val="30"/>
          <w14:ligatures w14:val="standardContextual"/>
        </w:rPr>
      </w:pP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表1 运营商及虚拟运营商的资费对比情况</w:t>
      </w:r>
    </w:p>
    <w:tbl>
      <w:tblPr>
        <w:tblStyle w:val="9"/>
        <w:tblW w:w="845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1799"/>
        <w:gridCol w:w="1300"/>
        <w:gridCol w:w="1419"/>
        <w:gridCol w:w="1604"/>
        <w:gridCol w:w="1305"/>
      </w:tblGrid>
      <w:tr w14:paraId="0F423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1032" w:type="dxa"/>
            <w:tcBorders>
              <w:top w:val="single" w:color="auto" w:sz="6" w:space="0"/>
              <w:left w:val="single" w:color="auto" w:sz="6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 w14:paraId="09D20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1799" w:type="dxa"/>
            <w:tcBorders>
              <w:top w:val="single" w:color="auto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7CD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地区/国家</w:t>
            </w:r>
          </w:p>
        </w:tc>
        <w:tc>
          <w:tcPr>
            <w:tcW w:w="1300" w:type="dxa"/>
            <w:tcBorders>
              <w:top w:val="single" w:color="auto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829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中国电信</w:t>
            </w:r>
          </w:p>
        </w:tc>
        <w:tc>
          <w:tcPr>
            <w:tcW w:w="1419" w:type="dxa"/>
            <w:tcBorders>
              <w:top w:val="single" w:color="auto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D21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中国移动</w:t>
            </w:r>
          </w:p>
        </w:tc>
        <w:tc>
          <w:tcPr>
            <w:tcW w:w="1604" w:type="dxa"/>
            <w:tcBorders>
              <w:top w:val="single" w:color="auto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CE1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中国移动国际公司（境外卡CMLink）</w:t>
            </w:r>
          </w:p>
        </w:tc>
        <w:tc>
          <w:tcPr>
            <w:tcW w:w="1305" w:type="dxa"/>
            <w:tcBorders>
              <w:top w:val="single" w:color="auto" w:sz="6" w:space="0"/>
              <w:left w:val="single" w:color="000000" w:sz="4" w:space="0"/>
              <w:bottom w:val="single" w:color="000000" w:sz="4" w:space="0"/>
              <w:right w:val="single" w:color="auto" w:sz="6" w:space="0"/>
            </w:tcBorders>
            <w:shd w:val="clear" w:color="auto" w:fill="FFFFFF"/>
            <w:vAlign w:val="center"/>
          </w:tcPr>
          <w:p w14:paraId="36F67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虚拟运营商（亿点）</w:t>
            </w:r>
          </w:p>
        </w:tc>
      </w:tr>
      <w:tr w14:paraId="0743C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32" w:type="dxa"/>
            <w:vMerge w:val="restart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35B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标准资费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813D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港澳台（香港）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A68F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12.5元/GB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2694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5元/GB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FCEA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6" w:space="0"/>
            </w:tcBorders>
            <w:shd w:val="clear" w:color="auto" w:fill="FFFFFF"/>
            <w:vAlign w:val="center"/>
          </w:tcPr>
          <w:p w14:paraId="1AC37E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</w:tr>
      <w:tr w14:paraId="1BDBF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32" w:type="dxa"/>
            <w:vMerge w:val="continue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DDCCB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2DF6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亚洲（日本）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5779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12.5元/GB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1690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10元/GB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5B6B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6" w:space="0"/>
            </w:tcBorders>
            <w:shd w:val="clear" w:color="auto" w:fill="FFFFFF"/>
            <w:vAlign w:val="center"/>
          </w:tcPr>
          <w:p w14:paraId="6EAC41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</w:tr>
      <w:tr w14:paraId="21859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32" w:type="dxa"/>
            <w:vMerge w:val="continue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DFDEC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FC40A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欧洲（英国）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139A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25元/GB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CE39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15元/GB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2BE6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6" w:space="0"/>
            </w:tcBorders>
            <w:shd w:val="clear" w:color="auto" w:fill="FFFFFF"/>
            <w:vAlign w:val="center"/>
          </w:tcPr>
          <w:p w14:paraId="3572DC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</w:tr>
      <w:tr w14:paraId="6B683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32" w:type="dxa"/>
            <w:vMerge w:val="continue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072F3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AF298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大洋洲</w:t>
            </w:r>
          </w:p>
          <w:p w14:paraId="6747A2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（澳大利亚）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546E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25元/GB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ADD3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10元/GB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8384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6" w:space="0"/>
            </w:tcBorders>
            <w:shd w:val="clear" w:color="auto" w:fill="FFFFFF"/>
            <w:vAlign w:val="center"/>
          </w:tcPr>
          <w:p w14:paraId="7A41D0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</w:tr>
      <w:tr w14:paraId="36B2D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32" w:type="dxa"/>
            <w:vMerge w:val="continue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1357B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18FD3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美洲（美国）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2BDF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12.5元/GB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D85D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10元/GB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C183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6" w:space="0"/>
            </w:tcBorders>
            <w:shd w:val="clear" w:color="auto" w:fill="FFFFFF"/>
            <w:vAlign w:val="center"/>
          </w:tcPr>
          <w:p w14:paraId="6958BD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</w:tr>
      <w:tr w14:paraId="3B920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32" w:type="dxa"/>
            <w:vMerge w:val="restart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9E5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流量产品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（7日）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4449B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港澳台（台湾）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35B37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148元/7GB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E1B3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39.99元/7GB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00FEB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（港澳）17.6元/7GB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6" w:space="0"/>
            </w:tcBorders>
            <w:shd w:val="clear" w:color="auto" w:fill="FFFFFF"/>
            <w:noWrap/>
            <w:vAlign w:val="center"/>
          </w:tcPr>
          <w:p w14:paraId="3AA623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24元/7GB</w:t>
            </w:r>
          </w:p>
        </w:tc>
      </w:tr>
      <w:tr w14:paraId="7C652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32" w:type="dxa"/>
            <w:vMerge w:val="continue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D708E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E8272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亚洲（日本）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4468F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169元/7GB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70F7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39.99元/7GB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8523E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30.68元/7GB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6" w:space="0"/>
            </w:tcBorders>
            <w:shd w:val="clear" w:color="auto" w:fill="FFFFFF"/>
            <w:noWrap/>
            <w:vAlign w:val="center"/>
          </w:tcPr>
          <w:p w14:paraId="73AC75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28.8元/7GB</w:t>
            </w:r>
          </w:p>
        </w:tc>
      </w:tr>
      <w:tr w14:paraId="33009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32" w:type="dxa"/>
            <w:vMerge w:val="continue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90994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0CDCC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欧洲（英国）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82070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169元/7GB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4078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48.99元/7GB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820EC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39.2元/7GB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6" w:space="0"/>
            </w:tcBorders>
            <w:shd w:val="clear" w:color="auto" w:fill="FFFFFF"/>
            <w:noWrap/>
            <w:vAlign w:val="center"/>
          </w:tcPr>
          <w:p w14:paraId="766247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27.9元/7GB</w:t>
            </w:r>
          </w:p>
        </w:tc>
      </w:tr>
      <w:tr w14:paraId="31F98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32" w:type="dxa"/>
            <w:vMerge w:val="continue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91F54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93AFF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大洋洲</w:t>
            </w:r>
          </w:p>
          <w:p w14:paraId="318DAB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（澳大利亚）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5332A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169元/7GB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720B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48.99元/7GB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1B148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59.6元/7GB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6" w:space="0"/>
            </w:tcBorders>
            <w:shd w:val="clear" w:color="auto" w:fill="FFFFFF"/>
            <w:noWrap/>
            <w:vAlign w:val="center"/>
          </w:tcPr>
          <w:p w14:paraId="397374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57.5元/7GB</w:t>
            </w:r>
          </w:p>
        </w:tc>
      </w:tr>
      <w:tr w14:paraId="2D86A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32" w:type="dxa"/>
            <w:vMerge w:val="continue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7354E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51FF7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美洲（美国）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813EA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169元/7GB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7A14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48.99元/7GB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D9FC3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56.2元/7GB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6" w:space="0"/>
            </w:tcBorders>
            <w:shd w:val="clear" w:color="auto" w:fill="FFFFFF"/>
            <w:noWrap/>
            <w:vAlign w:val="center"/>
          </w:tcPr>
          <w:p w14:paraId="698CAB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52元/7GB</w:t>
            </w:r>
          </w:p>
        </w:tc>
      </w:tr>
      <w:tr w14:paraId="729FD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1032" w:type="dxa"/>
            <w:vMerge w:val="restart"/>
            <w:tcBorders>
              <w:top w:val="single" w:color="000000" w:sz="4" w:space="0"/>
              <w:left w:val="single" w:color="auto" w:sz="6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AA9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流量产品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（月包）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D2F4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国际/港澳台漫游流量月包（100M）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E00E2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10元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5203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0D18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6" w:space="0"/>
            </w:tcBorders>
            <w:shd w:val="clear" w:color="auto" w:fill="FFFFFF"/>
            <w:vAlign w:val="center"/>
          </w:tcPr>
          <w:p w14:paraId="17C67F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</w:tr>
      <w:tr w14:paraId="75DEA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1032" w:type="dxa"/>
            <w:vMerge w:val="continue"/>
            <w:tcBorders>
              <w:top w:val="single" w:color="000000" w:sz="4" w:space="0"/>
              <w:left w:val="single" w:color="auto" w:sz="6" w:space="0"/>
              <w:bottom w:val="single" w:color="auto" w:sz="6" w:space="0"/>
              <w:right w:val="single" w:color="000000" w:sz="4" w:space="0"/>
            </w:tcBorders>
            <w:shd w:val="clear" w:color="auto" w:fill="FFFFFF"/>
            <w:vAlign w:val="center"/>
          </w:tcPr>
          <w:p w14:paraId="699DB77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auto" w:sz="6" w:space="0"/>
              <w:right w:val="single" w:color="000000" w:sz="4" w:space="0"/>
            </w:tcBorders>
            <w:shd w:val="clear" w:color="auto" w:fill="FFFFFF"/>
            <w:vAlign w:val="center"/>
          </w:tcPr>
          <w:p w14:paraId="3D9276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国际/港澳台漫游流量月包（300M）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auto" w:sz="6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664A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20元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auto" w:sz="6" w:space="0"/>
              <w:right w:val="single" w:color="000000" w:sz="4" w:space="0"/>
            </w:tcBorders>
            <w:shd w:val="clear" w:color="auto" w:fill="FFFFFF"/>
            <w:vAlign w:val="center"/>
          </w:tcPr>
          <w:p w14:paraId="52E554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auto" w:sz="6" w:space="0"/>
              <w:right w:val="single" w:color="000000" w:sz="4" w:space="0"/>
            </w:tcBorders>
            <w:shd w:val="clear" w:color="auto" w:fill="FFFFFF"/>
            <w:vAlign w:val="center"/>
          </w:tcPr>
          <w:p w14:paraId="7AB9BC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286F23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</w:tr>
    </w:tbl>
    <w:p w14:paraId="543E831D">
      <w:pPr>
        <w:numPr>
          <w:ilvl w:val="0"/>
          <w:numId w:val="1"/>
        </w:numPr>
        <w:ind w:firstLine="600" w:firstLineChars="200"/>
        <w:rPr>
          <w:rFonts w:ascii="Times New Roman" w:hAnsi="Times New Roman" w:eastAsia="方正仿宋_GB2312"/>
          <w:sz w:val="30"/>
          <w:szCs w:val="30"/>
          <w14:ligatures w14:val="standardContextual"/>
        </w:rPr>
      </w:pPr>
      <w:bookmarkStart w:id="0" w:name="_GoBack"/>
      <w:bookmarkEnd w:id="0"/>
      <w:r>
        <w:rPr>
          <w:rFonts w:ascii="方正楷体_GBK" w:hAnsi="方正楷体_GBK" w:eastAsia="方正楷体_GBK" w:cs="方正楷体_GBK"/>
          <w:b w:val="0"/>
          <w:bCs w:val="0"/>
          <w:sz w:val="30"/>
          <w:szCs w:val="30"/>
          <w14:ligatures w14:val="standardContextual"/>
        </w:rPr>
        <w:t>中移动</w:t>
      </w:r>
      <w:r>
        <w:rPr>
          <w:rFonts w:hint="eastAsia" w:ascii="方正楷体_GBK" w:hAnsi="方正楷体_GBK" w:eastAsia="方正楷体_GBK" w:cs="方正楷体_GBK"/>
          <w:b w:val="0"/>
          <w:bCs w:val="0"/>
          <w:sz w:val="30"/>
          <w:szCs w:val="30"/>
          <w14:ligatures w14:val="standardContextual"/>
        </w:rPr>
        <w:t>国漫产品实现精准匹配用户需求。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一是高性价比套餐构筑竞争壁垒。</w:t>
      </w:r>
      <w:r>
        <w:rPr>
          <w:rFonts w:ascii="Times New Roman" w:hAnsi="Times New Roman" w:eastAsia="方正仿宋_GB2312"/>
          <w:sz w:val="30"/>
          <w:szCs w:val="30"/>
          <w14:ligatures w14:val="standardContextual"/>
        </w:rPr>
        <w:t>中移动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国漫•99系列流量语音包以低价直击用户痛点，套餐覆盖中国台湾、新马泰、日韩等20个高频出境目的地</w:t>
      </w:r>
      <w:r>
        <w:rPr>
          <w:rStyle w:val="14"/>
          <w:rFonts w:hint="eastAsia" w:ascii="Times New Roman" w:hAnsi="Times New Roman" w:eastAsia="方正仿宋_GB2312"/>
          <w:sz w:val="30"/>
          <w:szCs w:val="30"/>
          <w14:ligatures w14:val="standardContextual"/>
        </w:rPr>
        <w:footnoteReference w:id="5"/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，1-90日套餐包自由选择。以日本为例，套餐日均成本低至2.2元，较运营商同类产品价格直降40%。此外，</w:t>
      </w:r>
      <w:r>
        <w:rPr>
          <w:rFonts w:ascii="Times New Roman" w:hAnsi="Times New Roman" w:eastAsia="方正仿宋_GB2312"/>
          <w:sz w:val="30"/>
          <w:szCs w:val="30"/>
          <w14:ligatures w14:val="standardContextual"/>
        </w:rPr>
        <w:t>中移动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国际公司推出的CMLink境外SIM卡，通过与虚拟运营商价位一致抢占客户的第二卡槽。二是场景化产品设计深度契合市场需求。</w:t>
      </w:r>
      <w:r>
        <w:rPr>
          <w:rFonts w:ascii="Times New Roman" w:hAnsi="Times New Roman" w:eastAsia="方正仿宋_GB2312"/>
          <w:sz w:val="30"/>
          <w:szCs w:val="30"/>
          <w14:ligatures w14:val="standardContextual"/>
        </w:rPr>
        <w:t>中移动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产品体系围绕“灵活定制+区域聚焦”，打破传统漫游套餐的固化模式，提供包天不限量、限量不限速等多种流量套餐，支持1天起订、1GB-30GB高速流量自选及多国流量共享，用户可按行程自由叠加和组合，如“5日东南亚+3日日韩”流量包，模块化设计大幅提升使用灵活性。同时紧跟区域经济合作机遇，推出“一带一路”、“RCEP多国流量包”，覆盖130余个国家，满足跨境贸易、文化交流等多元需求。以马来西亚为例，香港中国移动通讯旗舰店数据显示，区域套餐销量达单一地区的10倍。三是构建国内+国际自有渠道稳存量、第三方渠道扩增量的内外协同营销体系。国内方面，依托小红书、抖音等社交平台，以“出境游攻略+产品植入”的内容营销触达年轻客群；国际公司方面，通过</w:t>
      </w:r>
      <w:r>
        <w:rPr>
          <w:rFonts w:hint="eastAsia" w:ascii="Times New Roman" w:hAnsi="Times New Roman" w:eastAsia="方正仿宋_GB2312"/>
          <w:sz w:val="30"/>
          <w:szCs w:val="30"/>
          <w:lang w:val="en-US" w:eastAsia="zh-CN"/>
          <w14:ligatures w14:val="standardContextual"/>
        </w:rPr>
        <w:t>自营的</w:t>
      </w:r>
      <w:r>
        <w:rPr>
          <w:rFonts w:ascii="Times New Roman" w:hAnsi="Times New Roman" w:eastAsia="方正仿宋_GB2312"/>
          <w:sz w:val="30"/>
          <w:szCs w:val="30"/>
          <w14:ligatures w14:val="standardContextual"/>
        </w:rPr>
        <w:t>淘宝香港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中国移动通讯旗舰店，向自有用户</w:t>
      </w:r>
      <w:r>
        <w:rPr>
          <w:rFonts w:hint="eastAsia" w:ascii="Times New Roman" w:hAnsi="Times New Roman" w:eastAsia="方正仿宋_GB2312"/>
          <w:sz w:val="30"/>
          <w:szCs w:val="30"/>
          <w:lang w:val="en-US" w:eastAsia="zh-CN"/>
          <w14:ligatures w14:val="standardContextual"/>
        </w:rPr>
        <w:t>定向销售境外本地流量包和境外漫游流量包，有效提升国际漫游在电商渠道的触达效率，店铺中香港高速本地流量包产品累计销量100W+、日本高速流量包累计销量8W+；同时2024年9月授权第三方公司开设CMLink通讯旗舰店，借助可重复使用的境外SIM卡拓展异网用户，店铺中英国旅游电话卡累计销量超2K+张。总体成效方面，2025年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中国移动</w:t>
      </w:r>
      <w:r>
        <w:rPr>
          <w:rFonts w:hint="eastAsia" w:ascii="Times New Roman" w:hAnsi="Times New Roman" w:eastAsia="方正仿宋_GB2312"/>
          <w:sz w:val="30"/>
          <w:szCs w:val="30"/>
          <w:lang w:val="en-US" w:eastAsia="zh-CN"/>
          <w14:ligatures w14:val="standardContextual"/>
        </w:rPr>
        <w:t>整体国漫收入增长显著，1月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国漫出访收入3.18亿元，同比增长21%</w:t>
      </w:r>
      <w:r>
        <w:rPr>
          <w:rFonts w:hint="eastAsia" w:ascii="Times New Roman" w:hAnsi="Times New Roman" w:eastAsia="方正仿宋_GB2312"/>
          <w:sz w:val="30"/>
          <w:szCs w:val="30"/>
          <w:lang w:eastAsia="zh-CN"/>
          <w14:ligatures w14:val="standardContextual"/>
        </w:rPr>
        <w:t>；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国漫包订购量217.8万，同比增长72%。全网出访客户订购渗透率18.4%，同比增长4.4pp，</w:t>
      </w:r>
      <w:r>
        <w:rPr>
          <w:rFonts w:hint="eastAsia" w:ascii="Times New Roman" w:hAnsi="Times New Roman" w:eastAsia="方正仿宋_GB2312"/>
          <w:sz w:val="30"/>
          <w:szCs w:val="30"/>
          <w:lang w:val="en-US" w:eastAsia="zh-CN"/>
          <w14:ligatures w14:val="standardContextual"/>
        </w:rPr>
        <w:t>甚至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较疫情前提升1.1pp。</w:t>
      </w:r>
      <w:r>
        <w:rPr>
          <w:rFonts w:hint="eastAsia" w:ascii="Times New Roman" w:hAnsi="Times New Roman" w:eastAsia="方正仿宋_GB2312"/>
          <w:sz w:val="30"/>
          <w:szCs w:val="30"/>
          <w:lang w:val="en-US" w:eastAsia="zh-CN"/>
          <w14:ligatures w14:val="standardContextual"/>
        </w:rPr>
        <w:t>后续，中国移动计划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通过集中放大传播声量、加大互联网出行平台渗透、加快推进细分市场试点等方式，做大</w:t>
      </w:r>
      <w:r>
        <w:rPr>
          <w:rFonts w:hint="eastAsia" w:ascii="Times New Roman" w:hAnsi="Times New Roman" w:eastAsia="方正仿宋_GB2312"/>
          <w:sz w:val="30"/>
          <w:szCs w:val="30"/>
          <w:lang w:val="en-US" w:eastAsia="zh-CN"/>
          <w14:ligatures w14:val="standardContextual"/>
        </w:rPr>
        <w:t>国际漫游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产品规模。</w:t>
      </w:r>
    </w:p>
    <w:p w14:paraId="1BA03BC7">
      <w:pPr>
        <w:numPr>
          <w:ilvl w:val="0"/>
          <w:numId w:val="1"/>
        </w:numPr>
        <w:ind w:firstLine="600" w:firstLineChars="200"/>
        <w:rPr>
          <w:rFonts w:ascii="Times New Roman" w:hAnsi="Times New Roman" w:eastAsia="方正仿宋_GB2312"/>
          <w:sz w:val="30"/>
          <w:szCs w:val="30"/>
          <w14:ligatures w14:val="standardContextual"/>
        </w:rPr>
      </w:pPr>
      <w:r>
        <w:rPr>
          <w:rFonts w:hint="eastAsia" w:ascii="Times New Roman" w:hAnsi="Times New Roman" w:eastAsia="方正楷体_GBK"/>
          <w:sz w:val="30"/>
          <w:szCs w:val="30"/>
          <w14:ligatures w14:val="standardContextual"/>
        </w:rPr>
        <w:t>虚拟运营商通过整合通信服务与旅游消费场景，构建独特的“通信+消费”闭环生态。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以亿点连接为代表的虚拟运营商逐步构建成熟的商业模式。一是形成了与市场同步的150+国多场景流量套餐体系，通过“SIM卡+APP”组合构建全球流量服务的灵活充值体系，提供按需选择的多形式套餐，流量可跨行程累积使用及充值，试图通过“SIM卡+充值”方式培养用户使用习惯和粘性。二是打造线上、线下协同模式，线上实现销售、服务同时，遍布国内大型机场的销售网点，同时也承担了客户领取SIM卡以及提供安装、指导使用的职责。三是从旅游场景触达用户，实现跨界商业合作。通过与航空公司、酒店以及免税店合作实现旅游场景的深度运营，将通信服务嵌入用户消费链路，形成高频交互与数据增值的双重价值。</w:t>
      </w:r>
    </w:p>
    <w:p w14:paraId="4F66887D">
      <w:pPr>
        <w:numPr>
          <w:ilvl w:val="0"/>
          <w:numId w:val="1"/>
        </w:numPr>
        <w:ind w:firstLine="600" w:firstLineChars="200"/>
        <w:rPr>
          <w:rFonts w:ascii="Times New Roman" w:hAnsi="Times New Roman" w:eastAsia="方正仿宋_GB2312"/>
          <w:sz w:val="30"/>
          <w:szCs w:val="30"/>
          <w14:ligatures w14:val="standardContextual"/>
        </w:rPr>
      </w:pPr>
      <w:r>
        <w:rPr>
          <w:rFonts w:hint="eastAsia" w:ascii="Times New Roman" w:hAnsi="Times New Roman" w:eastAsia="方正楷体_GBK"/>
          <w:sz w:val="30"/>
          <w:szCs w:val="30"/>
          <w:lang w:val="en-US" w:eastAsia="zh-CN"/>
          <w14:ligatures w14:val="standardContextual"/>
        </w:rPr>
        <w:t>手机厂商通过eSIM</w:t>
      </w:r>
      <w:r>
        <w:rPr>
          <w:rFonts w:hint="eastAsia" w:ascii="Times New Roman" w:hAnsi="Times New Roman" w:eastAsia="方正楷体_GBK"/>
          <w:sz w:val="30"/>
          <w:szCs w:val="30"/>
          <w14:ligatures w14:val="standardContextual"/>
        </w:rPr>
        <w:t>技术整合</w:t>
      </w:r>
      <w:r>
        <w:rPr>
          <w:rFonts w:hint="eastAsia" w:ascii="Times New Roman" w:hAnsi="Times New Roman" w:eastAsia="方正楷体_GBK"/>
          <w:sz w:val="30"/>
          <w:szCs w:val="30"/>
          <w:lang w:val="en-US" w:eastAsia="zh-CN"/>
          <w14:ligatures w14:val="standardContextual"/>
        </w:rPr>
        <w:t>和极致</w:t>
      </w:r>
      <w:r>
        <w:rPr>
          <w:rFonts w:hint="eastAsia" w:ascii="Times New Roman" w:hAnsi="Times New Roman" w:eastAsia="方正楷体_GBK"/>
          <w:sz w:val="30"/>
          <w:szCs w:val="30"/>
          <w14:ligatures w14:val="standardContextual"/>
        </w:rPr>
        <w:t>用户体验，</w:t>
      </w:r>
      <w:r>
        <w:rPr>
          <w:rFonts w:hint="eastAsia" w:ascii="Times New Roman" w:hAnsi="Times New Roman" w:eastAsia="方正楷体_GBK"/>
          <w:sz w:val="30"/>
          <w:szCs w:val="30"/>
          <w:lang w:val="en-US" w:eastAsia="zh-CN"/>
          <w14:ligatures w14:val="standardContextual"/>
        </w:rPr>
        <w:t>在高端市场</w:t>
      </w:r>
      <w:r>
        <w:rPr>
          <w:rFonts w:hint="eastAsia" w:ascii="Times New Roman" w:hAnsi="Times New Roman" w:eastAsia="方正楷体_GBK"/>
          <w:sz w:val="30"/>
          <w:szCs w:val="30"/>
          <w14:ligatures w14:val="standardContextual"/>
        </w:rPr>
        <w:t>形成独特竞争力</w:t>
      </w:r>
      <w:r>
        <w:rPr>
          <w:rFonts w:hint="eastAsia" w:ascii="Times New Roman" w:hAnsi="Times New Roman" w:eastAsia="方正楷体_GBK"/>
          <w:sz w:val="30"/>
          <w:szCs w:val="30"/>
          <w:lang w:eastAsia="zh-CN"/>
          <w14:ligatures w14:val="standardContextual"/>
        </w:rPr>
        <w:t>。</w:t>
      </w:r>
      <w:r>
        <w:rPr>
          <w:rFonts w:hint="eastAsia" w:ascii="Times New Roman" w:hAnsi="Times New Roman" w:eastAsia="方正楷体_GBK"/>
          <w:sz w:val="30"/>
          <w:szCs w:val="30"/>
          <w:lang w:val="en-US" w:eastAsia="zh-CN"/>
          <w14:ligatures w14:val="standardContextual"/>
        </w:rPr>
        <w:t>如</w:t>
      </w:r>
      <w:r>
        <w:rPr>
          <w:rFonts w:hint="eastAsia" w:ascii="Times New Roman" w:hAnsi="Times New Roman" w:eastAsia="方正仿宋_GB2312"/>
          <w:sz w:val="30"/>
          <w:szCs w:val="30"/>
          <w:lang w:val="en-US" w:eastAsia="zh-CN"/>
          <w14:ligatures w14:val="standardContextual"/>
        </w:rPr>
        <w:t>华为天际通通过两大优势，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吸引频繁出境的</w:t>
      </w:r>
      <w:r>
        <w:rPr>
          <w:rFonts w:hint="eastAsia" w:ascii="Times New Roman" w:hAnsi="Times New Roman" w:eastAsia="方正仿宋_GB2312"/>
          <w:sz w:val="30"/>
          <w:szCs w:val="30"/>
          <w:lang w:val="en-US" w:eastAsia="zh-CN"/>
          <w14:ligatures w14:val="standardContextual"/>
        </w:rPr>
        <w:t>高价值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商务人士和自由行游客</w:t>
      </w:r>
      <w:r>
        <w:rPr>
          <w:rFonts w:hint="eastAsia" w:ascii="Times New Roman" w:hAnsi="Times New Roman" w:eastAsia="方正仿宋_GB2312"/>
          <w:sz w:val="30"/>
          <w:szCs w:val="30"/>
          <w:lang w:eastAsia="zh-CN"/>
          <w14:ligatures w14:val="standardContextual"/>
        </w:rPr>
        <w:t>。</w:t>
      </w:r>
      <w:r>
        <w:rPr>
          <w:rFonts w:hint="eastAsia" w:ascii="Times New Roman" w:hAnsi="Times New Roman" w:eastAsia="方正仿宋_GB2312"/>
          <w:sz w:val="30"/>
          <w:szCs w:val="30"/>
          <w:lang w:val="en-US" w:eastAsia="zh-CN"/>
          <w14:ligatures w14:val="standardContextual"/>
        </w:rPr>
        <w:t>一是无需换卡和复杂设置。用户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无需手动切换运营商或开通国际漫游</w:t>
      </w:r>
      <w:r>
        <w:rPr>
          <w:rFonts w:hint="eastAsia" w:ascii="Times New Roman" w:hAnsi="Times New Roman" w:eastAsia="方正仿宋_GB2312"/>
          <w:sz w:val="30"/>
          <w:szCs w:val="30"/>
          <w:lang w:val="en-US" w:eastAsia="zh-CN"/>
          <w14:ligatures w14:val="standardContextual"/>
        </w:rPr>
        <w:t>，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用户落地后自动联网，提供30分钟免费网络购买套餐。</w:t>
      </w:r>
      <w:r>
        <w:rPr>
          <w:rFonts w:hint="eastAsia" w:ascii="Times New Roman" w:hAnsi="Times New Roman" w:eastAsia="方正仿宋_GB2312"/>
          <w:sz w:val="30"/>
          <w:szCs w:val="30"/>
          <w:lang w:val="en-US" w:eastAsia="zh-CN"/>
          <w14:ligatures w14:val="standardContextual"/>
        </w:rPr>
        <w:t>二是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灵活资费与透明管理</w:t>
      </w:r>
      <w:r>
        <w:rPr>
          <w:rFonts w:hint="eastAsia" w:ascii="Times New Roman" w:hAnsi="Times New Roman" w:eastAsia="方正仿宋_GB2312"/>
          <w:sz w:val="30"/>
          <w:szCs w:val="30"/>
          <w:lang w:eastAsia="zh-CN"/>
          <w14:ligatures w14:val="standardContextual"/>
        </w:rPr>
        <w:t>。</w:t>
      </w:r>
      <w:r>
        <w:rPr>
          <w:rFonts w:hint="eastAsia" w:ascii="Times New Roman" w:hAnsi="Times New Roman" w:eastAsia="方正仿宋_GB2312"/>
          <w:sz w:val="30"/>
          <w:szCs w:val="30"/>
          <w:lang w:val="en-US" w:eastAsia="zh-CN"/>
          <w14:ligatures w14:val="standardContextual"/>
        </w:rPr>
        <w:t>向用户提供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9.9元/天5G高速流量</w:t>
      </w:r>
      <w:r>
        <w:rPr>
          <w:rFonts w:hint="eastAsia" w:ascii="Times New Roman" w:hAnsi="Times New Roman" w:eastAsia="方正仿宋_GB2312"/>
          <w:sz w:val="30"/>
          <w:szCs w:val="30"/>
          <w:lang w:val="en-US" w:eastAsia="zh-CN"/>
          <w14:ligatures w14:val="standardContextual"/>
        </w:rPr>
        <w:t>+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按日计费</w:t>
      </w:r>
      <w:r>
        <w:rPr>
          <w:rFonts w:hint="eastAsia" w:ascii="Times New Roman" w:hAnsi="Times New Roman" w:eastAsia="方正仿宋_GB2312"/>
          <w:sz w:val="30"/>
          <w:szCs w:val="30"/>
          <w:lang w:val="en-US" w:eastAsia="zh-CN"/>
          <w14:ligatures w14:val="standardContextual"/>
        </w:rPr>
        <w:t>产品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模式</w:t>
      </w:r>
      <w:r>
        <w:rPr>
          <w:rFonts w:hint="eastAsia" w:ascii="Times New Roman" w:hAnsi="Times New Roman" w:eastAsia="方正仿宋_GB2312"/>
          <w:sz w:val="30"/>
          <w:szCs w:val="30"/>
          <w:lang w:eastAsia="zh-CN"/>
          <w14:ligatures w14:val="standardContextual"/>
        </w:rPr>
        <w:t>，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实时显示流量监控与剩余时长，避免隐形扣费</w:t>
      </w:r>
      <w:r>
        <w:rPr>
          <w:rFonts w:hint="eastAsia" w:ascii="Times New Roman" w:hAnsi="Times New Roman" w:eastAsia="方正仿宋_GB2312"/>
          <w:sz w:val="30"/>
          <w:szCs w:val="30"/>
          <w:lang w:val="en-US" w:eastAsia="zh-CN"/>
          <w14:ligatures w14:val="standardContextual"/>
        </w:rPr>
        <w:t>等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问题。</w:t>
      </w:r>
    </w:p>
    <w:p w14:paraId="298B0111">
      <w:pPr>
        <w:numPr>
          <w:ilvl w:val="0"/>
          <w:numId w:val="0"/>
        </w:numPr>
        <w:rPr>
          <w:rFonts w:ascii="Times New Roman" w:hAnsi="Times New Roman" w:eastAsia="方正仿宋_GB2312"/>
          <w:sz w:val="30"/>
          <w:szCs w:val="30"/>
          <w14:ligatures w14:val="standardContextual"/>
        </w:rPr>
      </w:pPr>
    </w:p>
    <w:p w14:paraId="2B8EFADA">
      <w:pPr>
        <w:ind w:firstLine="0" w:firstLineChars="0"/>
        <w:outlineLvl w:val="0"/>
        <w:rPr>
          <w:rFonts w:ascii="Times New Roman" w:hAnsi="Times New Roman" w:eastAsia="黑体"/>
          <w:sz w:val="30"/>
          <w:szCs w:val="30"/>
        </w:rPr>
      </w:pPr>
      <w:r>
        <w:rPr>
          <w:rFonts w:hint="eastAsia" w:ascii="Times New Roman" w:hAnsi="Times New Roman" w:eastAsia="黑体"/>
          <w:sz w:val="30"/>
          <w:szCs w:val="30"/>
        </w:rPr>
        <w:t>三、启示与建议</w:t>
      </w:r>
    </w:p>
    <w:p w14:paraId="036E1D16">
      <w:pPr>
        <w:numPr>
          <w:ilvl w:val="-1"/>
          <w:numId w:val="0"/>
        </w:numPr>
        <w:ind w:firstLine="600" w:firstLineChars="200"/>
        <w:rPr>
          <w:rFonts w:ascii="Times New Roman" w:hAnsi="Times New Roman" w:eastAsia="方正仿宋_GB2312"/>
          <w:sz w:val="30"/>
          <w:szCs w:val="30"/>
          <w14:ligatures w14:val="standardContextual"/>
        </w:rPr>
      </w:pPr>
      <w:r>
        <w:rPr>
          <w:rFonts w:hint="eastAsia" w:ascii="Times New Roman" w:hAnsi="Times New Roman" w:eastAsia="方正楷体_GBK"/>
          <w:sz w:val="30"/>
          <w:szCs w:val="30"/>
          <w14:ligatures w14:val="standardContextual"/>
        </w:rPr>
        <w:t>（一）针对中国电信自有的移动用户，优化国际漫游产品和资费。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一是对东南亚、日韩、欧洲、中东等热门出境地区，推出漫游流量组合产品，尤其是一带一路、RCEP、大湾区等政策导向区域，与本地运营商在网络共建等业务方向绑定合作，以换取漫游资费优惠。二是对标国际运营商和国内竞争对手，推动流量资费逐步下调，可推出每天1GB/2GB/3GB上限、达量限速的漫游流量产品，灵活满足不同行程的出境需求。三是结合出境高峰期（如暑期、黄金周）与淡季，实行弹性折扣或满额返现，提升用户粘性。</w:t>
      </w:r>
      <w:r>
        <w:rPr>
          <w:rFonts w:hint="eastAsia" w:ascii="Times New Roman" w:hAnsi="Times New Roman" w:eastAsia="方正仿宋_GB2312"/>
          <w:sz w:val="30"/>
          <w:szCs w:val="30"/>
          <w:lang w:val="en-US" w:eastAsia="zh-CN"/>
          <w14:ligatures w14:val="standardContextual"/>
        </w:rPr>
        <w:t>并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做好通信+出行+支付+权益产品创新。四是针对自由行客户需求，推出热门出境国本地流量产品，满足出境用户使用境外APP需要，实现导航、订房、支付等刚需</w:t>
      </w:r>
      <w:r>
        <w:rPr>
          <w:rFonts w:hint="eastAsia" w:ascii="Times New Roman" w:hAnsi="Times New Roman" w:eastAsia="方正仿宋_GB2312"/>
          <w:sz w:val="30"/>
          <w:szCs w:val="30"/>
          <w:lang w:val="en-US" w:eastAsia="zh-CN"/>
          <w14:ligatures w14:val="standardContextual"/>
        </w:rPr>
        <w:t>旅游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场景</w:t>
      </w:r>
      <w:r>
        <w:rPr>
          <w:rFonts w:hint="eastAsia" w:ascii="Times New Roman" w:hAnsi="Times New Roman" w:eastAsia="方正仿宋_GB2312"/>
          <w:sz w:val="30"/>
          <w:szCs w:val="30"/>
          <w:lang w:val="en-US" w:eastAsia="zh-CN"/>
          <w14:ligatures w14:val="standardContextual"/>
        </w:rPr>
        <w:t>的网络访问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。</w:t>
      </w:r>
    </w:p>
    <w:p w14:paraId="040467A0">
      <w:pPr>
        <w:ind w:firstLine="600" w:firstLineChars="200"/>
        <w:rPr>
          <w:rFonts w:ascii="Times New Roman" w:hAnsi="Times New Roman" w:eastAsia="方正仿宋_GB2312"/>
          <w:sz w:val="30"/>
          <w:szCs w:val="30"/>
          <w14:ligatures w14:val="standardContextual"/>
        </w:rPr>
      </w:pPr>
      <w:r>
        <w:rPr>
          <w:rFonts w:hint="eastAsia" w:ascii="方正楷体_GBK" w:hAnsi="方正楷体_GBK" w:eastAsia="方正楷体_GBK" w:cs="方正楷体_GBK"/>
          <w:sz w:val="30"/>
          <w:szCs w:val="30"/>
          <w14:ligatures w14:val="standardContextual"/>
        </w:rPr>
        <w:t>（二）以国际公司为锚点，加强与集团协同，打造第二张国漫流量卡。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一是利用国际公司CTExcel覆盖多个国家的全球漫游能力，塑造“国漫2.0”新名片，专属定制出境流量卡，强调无漫游费、低延时等特色服务。二是强化实体渠道服务协同，不仅支持邮寄Sim卡片，在机场网点、实体渠道提供取卡服务，加强出国漫游使用辅导，通过短信及时提醒使用情况，国际公司（CTExcel）、省公司线上线下形成统一产品矩阵与客服体系，确保跨境业务无缝对接。三是强调出境流量卡的长期属性，数年内可多次、多地使用，填充外网客户国际流量卡槽，培养用户的忠诚度。</w:t>
      </w:r>
    </w:p>
    <w:p w14:paraId="3808275D">
      <w:pPr>
        <w:ind w:firstLine="600" w:firstLineChars="200"/>
        <w:rPr>
          <w:rFonts w:ascii="Times New Roman" w:hAnsi="Times New Roman" w:eastAsia="方正仿宋_GB2312"/>
          <w:sz w:val="30"/>
          <w:szCs w:val="30"/>
          <w14:ligatures w14:val="standardContextual"/>
        </w:rPr>
      </w:pPr>
      <w:r>
        <w:rPr>
          <w:rFonts w:hint="eastAsia" w:ascii="方正楷体_GBK" w:hAnsi="方正楷体_GBK" w:eastAsia="方正楷体_GBK" w:cs="方正楷体_GBK"/>
          <w:sz w:val="30"/>
          <w:szCs w:val="30"/>
          <w14:ligatures w14:val="standardContextual"/>
        </w:rPr>
        <w:t>（三）是加强外部渠道推广能力，与淘宝、OTA平台充分协同。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一是在淘宝等电商平台开设专属店铺，进行销售和售后。二是</w:t>
      </w:r>
      <w:r>
        <w:rPr>
          <w:rFonts w:ascii="Times New Roman" w:hAnsi="Times New Roman" w:eastAsia="方正仿宋_GB2312"/>
          <w:sz w:val="30"/>
          <w:szCs w:val="30"/>
          <w14:ligatures w14:val="standardContextual"/>
        </w:rPr>
        <w:t>与携程、去哪儿等OTA合作，将出境流量卡纳入机票+酒店套餐，赠送或优惠购买</w:t>
      </w:r>
      <w:r>
        <w:rPr>
          <w:rFonts w:hint="eastAsia" w:ascii="Times New Roman" w:hAnsi="Times New Roman" w:eastAsia="方正仿宋_GB2312"/>
          <w:sz w:val="30"/>
          <w:szCs w:val="30"/>
          <w14:ligatures w14:val="standardContextual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755D6C1-BB48-4E3C-9F31-58FC4448B22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A5A9D514-CEB1-402E-B1AE-970E423CFAE4}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49FB0289-D1C5-4687-AA02-7F11E88F2D80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4" w:fontKey="{AE6AB3F8-EBD5-44C9-8DF5-DFD7C970B17E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2">
    <w:p>
      <w:r>
        <w:separator/>
      </w:r>
    </w:p>
  </w:footnote>
  <w:footnote w:type="continuationSeparator" w:id="13">
    <w:p>
      <w:r>
        <w:continuationSeparator/>
      </w:r>
    </w:p>
  </w:footnote>
  <w:footnote w:id="0">
    <w:p w14:paraId="0BD74654">
      <w:pPr>
        <w:pStyle w:val="7"/>
      </w:pPr>
      <w:r>
        <w:rPr>
          <w:rFonts w:hint="eastAsia"/>
        </w:rPr>
        <w:t>注</w:t>
      </w:r>
      <w:r>
        <w:rPr>
          <w:rStyle w:val="14"/>
        </w:rPr>
        <w:footnoteRef/>
      </w:r>
      <w:r>
        <w:rPr>
          <w:rFonts w:hint="eastAsia"/>
        </w:rPr>
        <w:t>：根据出境人数、目的地比例以及估算通信费用50-70元/人次预测</w:t>
      </w:r>
      <w:r>
        <w:t xml:space="preserve"> </w:t>
      </w:r>
    </w:p>
  </w:footnote>
  <w:footnote w:id="1">
    <w:p w14:paraId="5CB1CCD2">
      <w:pPr>
        <w:pStyle w:val="7"/>
      </w:pPr>
      <w:r>
        <w:rPr>
          <w:rFonts w:hint="eastAsia"/>
        </w:rPr>
        <w:t>注</w:t>
      </w:r>
      <w:r>
        <w:rPr>
          <w:rStyle w:val="14"/>
        </w:rPr>
        <w:footnoteRef/>
      </w:r>
      <w:r>
        <w:rPr>
          <w:rFonts w:hint="eastAsia"/>
        </w:rPr>
        <w:t>：2024年5月iClick联合去哪儿和Ocean EnGBine联合发布</w:t>
      </w:r>
      <w:r>
        <w:t xml:space="preserve"> </w:t>
      </w:r>
    </w:p>
  </w:footnote>
  <w:footnote w:id="2">
    <w:p w14:paraId="2C0B78FF">
      <w:pPr>
        <w:pStyle w:val="7"/>
      </w:pPr>
      <w:r>
        <w:rPr>
          <w:rFonts w:hint="eastAsia"/>
        </w:rPr>
        <w:t>注</w:t>
      </w:r>
      <w:r>
        <w:rPr>
          <w:rStyle w:val="14"/>
        </w:rPr>
        <w:footnoteRef/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  <w:sz w:val="20"/>
          <w:szCs w:val="20"/>
          <w14:ligatures w14:val="standardContextual"/>
        </w:rPr>
        <w:t>文化和旅游部的《全国旅行社统计调查报告》</w:t>
      </w:r>
      <w:r>
        <w:t xml:space="preserve"> </w:t>
      </w:r>
    </w:p>
  </w:footnote>
  <w:footnote w:id="3">
    <w:p w14:paraId="209D5BEF">
      <w:pPr>
        <w:pStyle w:val="7"/>
      </w:pPr>
      <w:r>
        <w:rPr>
          <w:rStyle w:val="14"/>
        </w:rPr>
        <w:footnoteRef/>
      </w:r>
      <w:r>
        <w:t xml:space="preserve"> </w:t>
      </w:r>
      <w:r>
        <w:rPr>
          <w:rFonts w:hint="eastAsia"/>
        </w:rPr>
        <w:t>电信标准资费：大多数国家和地区25元每日封顶，包含的高速流量不同（如日本是2GB，澳大利亚1GB）。移动标准资费：大多数国家和地区30元每日封顶，包含的高速流量不同（如日本是3GB，澳大利亚3GB）。</w:t>
      </w:r>
    </w:p>
  </w:footnote>
  <w:footnote w:id="4">
    <w:p w14:paraId="4FDC97A5">
      <w:pPr>
        <w:pStyle w:val="7"/>
      </w:pPr>
      <w:r>
        <w:rPr>
          <w:rStyle w:val="14"/>
        </w:rPr>
        <w:footnoteRef/>
      </w:r>
      <w:r>
        <w:t xml:space="preserve"> </w:t>
      </w:r>
      <w:r>
        <w:rPr>
          <w:rFonts w:hint="eastAsia"/>
        </w:rPr>
        <w:t>小红书平台搜索国际漫游，中国移动占据一半以上，TOP1笔记中嵌套中国移动国际漫游免流量包政策</w:t>
      </w:r>
    </w:p>
  </w:footnote>
  <w:footnote w:id="5">
    <w:p w14:paraId="5CB27B24">
      <w:pPr>
        <w:pStyle w:val="7"/>
      </w:pPr>
      <w:r>
        <w:rPr>
          <w:rStyle w:val="14"/>
        </w:rPr>
        <w:footnoteRef/>
      </w:r>
      <w:r>
        <w:t xml:space="preserve"> </w:t>
      </w:r>
      <w:r>
        <w:rPr>
          <w:rFonts w:hint="eastAsia"/>
        </w:rPr>
        <w:t>包括中国台湾、新马泰、越南、日本、韩国、印尼、俄罗斯、欧洲五国（英/德/法/西班牙/意大利）、柬埔寨、澳大利亚、美国、阿联酋、加拿大、新西兰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AD6D34"/>
    <w:multiLevelType w:val="singleLevel"/>
    <w:tmpl w:val="64AD6D34"/>
    <w:lvl w:ilvl="0" w:tentative="0">
      <w:start w:val="2"/>
      <w:numFmt w:val="chineseCounting"/>
      <w:suff w:val="nothing"/>
      <w:lvlText w:val="（%1）"/>
      <w:lvlJc w:val="left"/>
      <w:rPr>
        <w:rFonts w:hint="eastAsia" w:ascii="方正楷体_GBK" w:hAnsi="方正楷体_GBK" w:eastAsia="方正楷体_GBK" w:cs="方正楷体_GBK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12"/>
    <w:footnote w:id="1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35E"/>
    <w:rsid w:val="00293DC6"/>
    <w:rsid w:val="002A7C50"/>
    <w:rsid w:val="00A8135E"/>
    <w:rsid w:val="01F91E37"/>
    <w:rsid w:val="06CF0659"/>
    <w:rsid w:val="06DD21D9"/>
    <w:rsid w:val="07EE1710"/>
    <w:rsid w:val="08103ADB"/>
    <w:rsid w:val="09685515"/>
    <w:rsid w:val="0AFF3057"/>
    <w:rsid w:val="0B2A1A3A"/>
    <w:rsid w:val="0B5F6562"/>
    <w:rsid w:val="0B690909"/>
    <w:rsid w:val="0CA74C31"/>
    <w:rsid w:val="0CCA6ACF"/>
    <w:rsid w:val="0DF95DB2"/>
    <w:rsid w:val="10B97E79"/>
    <w:rsid w:val="13111003"/>
    <w:rsid w:val="151767C9"/>
    <w:rsid w:val="165135EF"/>
    <w:rsid w:val="1760517A"/>
    <w:rsid w:val="188D78D8"/>
    <w:rsid w:val="19E00326"/>
    <w:rsid w:val="1B8A7604"/>
    <w:rsid w:val="1C741623"/>
    <w:rsid w:val="1CA303C7"/>
    <w:rsid w:val="1D7916CF"/>
    <w:rsid w:val="1F2128B9"/>
    <w:rsid w:val="20A25CED"/>
    <w:rsid w:val="22765384"/>
    <w:rsid w:val="240F5151"/>
    <w:rsid w:val="24A54EAA"/>
    <w:rsid w:val="24BF16F2"/>
    <w:rsid w:val="24D90388"/>
    <w:rsid w:val="24EF7670"/>
    <w:rsid w:val="27333542"/>
    <w:rsid w:val="2737610A"/>
    <w:rsid w:val="27910229"/>
    <w:rsid w:val="279A7138"/>
    <w:rsid w:val="280043B8"/>
    <w:rsid w:val="2994218F"/>
    <w:rsid w:val="2A9C48A3"/>
    <w:rsid w:val="2B0526BD"/>
    <w:rsid w:val="2BBD2EC4"/>
    <w:rsid w:val="2C2E76F4"/>
    <w:rsid w:val="2CEA7327"/>
    <w:rsid w:val="2D7E0A9F"/>
    <w:rsid w:val="304E7DFD"/>
    <w:rsid w:val="3069477A"/>
    <w:rsid w:val="32404663"/>
    <w:rsid w:val="34923771"/>
    <w:rsid w:val="35B62D04"/>
    <w:rsid w:val="3853313B"/>
    <w:rsid w:val="3A953589"/>
    <w:rsid w:val="3ABF24F4"/>
    <w:rsid w:val="3C076911"/>
    <w:rsid w:val="3C4328DD"/>
    <w:rsid w:val="3C7C5835"/>
    <w:rsid w:val="3D1F0E24"/>
    <w:rsid w:val="3D8250CD"/>
    <w:rsid w:val="3E4C4B6D"/>
    <w:rsid w:val="3EE80688"/>
    <w:rsid w:val="3FA724E7"/>
    <w:rsid w:val="41AA002F"/>
    <w:rsid w:val="41B132F0"/>
    <w:rsid w:val="43072D18"/>
    <w:rsid w:val="434A5E72"/>
    <w:rsid w:val="44905A0E"/>
    <w:rsid w:val="47240134"/>
    <w:rsid w:val="47285FD3"/>
    <w:rsid w:val="47B948A6"/>
    <w:rsid w:val="498D6E56"/>
    <w:rsid w:val="4A4450A2"/>
    <w:rsid w:val="4AC73322"/>
    <w:rsid w:val="4C2775AC"/>
    <w:rsid w:val="4C4B31FA"/>
    <w:rsid w:val="4CFE4524"/>
    <w:rsid w:val="4DB605DF"/>
    <w:rsid w:val="4E4D05AC"/>
    <w:rsid w:val="4E931C52"/>
    <w:rsid w:val="4F8D6D70"/>
    <w:rsid w:val="50964B95"/>
    <w:rsid w:val="50EA18B8"/>
    <w:rsid w:val="51C94C21"/>
    <w:rsid w:val="51DF422D"/>
    <w:rsid w:val="533F063F"/>
    <w:rsid w:val="54AA299F"/>
    <w:rsid w:val="57080C3E"/>
    <w:rsid w:val="57B7288F"/>
    <w:rsid w:val="599C6414"/>
    <w:rsid w:val="5B985671"/>
    <w:rsid w:val="5BD67ED5"/>
    <w:rsid w:val="5C525469"/>
    <w:rsid w:val="5E0D03A8"/>
    <w:rsid w:val="5EBF7681"/>
    <w:rsid w:val="5F6A0D83"/>
    <w:rsid w:val="5F800434"/>
    <w:rsid w:val="5FD92A6F"/>
    <w:rsid w:val="61B65AB0"/>
    <w:rsid w:val="61E93058"/>
    <w:rsid w:val="63F8750F"/>
    <w:rsid w:val="645B049B"/>
    <w:rsid w:val="65FF4917"/>
    <w:rsid w:val="672F50CE"/>
    <w:rsid w:val="68370C8B"/>
    <w:rsid w:val="6ABC3947"/>
    <w:rsid w:val="6BFC7B30"/>
    <w:rsid w:val="6CDF30F3"/>
    <w:rsid w:val="6D362DD4"/>
    <w:rsid w:val="6D4368DD"/>
    <w:rsid w:val="6D4F6835"/>
    <w:rsid w:val="6E095F6A"/>
    <w:rsid w:val="6E367C28"/>
    <w:rsid w:val="72893BB4"/>
    <w:rsid w:val="72B35CA3"/>
    <w:rsid w:val="72CC3884"/>
    <w:rsid w:val="72FD1104"/>
    <w:rsid w:val="741B5E29"/>
    <w:rsid w:val="766D6D46"/>
    <w:rsid w:val="76AA6BBE"/>
    <w:rsid w:val="76E53424"/>
    <w:rsid w:val="770B3C28"/>
    <w:rsid w:val="779D7AF3"/>
    <w:rsid w:val="78DF5F11"/>
    <w:rsid w:val="7980083C"/>
    <w:rsid w:val="7B11091B"/>
    <w:rsid w:val="7C1077CB"/>
    <w:rsid w:val="7DB27B05"/>
    <w:rsid w:val="7EBE0676"/>
    <w:rsid w:val="7F4855CE"/>
    <w:rsid w:val="7FA9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alloon Text"/>
    <w:basedOn w:val="1"/>
    <w:link w:val="17"/>
    <w:qFormat/>
    <w:uiPriority w:val="0"/>
    <w:rPr>
      <w:sz w:val="18"/>
      <w:szCs w:val="18"/>
    </w:rPr>
  </w:style>
  <w:style w:type="paragraph" w:styleId="7">
    <w:name w:val="footnote text"/>
    <w:basedOn w:val="1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character" w:styleId="14">
    <w:name w:val="footnote reference"/>
    <w:basedOn w:val="10"/>
    <w:semiHidden/>
    <w:unhideWhenUsed/>
    <w:qFormat/>
    <w:uiPriority w:val="99"/>
    <w:rPr>
      <w:vertAlign w:val="superscript"/>
    </w:rPr>
  </w:style>
  <w:style w:type="paragraph" w:customStyle="1" w:styleId="15">
    <w:name w:val="自定义标题1"/>
    <w:basedOn w:val="2"/>
    <w:next w:val="1"/>
    <w:qFormat/>
    <w:uiPriority w:val="0"/>
    <w:pPr>
      <w:spacing w:before="50" w:beforeLines="50" w:after="50" w:afterLines="50"/>
      <w:ind w:firstLine="480" w:firstLineChars="200"/>
    </w:pPr>
    <w:rPr>
      <w:rFonts w:ascii="Times New Roman" w:hAnsi="Times New Roman"/>
      <w:sz w:val="24"/>
    </w:rPr>
  </w:style>
  <w:style w:type="paragraph" w:customStyle="1" w:styleId="16">
    <w:name w:val="样式1"/>
    <w:basedOn w:val="1"/>
    <w:qFormat/>
    <w:uiPriority w:val="0"/>
    <w:pPr>
      <w:snapToGrid w:val="0"/>
      <w:spacing w:before="50" w:beforeLines="50" w:after="50" w:afterLines="50" w:line="192" w:lineRule="auto"/>
      <w:jc w:val="center"/>
    </w:pPr>
    <w:rPr>
      <w:rFonts w:hint="eastAsia" w:ascii="Times New Roman" w:hAnsi="Times New Roman" w:eastAsia="微软雅黑" w:cs="Times New Roman"/>
      <w:color w:val="FF0000"/>
      <w:sz w:val="56"/>
      <w:szCs w:val="56"/>
    </w:rPr>
  </w:style>
  <w:style w:type="character" w:customStyle="1" w:styleId="17">
    <w:name w:val="批注框文本 字符"/>
    <w:basedOn w:val="10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hart" Target="charts/chart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charts/_rels/chart1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Relationship Id="rId1" Type="http://schemas.openxmlformats.org/officeDocument/2006/relationships/oleObject" Target="file:///D:\&#39033;&#30446;&#25991;&#26723;\2024&#24180;&#25991;&#26723;\&#30000;&#30460;\20250321&#22269;&#38469;&#28459;&#28216;\&#26032;&#24314;%20Microsoft%20Excel%20&#24037;&#20316;&#3492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'2、出境人数统计'!$B$37</c:f>
              <c:strCache>
                <c:ptCount val="1"/>
                <c:pt idx="0">
                  <c:v>人数（万）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'2、出境人数统计'!$A$38:$A$54</c:f>
              <c:strCache>
                <c:ptCount val="17"/>
                <c:pt idx="0">
                  <c:v>2005年</c:v>
                </c:pt>
                <c:pt idx="1">
                  <c:v>2006年</c:v>
                </c:pt>
                <c:pt idx="2">
                  <c:v>2007年</c:v>
                </c:pt>
                <c:pt idx="3">
                  <c:v>2008年</c:v>
                </c:pt>
                <c:pt idx="4">
                  <c:v>2009年</c:v>
                </c:pt>
                <c:pt idx="5">
                  <c:v>2010年</c:v>
                </c:pt>
                <c:pt idx="6">
                  <c:v>2011年</c:v>
                </c:pt>
                <c:pt idx="7">
                  <c:v>2012年</c:v>
                </c:pt>
                <c:pt idx="8">
                  <c:v>2013年</c:v>
                </c:pt>
                <c:pt idx="9">
                  <c:v>2014年</c:v>
                </c:pt>
                <c:pt idx="10">
                  <c:v>2015年</c:v>
                </c:pt>
                <c:pt idx="11">
                  <c:v>2016年</c:v>
                </c:pt>
                <c:pt idx="12">
                  <c:v>2017年</c:v>
                </c:pt>
                <c:pt idx="13">
                  <c:v>2018年</c:v>
                </c:pt>
                <c:pt idx="14">
                  <c:v>2019年</c:v>
                </c:pt>
                <c:pt idx="15">
                  <c:v>2023年</c:v>
                </c:pt>
                <c:pt idx="16">
                  <c:v>2024年</c:v>
                </c:pt>
              </c:strCache>
            </c:strRef>
          </c:cat>
          <c:val>
            <c:numRef>
              <c:f>'2、出境人数统计'!$B$38:$B$54</c:f>
              <c:numCache>
                <c:formatCode>0_ </c:formatCode>
                <c:ptCount val="17"/>
                <c:pt idx="0">
                  <c:v>3102.63</c:v>
                </c:pt>
                <c:pt idx="1">
                  <c:v>3452.36</c:v>
                </c:pt>
                <c:pt idx="2">
                  <c:v>4095.4</c:v>
                </c:pt>
                <c:pt idx="3">
                  <c:v>4584.44</c:v>
                </c:pt>
                <c:pt idx="4">
                  <c:v>4765.62</c:v>
                </c:pt>
                <c:pt idx="5">
                  <c:v>5738.65</c:v>
                </c:pt>
                <c:pt idx="6">
                  <c:v>7025</c:v>
                </c:pt>
                <c:pt idx="7">
                  <c:v>8318.17</c:v>
                </c:pt>
                <c:pt idx="8">
                  <c:v>9818.52</c:v>
                </c:pt>
                <c:pt idx="9">
                  <c:v>11659.32</c:v>
                </c:pt>
                <c:pt idx="10">
                  <c:v>12786</c:v>
                </c:pt>
                <c:pt idx="11">
                  <c:v>13513</c:v>
                </c:pt>
                <c:pt idx="12">
                  <c:v>14272.74</c:v>
                </c:pt>
                <c:pt idx="13">
                  <c:v>16199.34</c:v>
                </c:pt>
                <c:pt idx="14">
                  <c:v>16920.54</c:v>
                </c:pt>
                <c:pt idx="15">
                  <c:v>10096.5</c:v>
                </c:pt>
                <c:pt idx="16">
                  <c:v>14589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64892704"/>
        <c:axId val="564903264"/>
      </c:barChart>
      <c:catAx>
        <c:axId val="5648927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64903264"/>
        <c:crosses val="autoZero"/>
        <c:auto val="1"/>
        <c:lblAlgn val="ctr"/>
        <c:lblOffset val="100"/>
        <c:noMultiLvlLbl val="0"/>
      </c:catAx>
      <c:valAx>
        <c:axId val="564903264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_ 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64892704"/>
        <c:crosses val="autoZero"/>
        <c:crossBetween val="between"/>
        <c:majorUnit val="4000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72bf690c-8cf3-41b1-b96a-1d50eb3bb450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3481</Words>
  <Characters>3907</Characters>
  <Lines>31</Lines>
  <Paragraphs>8</Paragraphs>
  <TotalTime>19</TotalTime>
  <ScaleCrop>false</ScaleCrop>
  <LinksUpToDate>false</LinksUpToDate>
  <CharactersWithSpaces>3909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2025-05-14T07:30:00Z</dcterms:created>
  <dc:creator>18917</dc:creator>
  <cp:lastModifiedBy>田盼</cp:lastModifiedBy>
  <dcterms:modified xsi:type="dcterms:W3CDTF">2025-05-21T07:02:37Z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085E82BD3F2D419B99259E993FA4CD63_13</vt:lpwstr>
  </property>
  <property fmtid="{D5CDD505-2E9C-101B-9397-08002B2CF9AE}" pid="4" name="KSOTemplateDocerSaveRecord">
    <vt:lpwstr>eyJoZGlkIjoiOTlmOWQzYWIzZjg0MDA5YTQ3NWM2NjNhOTg4OTUyNTQiLCJ1c2VySWQiOiI4NDQ2MzY5MDIifQ==</vt:lpwstr>
  </property>
</Properties>
</file>