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关注</w:t>
      </w:r>
      <w:r>
        <w:t>TMT</w:t>
      </w:r>
      <w:r>
        <w:rPr>
          <w:rStyle w:val="15"/>
        </w:rPr>
        <w:footnoteReference w:id="0"/>
      </w:r>
      <w:r>
        <w:rPr>
          <w:rFonts w:hint="eastAsia"/>
          <w:lang w:val="en-US" w:eastAsia="zh-CN"/>
        </w:rPr>
        <w:t>行业</w:t>
      </w:r>
      <w:r>
        <w:t>投资</w:t>
      </w:r>
      <w:r>
        <w:rPr>
          <w:rFonts w:hint="eastAsia"/>
          <w:lang w:val="en-US" w:eastAsia="zh-CN"/>
        </w:rPr>
        <w:t>策略</w:t>
      </w:r>
      <w:r>
        <w:rPr>
          <w:rFonts w:hint="eastAsia"/>
        </w:rPr>
        <w:t>，优化科技</w:t>
      </w:r>
      <w:r>
        <w:rPr>
          <w:rFonts w:hint="eastAsia"/>
          <w:lang w:val="en-US" w:eastAsia="zh-CN"/>
        </w:rPr>
        <w:t>创新产业</w:t>
      </w:r>
      <w:r>
        <w:rPr>
          <w:rFonts w:hint="eastAsia"/>
        </w:rPr>
        <w:t>布局</w:t>
      </w:r>
    </w:p>
    <w:p>
      <w:pPr>
        <w:spacing w:before="156" w:beforeLines="50" w:after="156" w:afterLines="50"/>
        <w:ind w:firstLine="480"/>
        <w:rPr>
          <w:rFonts w:hint="eastAsia"/>
          <w:szCs w:val="24"/>
        </w:rPr>
      </w:pPr>
      <w:r>
        <w:rPr>
          <w:rFonts w:hint="eastAsia"/>
          <w:szCs w:val="24"/>
        </w:rPr>
        <w:t>对比美国，我国TMT行业上市企业虽规模庞大，但产品同质化严重，难以有效满足市场多样化需求。2023年TMT行业净利润率仅为5.4%，企业利润空间已经显著缩减，亟需投资以增强竞争力。随着2024年新质生产力培育计划正式启动，为TMT企业带来转型升级契机。本文</w:t>
      </w:r>
      <w:r>
        <w:rPr>
          <w:rFonts w:hint="eastAsia"/>
          <w:szCs w:val="24"/>
          <w:lang w:val="en-US" w:eastAsia="zh-CN"/>
        </w:rPr>
        <w:t>对</w:t>
      </w:r>
      <w:r>
        <w:rPr>
          <w:szCs w:val="24"/>
        </w:rPr>
        <w:t>TMT</w:t>
      </w:r>
      <w:r>
        <w:rPr>
          <w:rFonts w:hint="eastAsia"/>
          <w:szCs w:val="24"/>
        </w:rPr>
        <w:t>重点上市</w:t>
      </w:r>
      <w:r>
        <w:rPr>
          <w:szCs w:val="24"/>
        </w:rPr>
        <w:t>企业投资</w:t>
      </w:r>
      <w:r>
        <w:rPr>
          <w:rFonts w:hint="eastAsia"/>
          <w:szCs w:val="24"/>
          <w:lang w:val="en-US" w:eastAsia="zh-CN"/>
        </w:rPr>
        <w:t>形势进行</w:t>
      </w:r>
      <w:r>
        <w:rPr>
          <w:szCs w:val="24"/>
        </w:rPr>
        <w:t>分析，</w:t>
      </w:r>
      <w:r>
        <w:rPr>
          <w:rFonts w:hint="eastAsia"/>
          <w:szCs w:val="24"/>
          <w:lang w:val="en-US" w:eastAsia="zh-CN"/>
        </w:rPr>
        <w:t>剖析</w:t>
      </w:r>
      <w:r>
        <w:rPr>
          <w:szCs w:val="24"/>
        </w:rPr>
        <w:t>头部企业的投资策略，</w:t>
      </w:r>
      <w:r>
        <w:rPr>
          <w:rFonts w:hint="eastAsia"/>
          <w:szCs w:val="24"/>
          <w:lang w:val="en-US" w:eastAsia="zh-CN"/>
        </w:rPr>
        <w:t>并为</w:t>
      </w:r>
      <w:r>
        <w:rPr>
          <w:rFonts w:hint="eastAsia"/>
          <w:szCs w:val="24"/>
        </w:rPr>
        <w:t>运营商</w:t>
      </w:r>
      <w:r>
        <w:rPr>
          <w:rFonts w:hint="eastAsia"/>
          <w:szCs w:val="24"/>
          <w:lang w:val="en-US" w:eastAsia="zh-CN"/>
        </w:rPr>
        <w:t>提出</w:t>
      </w:r>
      <w:r>
        <w:rPr>
          <w:szCs w:val="24"/>
        </w:rPr>
        <w:t>优化科技</w:t>
      </w:r>
      <w:r>
        <w:rPr>
          <w:rFonts w:hint="eastAsia"/>
          <w:szCs w:val="24"/>
          <w:lang w:val="en-US" w:eastAsia="zh-CN"/>
        </w:rPr>
        <w:t>创新资本配置的</w:t>
      </w:r>
      <w:r>
        <w:rPr>
          <w:rFonts w:hint="eastAsia"/>
          <w:szCs w:val="24"/>
        </w:rPr>
        <w:t>启示</w:t>
      </w:r>
      <w:r>
        <w:rPr>
          <w:szCs w:val="24"/>
        </w:rPr>
        <w:t>。</w:t>
      </w:r>
    </w:p>
    <w:p>
      <w:pPr>
        <w:pStyle w:val="3"/>
      </w:pPr>
      <w:r>
        <w:rPr>
          <w:rFonts w:hint="eastAsia"/>
        </w:rPr>
        <w:t>一、T</w:t>
      </w:r>
      <w:r>
        <w:t>MT</w:t>
      </w:r>
      <w:r>
        <w:rPr>
          <w:rFonts w:hint="eastAsia"/>
        </w:rPr>
        <w:t>上市企业投资总体趋势</w:t>
      </w:r>
    </w:p>
    <w:p>
      <w:pPr>
        <w:pStyle w:val="4"/>
        <w:spacing w:before="156" w:beforeLines="50" w:after="156" w:afterLines="50"/>
        <w:rPr>
          <w:szCs w:val="24"/>
        </w:rPr>
      </w:pPr>
      <w:r>
        <w:rPr>
          <w:rFonts w:hint="eastAsia"/>
          <w:szCs w:val="24"/>
        </w:rPr>
        <w:t>1</w:t>
      </w:r>
      <w:r>
        <w:rPr>
          <w:szCs w:val="24"/>
        </w:rPr>
        <w:t xml:space="preserve">.1 </w:t>
      </w:r>
      <w:r>
        <w:rPr>
          <w:rFonts w:hint="eastAsia"/>
          <w:szCs w:val="24"/>
        </w:rPr>
        <w:t>国内外风险相互叠加，企业投资较为谨慎</w:t>
      </w:r>
    </w:p>
    <w:p>
      <w:pPr>
        <w:spacing w:before="156" w:beforeLines="50" w:after="156" w:afterLines="50"/>
        <w:ind w:firstLine="480"/>
        <w:rPr>
          <w:szCs w:val="24"/>
        </w:rPr>
      </w:pPr>
      <w:r>
        <w:rPr>
          <w:rFonts w:hint="eastAsia"/>
          <w:szCs w:val="24"/>
        </w:rPr>
        <w:t>选取</w:t>
      </w:r>
      <w:r>
        <w:rPr>
          <w:szCs w:val="24"/>
        </w:rPr>
        <w:t>TMT</w:t>
      </w:r>
      <w:r>
        <w:rPr>
          <w:rFonts w:hint="eastAsia"/>
          <w:szCs w:val="24"/>
        </w:rPr>
        <w:t>市值T</w:t>
      </w:r>
      <w:r>
        <w:rPr>
          <w:szCs w:val="24"/>
        </w:rPr>
        <w:t>OP50</w:t>
      </w:r>
      <w:r>
        <w:rPr>
          <w:rFonts w:hint="eastAsia"/>
          <w:szCs w:val="24"/>
        </w:rPr>
        <w:t>企业作为研究样本，回顾其近五年对外投资情况</w:t>
      </w:r>
      <w:r>
        <w:rPr>
          <w:rStyle w:val="15"/>
          <w:rFonts w:hint="eastAsia"/>
          <w:szCs w:val="24"/>
        </w:rPr>
        <w:footnoteReference w:id="1"/>
      </w:r>
      <w:r>
        <w:rPr>
          <w:rFonts w:hint="eastAsia"/>
          <w:szCs w:val="24"/>
        </w:rPr>
        <w:t>，投资数量从2</w:t>
      </w:r>
      <w:r>
        <w:rPr>
          <w:szCs w:val="24"/>
        </w:rPr>
        <w:t>019</w:t>
      </w:r>
      <w:r>
        <w:rPr>
          <w:rFonts w:hint="eastAsia"/>
          <w:szCs w:val="24"/>
        </w:rPr>
        <w:t>年的2</w:t>
      </w:r>
      <w:r>
        <w:rPr>
          <w:szCs w:val="24"/>
        </w:rPr>
        <w:t>64</w:t>
      </w:r>
      <w:r>
        <w:rPr>
          <w:rFonts w:hint="eastAsia"/>
          <w:szCs w:val="24"/>
        </w:rPr>
        <w:t>次，增长至</w:t>
      </w:r>
      <w:r>
        <w:rPr>
          <w:szCs w:val="24"/>
        </w:rPr>
        <w:t>2021</w:t>
      </w:r>
      <w:r>
        <w:rPr>
          <w:rFonts w:hint="eastAsia"/>
          <w:szCs w:val="24"/>
        </w:rPr>
        <w:t>年高峰期的</w:t>
      </w:r>
      <w:r>
        <w:rPr>
          <w:szCs w:val="24"/>
        </w:rPr>
        <w:t>462</w:t>
      </w:r>
      <w:r>
        <w:rPr>
          <w:rFonts w:hint="eastAsia"/>
          <w:szCs w:val="24"/>
        </w:rPr>
        <w:t>次，但近两年企业投资数量有回落趋势。究其原因，</w:t>
      </w:r>
      <w:r>
        <w:rPr>
          <w:rFonts w:hint="eastAsia"/>
          <w:b/>
          <w:szCs w:val="24"/>
        </w:rPr>
        <w:t>一方面美国对华科技产业遏制打压不断升级</w:t>
      </w:r>
      <w:r>
        <w:rPr>
          <w:rFonts w:hint="eastAsia"/>
          <w:szCs w:val="24"/>
        </w:rPr>
        <w:t>，企业业务发展预期较差；</w:t>
      </w:r>
      <w:r>
        <w:rPr>
          <w:rFonts w:hint="eastAsia"/>
          <w:b/>
          <w:szCs w:val="24"/>
        </w:rPr>
        <w:t>另一方面国内市场符合资格的IPO受限，大量被投资企业无法通过IPO退出，</w:t>
      </w:r>
      <w:r>
        <w:rPr>
          <w:rFonts w:hint="eastAsia"/>
          <w:szCs w:val="24"/>
        </w:rPr>
        <w:t>2021年-202</w:t>
      </w:r>
      <w:r>
        <w:rPr>
          <w:szCs w:val="24"/>
        </w:rPr>
        <w:t>4</w:t>
      </w:r>
      <w:r>
        <w:rPr>
          <w:rFonts w:hint="eastAsia"/>
          <w:szCs w:val="24"/>
        </w:rPr>
        <w:t>年IPO数量依次为524家、428家、313家、2</w:t>
      </w:r>
      <w:r>
        <w:rPr>
          <w:szCs w:val="24"/>
        </w:rPr>
        <w:t>40</w:t>
      </w:r>
      <w:r>
        <w:rPr>
          <w:rFonts w:hint="eastAsia"/>
          <w:szCs w:val="24"/>
        </w:rPr>
        <w:t>家</w:t>
      </w:r>
      <w:r>
        <w:rPr>
          <w:rStyle w:val="15"/>
          <w:szCs w:val="24"/>
        </w:rPr>
        <w:footnoteReference w:id="2"/>
      </w:r>
      <w:r>
        <w:rPr>
          <w:rFonts w:hint="eastAsia"/>
          <w:szCs w:val="24"/>
        </w:rPr>
        <w:t>。</w:t>
      </w:r>
      <w:r>
        <w:rPr>
          <w:rFonts w:hint="eastAsia"/>
          <w:b/>
          <w:szCs w:val="24"/>
        </w:rPr>
        <w:t>叠加近两年T</w:t>
      </w:r>
      <w:r>
        <w:rPr>
          <w:b/>
          <w:szCs w:val="24"/>
        </w:rPr>
        <w:t>MT</w:t>
      </w:r>
      <w:r>
        <w:rPr>
          <w:rFonts w:hint="eastAsia"/>
          <w:b/>
          <w:szCs w:val="24"/>
        </w:rPr>
        <w:t>企业主营收入增长乏力</w:t>
      </w:r>
      <w:r>
        <w:rPr>
          <w:rFonts w:hint="eastAsia"/>
          <w:szCs w:val="24"/>
        </w:rPr>
        <w:t>，2</w:t>
      </w:r>
      <w:r>
        <w:rPr>
          <w:szCs w:val="24"/>
        </w:rPr>
        <w:t>024</w:t>
      </w:r>
      <w:r>
        <w:rPr>
          <w:rFonts w:hint="eastAsia"/>
          <w:szCs w:val="24"/>
        </w:rPr>
        <w:t>年上半年投资事件仅1</w:t>
      </w:r>
      <w:r>
        <w:rPr>
          <w:szCs w:val="24"/>
        </w:rPr>
        <w:t>23</w:t>
      </w:r>
      <w:r>
        <w:rPr>
          <w:rFonts w:hint="eastAsia"/>
          <w:szCs w:val="24"/>
        </w:rPr>
        <w:t>次，为近五年最低值，企业对外投资愈发谨慎。</w:t>
      </w:r>
    </w:p>
    <w:p>
      <w:pPr>
        <w:spacing w:before="156" w:beforeLines="50" w:after="156" w:afterLines="50"/>
        <w:ind w:firstLine="0" w:firstLineChars="0"/>
        <w:jc w:val="center"/>
        <w:rPr>
          <w:szCs w:val="24"/>
        </w:rPr>
      </w:pPr>
      <w:r>
        <w:rPr>
          <w:rFonts w:hint="eastAsia"/>
          <w:szCs w:val="24"/>
        </w:rPr>
        <w:drawing>
          <wp:inline distT="0" distB="0" distL="0" distR="0">
            <wp:extent cx="4582795" cy="2244090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/>
        <w:ind w:firstLine="0" w:firstLineChars="0"/>
        <w:jc w:val="center"/>
        <w:rPr>
          <w:szCs w:val="24"/>
        </w:rPr>
      </w:pPr>
      <w:r>
        <w:rPr>
          <w:rFonts w:hint="eastAsia"/>
          <w:szCs w:val="24"/>
        </w:rPr>
        <w:t>图1：2</w:t>
      </w:r>
      <w:r>
        <w:rPr>
          <w:szCs w:val="24"/>
        </w:rPr>
        <w:t>019-2023</w:t>
      </w:r>
      <w:r>
        <w:rPr>
          <w:rFonts w:hint="eastAsia"/>
          <w:szCs w:val="24"/>
        </w:rPr>
        <w:t>年T</w:t>
      </w:r>
      <w:r>
        <w:rPr>
          <w:szCs w:val="24"/>
        </w:rPr>
        <w:t>MT TOP50</w:t>
      </w:r>
      <w:r>
        <w:rPr>
          <w:rFonts w:hint="eastAsia"/>
          <w:szCs w:val="24"/>
        </w:rPr>
        <w:t>企业主营收入及对外投资情况</w:t>
      </w:r>
    </w:p>
    <w:p>
      <w:pPr>
        <w:pStyle w:val="4"/>
        <w:spacing w:before="156" w:beforeLines="50" w:after="156" w:afterLines="50"/>
        <w:rPr>
          <w:szCs w:val="24"/>
        </w:rPr>
      </w:pPr>
      <w:r>
        <w:rPr>
          <w:rFonts w:hint="eastAsia"/>
          <w:szCs w:val="24"/>
        </w:rPr>
        <w:t>1</w:t>
      </w:r>
      <w:r>
        <w:rPr>
          <w:szCs w:val="24"/>
        </w:rPr>
        <w:t xml:space="preserve">.2 </w:t>
      </w:r>
      <w:r>
        <w:rPr>
          <w:rFonts w:hint="eastAsia"/>
          <w:szCs w:val="24"/>
        </w:rPr>
        <w:t>人工智能、信息通信领域投资加大，倾向早期、成长期投资</w:t>
      </w:r>
    </w:p>
    <w:p>
      <w:pPr>
        <w:spacing w:before="156" w:beforeLines="50" w:after="156" w:afterLines="50"/>
        <w:ind w:firstLine="480"/>
        <w:rPr>
          <w:szCs w:val="24"/>
        </w:rPr>
      </w:pPr>
      <w:r>
        <w:rPr>
          <w:rFonts w:hint="eastAsia"/>
        </w:rPr>
        <w:t>T</w:t>
      </w:r>
      <w:r>
        <w:t xml:space="preserve">MT </w:t>
      </w:r>
      <w:r>
        <w:rPr>
          <w:rFonts w:hint="eastAsia"/>
        </w:rPr>
        <w:t>T</w:t>
      </w:r>
      <w:r>
        <w:t>OP50</w:t>
      </w:r>
      <w:r>
        <w:rPr>
          <w:rFonts w:hint="eastAsia"/>
        </w:rPr>
        <w:t>企业在整体投资趋缓的背景下，近年来积极布局战新产业，希望开辟企业价值增长第二曲线。</w:t>
      </w:r>
      <w:r>
        <w:rPr>
          <w:rFonts w:hint="eastAsia"/>
          <w:b/>
          <w:szCs w:val="24"/>
        </w:rPr>
        <w:t>一方面战新投资占比稳步提升</w:t>
      </w:r>
      <w:r>
        <w:rPr>
          <w:rFonts w:hint="eastAsia"/>
          <w:szCs w:val="24"/>
        </w:rPr>
        <w:t>，从2</w:t>
      </w:r>
      <w:r>
        <w:rPr>
          <w:szCs w:val="24"/>
        </w:rPr>
        <w:t>021</w:t>
      </w:r>
      <w:r>
        <w:rPr>
          <w:rFonts w:hint="eastAsia"/>
          <w:szCs w:val="24"/>
        </w:rPr>
        <w:t>年投资占比的4</w:t>
      </w:r>
      <w:r>
        <w:rPr>
          <w:szCs w:val="24"/>
        </w:rPr>
        <w:t>1</w:t>
      </w:r>
      <w:r>
        <w:rPr>
          <w:rFonts w:hint="eastAsia"/>
          <w:szCs w:val="24"/>
        </w:rPr>
        <w:t>%稳步增长至2</w:t>
      </w:r>
      <w:r>
        <w:rPr>
          <w:szCs w:val="24"/>
        </w:rPr>
        <w:t>023</w:t>
      </w:r>
      <w:r>
        <w:rPr>
          <w:rFonts w:hint="eastAsia"/>
          <w:szCs w:val="24"/>
        </w:rPr>
        <w:t>年的4</w:t>
      </w:r>
      <w:r>
        <w:rPr>
          <w:szCs w:val="24"/>
        </w:rPr>
        <w:t>5%</w:t>
      </w:r>
      <w:r>
        <w:rPr>
          <w:rFonts w:hint="eastAsia"/>
          <w:szCs w:val="24"/>
        </w:rPr>
        <w:t>，</w:t>
      </w:r>
      <w:r>
        <w:rPr>
          <w:rFonts w:hint="eastAsia"/>
          <w:b/>
          <w:szCs w:val="24"/>
        </w:rPr>
        <w:t>重点投资人工智能、新一代信息通信等领域</w:t>
      </w:r>
      <w:r>
        <w:rPr>
          <w:rFonts w:hint="eastAsia"/>
          <w:szCs w:val="24"/>
        </w:rPr>
        <w:t>，今年上半年重点对卫星导航、5</w:t>
      </w:r>
      <w:r>
        <w:rPr>
          <w:szCs w:val="24"/>
        </w:rPr>
        <w:t>G</w:t>
      </w:r>
      <w:r>
        <w:rPr>
          <w:rFonts w:hint="eastAsia"/>
          <w:szCs w:val="24"/>
        </w:rPr>
        <w:t>小型基站芯片、人工智能基础软件开发、A</w:t>
      </w:r>
      <w:r>
        <w:rPr>
          <w:szCs w:val="24"/>
        </w:rPr>
        <w:t>I</w:t>
      </w:r>
      <w:r>
        <w:rPr>
          <w:rFonts w:hint="eastAsia"/>
          <w:szCs w:val="24"/>
        </w:rPr>
        <w:t>数字化产品等领域企业进行投资。</w:t>
      </w:r>
      <w:r>
        <w:rPr>
          <w:rFonts w:hint="eastAsia"/>
          <w:b/>
          <w:szCs w:val="24"/>
        </w:rPr>
        <w:t>另一方面倾向在早期、成长期进行投资</w:t>
      </w:r>
      <w:r>
        <w:rPr>
          <w:rFonts w:hint="eastAsia"/>
          <w:szCs w:val="24"/>
        </w:rPr>
        <w:t>，尽早押注有发展潜力的企业，如中移资本6月对星曜半导体B轮领投1</w:t>
      </w:r>
      <w:r>
        <w:rPr>
          <w:szCs w:val="24"/>
        </w:rPr>
        <w:t>0</w:t>
      </w:r>
      <w:r>
        <w:rPr>
          <w:rFonts w:hint="eastAsia"/>
          <w:szCs w:val="24"/>
        </w:rPr>
        <w:t>亿、兆易创新6月对剂泰医药C轮领投7亿。在T</w:t>
      </w:r>
      <w:r>
        <w:rPr>
          <w:szCs w:val="24"/>
        </w:rPr>
        <w:t>MT</w:t>
      </w:r>
      <w:r>
        <w:rPr>
          <w:rFonts w:hint="eastAsia"/>
          <w:szCs w:val="24"/>
        </w:rPr>
        <w:t>上市企业主营业务进入成熟期后，利用投资进行二次创新，积极拓展业务版图。</w:t>
      </w:r>
    </w:p>
    <w:p>
      <w:pPr>
        <w:spacing w:before="156" w:beforeLines="50" w:after="156" w:afterLines="50"/>
        <w:ind w:firstLine="0" w:firstLineChars="0"/>
        <w:jc w:val="center"/>
        <w:rPr>
          <w:szCs w:val="24"/>
        </w:rPr>
      </w:pPr>
      <w:r>
        <w:rPr>
          <w:rFonts w:hint="eastAsia"/>
          <w:szCs w:val="24"/>
        </w:rPr>
        <w:drawing>
          <wp:inline distT="0" distB="0" distL="0" distR="0">
            <wp:extent cx="4168775" cy="2110740"/>
            <wp:effectExtent l="0" t="0" r="317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/>
        <w:ind w:firstLine="0" w:firstLineChars="0"/>
        <w:jc w:val="center"/>
        <w:rPr>
          <w:szCs w:val="24"/>
        </w:rPr>
      </w:pPr>
      <w:r>
        <w:rPr>
          <w:rFonts w:hint="eastAsia"/>
          <w:szCs w:val="24"/>
        </w:rPr>
        <w:t>图</w:t>
      </w:r>
      <w:r>
        <w:rPr>
          <w:szCs w:val="24"/>
        </w:rPr>
        <w:t>2</w:t>
      </w:r>
      <w:r>
        <w:rPr>
          <w:rFonts w:hint="eastAsia"/>
          <w:szCs w:val="24"/>
        </w:rPr>
        <w:t>：2</w:t>
      </w:r>
      <w:r>
        <w:rPr>
          <w:szCs w:val="24"/>
        </w:rPr>
        <w:t>021-2024</w:t>
      </w:r>
      <w:r>
        <w:rPr>
          <w:rFonts w:hint="eastAsia"/>
          <w:szCs w:val="24"/>
        </w:rPr>
        <w:t>年上半年T</w:t>
      </w:r>
      <w:r>
        <w:rPr>
          <w:szCs w:val="24"/>
        </w:rPr>
        <w:t>MT TOP50</w:t>
      </w:r>
      <w:r>
        <w:rPr>
          <w:rFonts w:hint="eastAsia"/>
          <w:szCs w:val="24"/>
        </w:rPr>
        <w:t>企业投资战新领域事件占比</w:t>
      </w:r>
    </w:p>
    <w:p>
      <w:pPr>
        <w:spacing w:before="156" w:beforeLines="50" w:after="156" w:afterLines="50"/>
        <w:ind w:firstLine="0" w:firstLineChars="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2605405" cy="224345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540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/>
        <w:ind w:firstLine="0" w:firstLineChars="0"/>
        <w:jc w:val="center"/>
        <w:rPr>
          <w:szCs w:val="24"/>
        </w:rPr>
      </w:pPr>
      <w:r>
        <w:rPr>
          <w:rFonts w:hint="eastAsia"/>
          <w:szCs w:val="24"/>
        </w:rPr>
        <w:t>图3：2</w:t>
      </w:r>
      <w:r>
        <w:rPr>
          <w:szCs w:val="24"/>
        </w:rPr>
        <w:t>021-2024</w:t>
      </w:r>
      <w:r>
        <w:rPr>
          <w:rFonts w:hint="eastAsia"/>
          <w:szCs w:val="24"/>
        </w:rPr>
        <w:t>年上半年T</w:t>
      </w:r>
      <w:r>
        <w:rPr>
          <w:szCs w:val="24"/>
        </w:rPr>
        <w:t>MT TOP50</w:t>
      </w:r>
      <w:r>
        <w:rPr>
          <w:rFonts w:hint="eastAsia"/>
          <w:szCs w:val="24"/>
        </w:rPr>
        <w:t>企业出资阶段分布</w:t>
      </w:r>
      <w:r>
        <w:rPr>
          <w:rStyle w:val="15"/>
          <w:rFonts w:hint="eastAsia"/>
          <w:szCs w:val="24"/>
        </w:rPr>
        <w:footnoteReference w:id="3"/>
      </w:r>
    </w:p>
    <w:p>
      <w:pPr>
        <w:pStyle w:val="4"/>
        <w:spacing w:before="156" w:beforeLines="50" w:after="156" w:afterLines="50"/>
        <w:rPr>
          <w:szCs w:val="24"/>
        </w:rPr>
      </w:pPr>
      <w:r>
        <w:rPr>
          <w:rFonts w:hint="eastAsia"/>
          <w:szCs w:val="24"/>
        </w:rPr>
        <w:t>1</w:t>
      </w:r>
      <w:r>
        <w:rPr>
          <w:szCs w:val="24"/>
        </w:rPr>
        <w:t xml:space="preserve">.3 </w:t>
      </w:r>
      <w:r>
        <w:rPr>
          <w:rFonts w:hint="eastAsia"/>
          <w:szCs w:val="24"/>
        </w:rPr>
        <w:t>企业投资出现分化，部分信息技术企业投资热度较高</w:t>
      </w:r>
    </w:p>
    <w:p>
      <w:pPr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ab/>
      </w:r>
      <w:r>
        <w:rPr>
          <w:rFonts w:hint="eastAsia"/>
          <w:b/>
          <w:szCs w:val="24"/>
        </w:rPr>
        <w:t>一方面大部分</w:t>
      </w:r>
      <w:r>
        <w:rPr>
          <w:b/>
          <w:szCs w:val="24"/>
        </w:rPr>
        <w:t>市值较低</w:t>
      </w:r>
      <w:r>
        <w:rPr>
          <w:rFonts w:hint="eastAsia"/>
          <w:b/>
          <w:szCs w:val="24"/>
        </w:rPr>
        <w:t>企业</w:t>
      </w:r>
      <w:r>
        <w:rPr>
          <w:b/>
          <w:szCs w:val="24"/>
        </w:rPr>
        <w:t>，</w:t>
      </w:r>
      <w:r>
        <w:rPr>
          <w:rFonts w:hint="eastAsia"/>
          <w:b/>
          <w:szCs w:val="24"/>
        </w:rPr>
        <w:t>谨慎</w:t>
      </w:r>
      <w:r>
        <w:rPr>
          <w:b/>
          <w:szCs w:val="24"/>
        </w:rPr>
        <w:t>投向</w:t>
      </w:r>
      <w:r>
        <w:rPr>
          <w:rFonts w:hint="eastAsia"/>
          <w:b/>
          <w:szCs w:val="24"/>
        </w:rPr>
        <w:t>自身</w:t>
      </w:r>
      <w:r>
        <w:rPr>
          <w:b/>
          <w:szCs w:val="24"/>
        </w:rPr>
        <w:t>主营业务领域</w:t>
      </w:r>
      <w:r>
        <w:rPr>
          <w:rFonts w:hint="eastAsia"/>
          <w:szCs w:val="24"/>
        </w:rPr>
        <w:t>。如分众</w:t>
      </w:r>
      <w:r>
        <w:rPr>
          <w:szCs w:val="24"/>
        </w:rPr>
        <w:t>传媒</w:t>
      </w:r>
      <w:r>
        <w:rPr>
          <w:rFonts w:hint="eastAsia"/>
          <w:szCs w:val="24"/>
        </w:rPr>
        <w:t>对外</w:t>
      </w:r>
      <w:r>
        <w:rPr>
          <w:szCs w:val="24"/>
        </w:rPr>
        <w:t>投资</w:t>
      </w:r>
      <w:r>
        <w:rPr>
          <w:rFonts w:hint="eastAsia"/>
          <w:szCs w:val="24"/>
        </w:rPr>
        <w:t>集中在广告营销服务领域，战新项目占比不足</w:t>
      </w:r>
      <w:r>
        <w:rPr>
          <w:szCs w:val="24"/>
        </w:rPr>
        <w:t>30%,</w:t>
      </w:r>
      <w:r>
        <w:rPr>
          <w:rFonts w:hint="eastAsia"/>
          <w:szCs w:val="24"/>
        </w:rPr>
        <w:t>且今年没有对外投资行为。</w:t>
      </w:r>
      <w:r>
        <w:rPr>
          <w:rFonts w:hint="eastAsia"/>
          <w:b/>
          <w:szCs w:val="24"/>
        </w:rPr>
        <w:t>另一方面电信服务企业投资平稳，少量信息技术企业投资热度较高</w:t>
      </w:r>
      <w:r>
        <w:rPr>
          <w:rFonts w:hint="eastAsia"/>
          <w:szCs w:val="24"/>
        </w:rPr>
        <w:t>。中国移动、中国电信对外投资数量超过1</w:t>
      </w:r>
      <w:r>
        <w:rPr>
          <w:szCs w:val="24"/>
        </w:rPr>
        <w:t>00</w:t>
      </w:r>
      <w:r>
        <w:rPr>
          <w:rFonts w:hint="eastAsia"/>
          <w:szCs w:val="24"/>
        </w:rPr>
        <w:t>，近年投资数量没有大波动。兆易创新、科大讯飞等信息技术企业对外投资热情很高，年复合增速超</w:t>
      </w:r>
      <w:r>
        <w:rPr>
          <w:szCs w:val="24"/>
        </w:rPr>
        <w:t>20%</w:t>
      </w:r>
      <w:r>
        <w:rPr>
          <w:rFonts w:hint="eastAsia"/>
          <w:szCs w:val="24"/>
        </w:rPr>
        <w:t>，是T</w:t>
      </w:r>
      <w:r>
        <w:rPr>
          <w:szCs w:val="24"/>
        </w:rPr>
        <w:t>MT</w:t>
      </w:r>
      <w:r>
        <w:rPr>
          <w:rFonts w:hint="eastAsia"/>
          <w:szCs w:val="24"/>
        </w:rPr>
        <w:t>板块的投资主力。</w:t>
      </w:r>
    </w:p>
    <w:p>
      <w:pPr>
        <w:spacing w:before="156" w:beforeLines="50" w:after="156" w:afterLines="50"/>
        <w:ind w:firstLine="0" w:firstLineChars="0"/>
        <w:rPr>
          <w:szCs w:val="24"/>
        </w:rPr>
      </w:pPr>
      <w:r>
        <w:rPr>
          <w:rFonts w:hint="eastAsia"/>
          <w:szCs w:val="24"/>
        </w:rPr>
        <w:drawing>
          <wp:inline distT="0" distB="0" distL="114300" distR="114300">
            <wp:extent cx="5271770" cy="2649220"/>
            <wp:effectExtent l="0" t="0" r="5080" b="8255"/>
            <wp:docPr id="2" name="图片 2" descr="63d17b9a8b11bf7f792b617f0d95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3d17b9a8b11bf7f792b617f0d9564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/>
        <w:ind w:firstLine="0" w:firstLineChars="0"/>
        <w:jc w:val="center"/>
        <w:rPr>
          <w:szCs w:val="24"/>
        </w:rPr>
      </w:pPr>
      <w:r>
        <w:rPr>
          <w:rFonts w:hint="eastAsia"/>
          <w:szCs w:val="24"/>
        </w:rPr>
        <w:t>图4：企业市值与投资事件数量关系情况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重点企业的投资特点分析</w:t>
      </w:r>
    </w:p>
    <w:p>
      <w:pPr>
        <w:spacing w:before="156" w:beforeLines="50" w:after="156" w:afterLines="50"/>
        <w:ind w:firstLine="480"/>
        <w:rPr>
          <w:szCs w:val="24"/>
        </w:rPr>
      </w:pPr>
      <w:r>
        <w:rPr>
          <w:rFonts w:hint="eastAsia"/>
          <w:szCs w:val="24"/>
        </w:rPr>
        <w:t>为分析企业的投资</w:t>
      </w:r>
      <w:r>
        <w:rPr>
          <w:rFonts w:hint="eastAsia"/>
          <w:szCs w:val="24"/>
          <w:lang w:val="en-US" w:eastAsia="zh-CN"/>
        </w:rPr>
        <w:t>逻辑和</w:t>
      </w:r>
      <w:r>
        <w:rPr>
          <w:rFonts w:hint="eastAsia"/>
          <w:szCs w:val="24"/>
        </w:rPr>
        <w:t>特点，文章选取投资数量多、近期投资活跃的五家重点企业进一步研究，投资情况总览见表1。</w:t>
      </w:r>
    </w:p>
    <w:p>
      <w:pPr>
        <w:spacing w:before="156" w:beforeLines="50" w:after="156" w:afterLines="50"/>
        <w:ind w:firstLine="480"/>
        <w:rPr>
          <w:szCs w:val="24"/>
        </w:rPr>
      </w:pPr>
    </w:p>
    <w:p>
      <w:pPr>
        <w:spacing w:before="156" w:beforeLines="50" w:after="156" w:afterLines="50"/>
        <w:ind w:firstLine="480"/>
        <w:rPr>
          <w:szCs w:val="24"/>
        </w:rPr>
      </w:pPr>
    </w:p>
    <w:p>
      <w:pPr>
        <w:spacing w:before="156" w:beforeLines="50" w:after="156" w:afterLines="50"/>
        <w:ind w:firstLine="480"/>
        <w:rPr>
          <w:szCs w:val="24"/>
        </w:rPr>
      </w:pPr>
    </w:p>
    <w:p>
      <w:pPr>
        <w:spacing w:before="156" w:beforeLines="50" w:after="156" w:afterLines="50"/>
        <w:ind w:firstLine="480"/>
        <w:rPr>
          <w:szCs w:val="24"/>
        </w:rPr>
      </w:pPr>
    </w:p>
    <w:p>
      <w:pPr>
        <w:ind w:firstLine="480"/>
        <w:jc w:val="center"/>
      </w:pPr>
      <w:r>
        <w:rPr>
          <w:rFonts w:hint="eastAsia"/>
        </w:rPr>
        <w:t>表1：重点企业投资特点总览</w:t>
      </w:r>
    </w:p>
    <w:p>
      <w:pPr>
        <w:ind w:firstLine="0" w:firstLineChars="0"/>
        <w:jc w:val="center"/>
      </w:pPr>
      <w:r>
        <w:drawing>
          <wp:inline distT="0" distB="0" distL="114300" distR="114300">
            <wp:extent cx="5627370" cy="3345815"/>
            <wp:effectExtent l="0" t="0" r="1905" b="698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156" w:beforeLines="50" w:after="156" w:afterLines="50"/>
        <w:rPr>
          <w:szCs w:val="24"/>
        </w:rPr>
      </w:pPr>
      <w:r>
        <w:rPr>
          <w:rFonts w:hint="eastAsia"/>
          <w:szCs w:val="24"/>
        </w:rPr>
        <w:t>2</w:t>
      </w:r>
      <w:r>
        <w:rPr>
          <w:szCs w:val="24"/>
        </w:rPr>
        <w:t xml:space="preserve">.1 </w:t>
      </w:r>
      <w:r>
        <w:rPr>
          <w:rFonts w:hint="eastAsia"/>
          <w:szCs w:val="24"/>
        </w:rPr>
        <w:t>借助专业投资公司力量，优化资源配置、提升风险管理，发挥资本杠杆作用</w:t>
      </w:r>
    </w:p>
    <w:p>
      <w:pPr>
        <w:ind w:firstLine="482"/>
      </w:pPr>
      <w:r>
        <w:rPr>
          <w:rFonts w:hint="eastAsia"/>
          <w:b/>
          <w:bCs/>
        </w:rPr>
        <w:t>一是独立出资合作模式。</w:t>
      </w:r>
      <w:r>
        <w:rPr>
          <w:rFonts w:hint="eastAsia"/>
        </w:rPr>
        <w:t>企业将资本交给投资机构进行管理，充分利用投资机构的专业知识和经验，更有效地进行资本运作和风险管理。如兆易创新</w:t>
      </w:r>
      <w:r>
        <w:t>97%的投资都是通过中金启兆睿泓 (厦门) 股权投资基金合伙企业 (有限合伙)</w:t>
      </w:r>
      <w:r>
        <w:rPr>
          <w:rFonts w:hint="eastAsia"/>
        </w:rPr>
        <w:t>（兆易创新、中金资本占比99：1）</w:t>
      </w:r>
      <w:r>
        <w:t>进行实施。</w:t>
      </w:r>
      <w:r>
        <w:rPr>
          <w:rFonts w:hint="eastAsia"/>
          <w:b/>
          <w:bCs/>
        </w:rPr>
        <w:t>二是共同出资合作模式。</w:t>
      </w:r>
      <w:r>
        <w:rPr>
          <w:rFonts w:hint="eastAsia"/>
        </w:rPr>
        <w:t>企业与投资机构共同出资，形成紧密的合作关系，在投资决策和管理上获得专业指导。如中国联通与中金资本共同成立联通中金（联通、中金资本占比49：51）。此外，联通中金还与中金资本深度捆绑，共同投资超20个标的。</w:t>
      </w:r>
      <w:r>
        <w:rPr>
          <w:rFonts w:hint="eastAsia"/>
          <w:b/>
          <w:bCs/>
        </w:rPr>
        <w:t>三是政府资本合作模式。</w:t>
      </w:r>
      <w:r>
        <w:rPr>
          <w:rFonts w:hint="eastAsia"/>
        </w:rPr>
        <w:t>企业与政府资本合作，利用政策支持和资源优势共同开展投资活动。如中国移动作为“移动信息产业链链长”，与国调基金二期共同成立链长基金——北京中移数字新经济产业基金。该基金已成功投出多个明星项目，包括GPU芯片设计服务商摩尔线程等。</w:t>
      </w:r>
    </w:p>
    <w:p>
      <w:pPr>
        <w:pStyle w:val="4"/>
        <w:spacing w:before="156" w:beforeLines="50" w:after="156" w:afterLines="50"/>
        <w:rPr>
          <w:szCs w:val="24"/>
        </w:rPr>
      </w:pPr>
      <w:r>
        <w:rPr>
          <w:rFonts w:hint="eastAsia"/>
          <w:szCs w:val="24"/>
        </w:rPr>
        <w:t>2</w:t>
      </w:r>
      <w:r>
        <w:rPr>
          <w:szCs w:val="24"/>
        </w:rPr>
        <w:t xml:space="preserve">.2 </w:t>
      </w:r>
      <w:r>
        <w:rPr>
          <w:rFonts w:hint="eastAsia"/>
          <w:szCs w:val="24"/>
        </w:rPr>
        <w:t>在投资阶段选择、投资风险把控以及投资策略优化等投资方式上特征明显</w:t>
      </w:r>
    </w:p>
    <w:p>
      <w:pPr>
        <w:ind w:firstLine="482"/>
        <w:rPr>
          <w:szCs w:val="24"/>
        </w:rPr>
      </w:pPr>
      <w:r>
        <w:rPr>
          <w:rFonts w:hint="eastAsia"/>
          <w:b/>
          <w:bCs/>
          <w:szCs w:val="24"/>
        </w:rPr>
        <w:t>一是投资阶段的选择上，</w:t>
      </w:r>
      <w:r>
        <w:rPr>
          <w:rFonts w:hint="eastAsia"/>
          <w:szCs w:val="24"/>
        </w:rPr>
        <w:t>各企业根据自身的发展战略和资源状况，灵活选择投资阶段，但近五年这些企业的投资事件中，71.4%的投资集中在早期和成长期</w:t>
      </w:r>
      <w:r>
        <w:rPr>
          <w:szCs w:val="24"/>
        </w:rPr>
        <w:t>。</w:t>
      </w:r>
      <w:r>
        <w:rPr>
          <w:rFonts w:hint="eastAsia"/>
          <w:b/>
          <w:bCs/>
          <w:szCs w:val="24"/>
        </w:rPr>
        <w:t>二是投资风险的把控上，</w:t>
      </w:r>
      <w:r>
        <w:rPr>
          <w:rFonts w:hint="eastAsia"/>
          <w:szCs w:val="24"/>
        </w:rPr>
        <w:t>为更好地管理和分散投资风险，企业分离产业投资和创投，</w:t>
      </w:r>
      <w:r>
        <w:rPr>
          <w:rFonts w:hint="eastAsia"/>
        </w:rPr>
        <w:t>如科大讯飞和中国联通，通过设立独立的创投基金专注孵化企业，同时成立产业母基金深度参与资本运作。</w:t>
      </w:r>
      <w:r>
        <w:rPr>
          <w:rFonts w:hint="eastAsia"/>
          <w:b/>
          <w:bCs/>
        </w:rPr>
        <w:t>三是投资策略优化上，</w:t>
      </w:r>
      <w:r>
        <w:rPr>
          <w:rFonts w:hint="eastAsia"/>
        </w:rPr>
        <w:t>企业根据自身的风险承受能力和市场判断，合理配置跟投、领投和独立投资的比例，优化投资组合。如中国联通跟投占比70%，领投20%，独立投资10%，跟投偏爱型投资策略是一种稳健的投资风格。</w:t>
      </w:r>
    </w:p>
    <w:p>
      <w:pPr>
        <w:pStyle w:val="4"/>
      </w:pPr>
      <w:r>
        <w:t>2.3</w:t>
      </w:r>
      <w:r>
        <w:rPr>
          <w:rFonts w:hint="eastAsia"/>
        </w:rPr>
        <w:t>企业聚焦于主营业务相关产业链投资，积极向具有更高增长潜力的领域拓展</w:t>
      </w:r>
    </w:p>
    <w:p>
      <w:pPr>
        <w:ind w:firstLine="482"/>
      </w:pPr>
      <w:r>
        <w:rPr>
          <w:rFonts w:hint="eastAsia"/>
          <w:b/>
          <w:bCs/>
        </w:rPr>
        <w:t>一是聚焦产业链投资，实现上下游的协同效应。</w:t>
      </w:r>
      <w:r>
        <w:rPr>
          <w:rFonts w:hint="eastAsia"/>
        </w:rPr>
        <w:t>如中芯国际</w:t>
      </w:r>
      <w:r>
        <w:t>74%的投资活动集中在半导体产业，强化在该领域的竞争力。</w:t>
      </w:r>
      <w:r>
        <w:rPr>
          <w:b/>
          <w:bCs/>
        </w:rPr>
        <w:t>二是市场趋势导向，选择重点领域进行布局。</w:t>
      </w:r>
      <w:r>
        <w:t>如科大讯飞在智慧教育和机器人细分领域进行多次投资，随着AIGC市场兴起，今年又加大该领域的投资力度。</w:t>
      </w:r>
      <w:r>
        <w:rPr>
          <w:b/>
          <w:bCs/>
        </w:rPr>
        <w:t>三是中国移动和联通围绕战新，尤其是人工智能、通信的产业上游进行投资。</w:t>
      </w:r>
      <w:r>
        <w:t>中国移动和中国联通在战新领域投资事件占比高达77%，今年特别在通信芯片、AI芯片、光模块和光纤定位器等关键技术领域进行多起投资。</w:t>
      </w:r>
    </w:p>
    <w:p>
      <w:pPr>
        <w:pStyle w:val="3"/>
      </w:pPr>
      <w:r>
        <w:rPr>
          <w:rFonts w:hint="eastAsia"/>
        </w:rPr>
        <w:t>三、对运营商</w:t>
      </w:r>
      <w:bookmarkStart w:id="0" w:name="_GoBack"/>
      <w:bookmarkEnd w:id="0"/>
      <w:r>
        <w:rPr>
          <w:rFonts w:hint="eastAsia"/>
        </w:rPr>
        <w:t>的启示</w:t>
      </w:r>
    </w:p>
    <w:p>
      <w:pPr>
        <w:ind w:firstLine="420" w:firstLineChars="0"/>
        <w:rPr>
          <w:szCs w:val="24"/>
        </w:rPr>
      </w:pPr>
      <w:r>
        <w:rPr>
          <w:rFonts w:hint="eastAsia"/>
          <w:szCs w:val="24"/>
        </w:rPr>
        <w:t>当前</w:t>
      </w:r>
      <w:r>
        <w:rPr>
          <w:rFonts w:hint="eastAsia"/>
          <w:szCs w:val="24"/>
          <w:lang w:eastAsia="zh-CN"/>
        </w:rPr>
        <w:t>，</w:t>
      </w:r>
      <w:r>
        <w:rPr>
          <w:rFonts w:hint="eastAsia"/>
          <w:szCs w:val="24"/>
        </w:rPr>
        <w:t>资本市场对战新领域投资热度高涨，新一轮产业革命孕育待发，运营商作为我国科技创新产业发展主力军，发展机遇和挑战并存。</w:t>
      </w:r>
    </w:p>
    <w:p>
      <w:pPr>
        <w:pStyle w:val="4"/>
      </w:pPr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紧跟国家战略发展，聚焦战新核心领域适度超前布局</w:t>
      </w:r>
    </w:p>
    <w:p>
      <w:pPr>
        <w:ind w:firstLine="0" w:firstLineChars="0"/>
        <w:rPr>
          <w:rFonts w:hint="eastAsia" w:eastAsia="仿宋"/>
          <w:lang w:eastAsia="zh-CN"/>
        </w:rPr>
      </w:pPr>
      <w:r>
        <w:rPr>
          <w:szCs w:val="24"/>
        </w:rPr>
        <w:tab/>
      </w:r>
      <w:r>
        <w:rPr>
          <w:szCs w:val="24"/>
        </w:rPr>
        <w:t xml:space="preserve"> </w:t>
      </w:r>
      <w:r>
        <w:rPr>
          <w:rFonts w:hint="eastAsia"/>
          <w:szCs w:val="24"/>
        </w:rPr>
        <w:t>积极响应国家关于数字经济、新基建等战略部署，将自身发展融入国家大局。</w:t>
      </w:r>
      <w:r>
        <w:rPr>
          <w:rFonts w:hint="eastAsia"/>
          <w:b w:val="0"/>
          <w:bCs w:val="0"/>
          <w:szCs w:val="24"/>
          <w:lang w:val="en-US" w:eastAsia="zh-CN"/>
        </w:rPr>
        <w:t>在</w:t>
      </w:r>
      <w:r>
        <w:rPr>
          <w:szCs w:val="24"/>
        </w:rPr>
        <w:t>AI、新一代信息通信等领域</w:t>
      </w:r>
      <w:r>
        <w:rPr>
          <w:b w:val="0"/>
          <w:bCs w:val="0"/>
          <w:szCs w:val="24"/>
        </w:rPr>
        <w:t>适度</w:t>
      </w:r>
      <w:r>
        <w:rPr>
          <w:rFonts w:hint="eastAsia"/>
          <w:szCs w:val="24"/>
          <w:lang w:val="en-US" w:eastAsia="zh-CN"/>
        </w:rPr>
        <w:t>超前布局</w:t>
      </w:r>
      <w:r>
        <w:rPr>
          <w:rFonts w:hint="eastAsia"/>
          <w:szCs w:val="24"/>
        </w:rPr>
        <w:t>，</w:t>
      </w:r>
      <w:r>
        <w:rPr>
          <w:b w:val="0"/>
          <w:bCs w:val="0"/>
          <w:szCs w:val="24"/>
        </w:rPr>
        <w:t>加大对初创公司投资比重，</w:t>
      </w:r>
      <w:r>
        <w:rPr>
          <w:szCs w:val="24"/>
        </w:rPr>
        <w:t>以资本为纽带</w:t>
      </w:r>
      <w:r>
        <w:rPr>
          <w:rFonts w:hint="eastAsia"/>
          <w:b w:val="0"/>
          <w:bCs w:val="0"/>
          <w:szCs w:val="24"/>
        </w:rPr>
        <w:t>支</w:t>
      </w:r>
      <w:r>
        <w:rPr>
          <w:rFonts w:hint="eastAsia"/>
          <w:szCs w:val="24"/>
        </w:rPr>
        <w:t>持产业链上下游</w:t>
      </w:r>
      <w:r>
        <w:rPr>
          <w:szCs w:val="24"/>
        </w:rPr>
        <w:t>协同</w:t>
      </w:r>
      <w:r>
        <w:rPr>
          <w:rFonts w:hint="eastAsia"/>
          <w:szCs w:val="24"/>
        </w:rPr>
        <w:t>发展</w:t>
      </w:r>
      <w:r>
        <w:rPr>
          <w:rFonts w:hint="eastAsia"/>
          <w:lang w:eastAsia="zh-CN"/>
        </w:rPr>
        <w:t>。</w:t>
      </w:r>
    </w:p>
    <w:p>
      <w:pPr>
        <w:pStyle w:val="4"/>
      </w:pPr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深化投资合作力度，强化风险管理保障投资项目安全</w:t>
      </w:r>
    </w:p>
    <w:p>
      <w:pPr>
        <w:ind w:firstLine="0" w:firstLineChars="0"/>
        <w:rPr>
          <w:rFonts w:hint="eastAsia"/>
          <w:szCs w:val="24"/>
        </w:rPr>
      </w:pPr>
      <w:r>
        <w:rPr>
          <w:szCs w:val="24"/>
        </w:rPr>
        <w:tab/>
      </w:r>
      <w:r>
        <w:rPr>
          <w:rFonts w:hint="eastAsia"/>
          <w:b w:val="0"/>
          <w:bCs/>
          <w:szCs w:val="24"/>
        </w:rPr>
        <w:t>加强与专业投资机构、政府基金的合作力度</w:t>
      </w:r>
      <w:r>
        <w:rPr>
          <w:rFonts w:hint="eastAsia"/>
          <w:b w:val="0"/>
          <w:bCs/>
          <w:szCs w:val="24"/>
          <w:lang w:eastAsia="zh-CN"/>
        </w:rPr>
        <w:t>，</w:t>
      </w:r>
      <w:r>
        <w:rPr>
          <w:rFonts w:hint="eastAsia"/>
          <w:b w:val="0"/>
          <w:bCs/>
          <w:szCs w:val="24"/>
        </w:rPr>
        <w:t>构建完善的投资运作机制。</w:t>
      </w:r>
      <w:r>
        <w:rPr>
          <w:rFonts w:hint="eastAsia"/>
          <w:szCs w:val="24"/>
        </w:rPr>
        <w:t>科学规划投资项目，避免盲目和重复投资，通过多元化投资分散风险，降低单一项目或领域失败对整个企业的影响。同时</w:t>
      </w:r>
      <w:r>
        <w:rPr>
          <w:rFonts w:hint="eastAsia"/>
          <w:szCs w:val="24"/>
          <w:lang w:eastAsia="zh-CN"/>
        </w:rPr>
        <w:t>，</w:t>
      </w:r>
      <w:r>
        <w:rPr>
          <w:rFonts w:hint="eastAsia"/>
          <w:b w:val="0"/>
          <w:bCs/>
          <w:szCs w:val="24"/>
        </w:rPr>
        <w:t>建立健全项目风险识别、评估、监控和应对机制，</w:t>
      </w:r>
      <w:r>
        <w:rPr>
          <w:rFonts w:hint="eastAsia"/>
          <w:szCs w:val="24"/>
        </w:rPr>
        <w:t>加强对投资项目风险的预警和防控，</w:t>
      </w:r>
      <w:r>
        <w:rPr>
          <w:rFonts w:hint="eastAsia"/>
          <w:szCs w:val="24"/>
          <w:lang w:val="en-US" w:eastAsia="zh-CN"/>
        </w:rPr>
        <w:t>综合考虑</w:t>
      </w:r>
      <w:r>
        <w:rPr>
          <w:rFonts w:hint="eastAsia"/>
          <w:szCs w:val="24"/>
        </w:rPr>
        <w:t>投资项目的经济效益和社会效益。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8">
    <w:p>
      <w:pPr>
        <w:spacing w:line="360" w:lineRule="auto"/>
        <w:ind w:firstLine="480"/>
      </w:pPr>
      <w:r>
        <w:separator/>
      </w:r>
    </w:p>
  </w:footnote>
  <w:footnote w:type="continuationSeparator" w:id="9">
    <w:p>
      <w:pPr>
        <w:spacing w:line="360" w:lineRule="auto"/>
        <w:ind w:firstLine="480"/>
      </w:pPr>
      <w:r>
        <w:continuationSeparator/>
      </w:r>
    </w:p>
  </w:footnote>
  <w:footnote w:id="0">
    <w:p>
      <w:pPr>
        <w:pStyle w:val="9"/>
        <w:ind w:firstLine="360"/>
      </w:pPr>
      <w:r>
        <w:rPr>
          <w:rStyle w:val="15"/>
        </w:rPr>
        <w:footnoteRef/>
      </w:r>
      <w:r>
        <w:t xml:space="preserve"> </w:t>
      </w:r>
      <w:r>
        <w:rPr>
          <w:rFonts w:hint="eastAsia"/>
        </w:rPr>
        <w:t>根据Wind</w:t>
      </w:r>
      <w:r>
        <w:t xml:space="preserve"> TMT</w:t>
      </w:r>
      <w:r>
        <w:rPr>
          <w:rFonts w:hint="eastAsia"/>
        </w:rPr>
        <w:t>指数定义，指科技、媒体和通信三大板块企业</w:t>
      </w:r>
    </w:p>
  </w:footnote>
  <w:footnote w:id="1">
    <w:p>
      <w:pPr>
        <w:pStyle w:val="9"/>
        <w:ind w:firstLine="360"/>
      </w:pPr>
      <w:r>
        <w:rPr>
          <w:rStyle w:val="15"/>
        </w:rPr>
        <w:footnoteRef/>
      </w:r>
      <w:r>
        <w:t xml:space="preserve"> </w:t>
      </w:r>
      <w:r>
        <w:rPr>
          <w:rFonts w:hint="eastAsia"/>
        </w:rPr>
        <w:t>天眼查数据</w:t>
      </w:r>
    </w:p>
  </w:footnote>
  <w:footnote w:id="2">
    <w:p>
      <w:pPr>
        <w:pStyle w:val="9"/>
        <w:ind w:firstLine="360"/>
      </w:pPr>
      <w:r>
        <w:rPr>
          <w:rStyle w:val="15"/>
        </w:rPr>
        <w:footnoteRef/>
      </w:r>
      <w:r>
        <w:t xml:space="preserve"> </w:t>
      </w:r>
      <w:r>
        <w:rPr>
          <w:rFonts w:hint="eastAsia"/>
        </w:rPr>
        <w:t>普华永道发布2</w:t>
      </w:r>
      <w:r>
        <w:t>024</w:t>
      </w:r>
      <w:r>
        <w:rPr>
          <w:rFonts w:hint="eastAsia"/>
        </w:rPr>
        <w:t>年I</w:t>
      </w:r>
      <w:r>
        <w:t>PO</w:t>
      </w:r>
      <w:r>
        <w:rPr>
          <w:rFonts w:hint="eastAsia"/>
        </w:rPr>
        <w:t>市场发展及前景展望报告，预计2</w:t>
      </w:r>
      <w:r>
        <w:t>024</w:t>
      </w:r>
      <w:r>
        <w:rPr>
          <w:rFonts w:hint="eastAsia"/>
        </w:rPr>
        <w:t>年全年A股IPO数量不超过2</w:t>
      </w:r>
      <w:r>
        <w:t>40</w:t>
      </w:r>
      <w:r>
        <w:rPr>
          <w:rFonts w:hint="eastAsia"/>
        </w:rPr>
        <w:t>家</w:t>
      </w:r>
    </w:p>
  </w:footnote>
  <w:footnote w:id="3">
    <w:p>
      <w:pPr>
        <w:pStyle w:val="9"/>
        <w:ind w:firstLine="360"/>
      </w:pPr>
      <w:r>
        <w:rPr>
          <w:rStyle w:val="15"/>
        </w:rPr>
        <w:footnoteRef/>
      </w:r>
      <w:r>
        <w:t xml:space="preserve"> </w:t>
      </w:r>
      <w:r>
        <w:rPr>
          <w:rFonts w:hint="eastAsia"/>
        </w:rPr>
        <w:t>“早期”指种子轮、天使轮、A轮;“成长期”指B轮、C轮;“后期”指D轮、E轮及之后、Pre-IPO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25DB2C"/>
    <w:multiLevelType w:val="singleLevel"/>
    <w:tmpl w:val="1225DB2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attachedTemplate r:id="rId1"/>
  <w:documentProtection w:enforcement="0"/>
  <w:defaultTabStop w:val="420"/>
  <w:drawingGridVerticalSpacing w:val="156"/>
  <w:noPunctuationKerning w:val="1"/>
  <w:characterSpacingControl w:val="compressPunctuation"/>
  <w:footnotePr>
    <w:footnote w:id="8"/>
    <w:footnote w:id="9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xOTAwZmEyM2ZlMTEyYjg4OWM2ZDJmOGE0YzhlNmQifQ=="/>
    <w:docVar w:name="KSO_WPS_MARK_KEY" w:val="d8551c14-13a8-40d0-941f-302f55119cf4"/>
  </w:docVars>
  <w:rsids>
    <w:rsidRoot w:val="00E7646E"/>
    <w:rsid w:val="000011A1"/>
    <w:rsid w:val="000132BE"/>
    <w:rsid w:val="0002403C"/>
    <w:rsid w:val="00034E3C"/>
    <w:rsid w:val="00047D46"/>
    <w:rsid w:val="00050327"/>
    <w:rsid w:val="0007038D"/>
    <w:rsid w:val="00080B5B"/>
    <w:rsid w:val="00086176"/>
    <w:rsid w:val="00087690"/>
    <w:rsid w:val="000968BB"/>
    <w:rsid w:val="000A3598"/>
    <w:rsid w:val="000A4E99"/>
    <w:rsid w:val="000B2B74"/>
    <w:rsid w:val="000B3880"/>
    <w:rsid w:val="000C09D5"/>
    <w:rsid w:val="000C118D"/>
    <w:rsid w:val="000D2E15"/>
    <w:rsid w:val="000E027A"/>
    <w:rsid w:val="000E2F27"/>
    <w:rsid w:val="000E3937"/>
    <w:rsid w:val="000E4D9C"/>
    <w:rsid w:val="000F2BAF"/>
    <w:rsid w:val="000F70E1"/>
    <w:rsid w:val="0010330A"/>
    <w:rsid w:val="00110C54"/>
    <w:rsid w:val="00116D8B"/>
    <w:rsid w:val="001210B0"/>
    <w:rsid w:val="00123D36"/>
    <w:rsid w:val="001274D1"/>
    <w:rsid w:val="00145C54"/>
    <w:rsid w:val="00156C58"/>
    <w:rsid w:val="00157F42"/>
    <w:rsid w:val="00160BD3"/>
    <w:rsid w:val="00160CB1"/>
    <w:rsid w:val="001625F5"/>
    <w:rsid w:val="00164295"/>
    <w:rsid w:val="00173061"/>
    <w:rsid w:val="00173FE4"/>
    <w:rsid w:val="0017467A"/>
    <w:rsid w:val="00186EF3"/>
    <w:rsid w:val="001951FF"/>
    <w:rsid w:val="001A1D82"/>
    <w:rsid w:val="001A1FB7"/>
    <w:rsid w:val="001A6B9E"/>
    <w:rsid w:val="001A7551"/>
    <w:rsid w:val="001B12E2"/>
    <w:rsid w:val="001B456C"/>
    <w:rsid w:val="001B75CA"/>
    <w:rsid w:val="001C6F7C"/>
    <w:rsid w:val="001D0D80"/>
    <w:rsid w:val="001D16C6"/>
    <w:rsid w:val="001D4E55"/>
    <w:rsid w:val="001E5239"/>
    <w:rsid w:val="001E6DA8"/>
    <w:rsid w:val="001E7BE4"/>
    <w:rsid w:val="001F296E"/>
    <w:rsid w:val="001F5BA1"/>
    <w:rsid w:val="00220618"/>
    <w:rsid w:val="00234DE0"/>
    <w:rsid w:val="0024098E"/>
    <w:rsid w:val="00251FD0"/>
    <w:rsid w:val="002739CE"/>
    <w:rsid w:val="002829A5"/>
    <w:rsid w:val="00287E16"/>
    <w:rsid w:val="002932BD"/>
    <w:rsid w:val="002A0DB3"/>
    <w:rsid w:val="002A3540"/>
    <w:rsid w:val="002A4723"/>
    <w:rsid w:val="002B0F19"/>
    <w:rsid w:val="002B1483"/>
    <w:rsid w:val="002B59C1"/>
    <w:rsid w:val="002C0776"/>
    <w:rsid w:val="002D2176"/>
    <w:rsid w:val="002F0EF8"/>
    <w:rsid w:val="002F475B"/>
    <w:rsid w:val="002F5B4C"/>
    <w:rsid w:val="002F5D95"/>
    <w:rsid w:val="002F6E0A"/>
    <w:rsid w:val="003029D3"/>
    <w:rsid w:val="0030435C"/>
    <w:rsid w:val="00307BB6"/>
    <w:rsid w:val="003139FC"/>
    <w:rsid w:val="00315286"/>
    <w:rsid w:val="00327BA4"/>
    <w:rsid w:val="003314BC"/>
    <w:rsid w:val="00333385"/>
    <w:rsid w:val="003342B3"/>
    <w:rsid w:val="00334C73"/>
    <w:rsid w:val="0033781D"/>
    <w:rsid w:val="0034624E"/>
    <w:rsid w:val="00353704"/>
    <w:rsid w:val="0035488E"/>
    <w:rsid w:val="003613C8"/>
    <w:rsid w:val="00364249"/>
    <w:rsid w:val="00364F55"/>
    <w:rsid w:val="00370E8C"/>
    <w:rsid w:val="00376313"/>
    <w:rsid w:val="00377D3A"/>
    <w:rsid w:val="00387F26"/>
    <w:rsid w:val="0039447D"/>
    <w:rsid w:val="003947CD"/>
    <w:rsid w:val="003A091A"/>
    <w:rsid w:val="003A0E5F"/>
    <w:rsid w:val="003B1886"/>
    <w:rsid w:val="003B3D5B"/>
    <w:rsid w:val="003B7A03"/>
    <w:rsid w:val="003C1991"/>
    <w:rsid w:val="003C2769"/>
    <w:rsid w:val="003C6E49"/>
    <w:rsid w:val="003D472D"/>
    <w:rsid w:val="003D62C6"/>
    <w:rsid w:val="003D6E31"/>
    <w:rsid w:val="003E01A8"/>
    <w:rsid w:val="003F1ACA"/>
    <w:rsid w:val="003F7159"/>
    <w:rsid w:val="00403E60"/>
    <w:rsid w:val="0042625F"/>
    <w:rsid w:val="004266D6"/>
    <w:rsid w:val="004347C7"/>
    <w:rsid w:val="00436320"/>
    <w:rsid w:val="004432B5"/>
    <w:rsid w:val="00443A37"/>
    <w:rsid w:val="00445BCC"/>
    <w:rsid w:val="00447684"/>
    <w:rsid w:val="00450B83"/>
    <w:rsid w:val="004535DC"/>
    <w:rsid w:val="004719F5"/>
    <w:rsid w:val="00471C03"/>
    <w:rsid w:val="00474F95"/>
    <w:rsid w:val="00476A83"/>
    <w:rsid w:val="00490F29"/>
    <w:rsid w:val="00490FF5"/>
    <w:rsid w:val="004943C5"/>
    <w:rsid w:val="0049571B"/>
    <w:rsid w:val="00496F26"/>
    <w:rsid w:val="004A169C"/>
    <w:rsid w:val="004A584E"/>
    <w:rsid w:val="004B4143"/>
    <w:rsid w:val="004C58A3"/>
    <w:rsid w:val="004C6F8D"/>
    <w:rsid w:val="004D2574"/>
    <w:rsid w:val="004D709E"/>
    <w:rsid w:val="004E2BA2"/>
    <w:rsid w:val="004E37A1"/>
    <w:rsid w:val="004E50C5"/>
    <w:rsid w:val="004E6F47"/>
    <w:rsid w:val="004F697C"/>
    <w:rsid w:val="005111AD"/>
    <w:rsid w:val="00512A06"/>
    <w:rsid w:val="00517C6D"/>
    <w:rsid w:val="00531645"/>
    <w:rsid w:val="005339AF"/>
    <w:rsid w:val="0054436B"/>
    <w:rsid w:val="00545D68"/>
    <w:rsid w:val="00547044"/>
    <w:rsid w:val="00566A78"/>
    <w:rsid w:val="00572E24"/>
    <w:rsid w:val="00575380"/>
    <w:rsid w:val="00580AC8"/>
    <w:rsid w:val="005877D9"/>
    <w:rsid w:val="00595A83"/>
    <w:rsid w:val="00595D71"/>
    <w:rsid w:val="005A0D0D"/>
    <w:rsid w:val="005A0D90"/>
    <w:rsid w:val="005A4E3B"/>
    <w:rsid w:val="005E206D"/>
    <w:rsid w:val="005E3E93"/>
    <w:rsid w:val="005E48D6"/>
    <w:rsid w:val="005E77AA"/>
    <w:rsid w:val="005F051D"/>
    <w:rsid w:val="00601A43"/>
    <w:rsid w:val="006068B8"/>
    <w:rsid w:val="00612B5C"/>
    <w:rsid w:val="00614833"/>
    <w:rsid w:val="006233BB"/>
    <w:rsid w:val="006327EF"/>
    <w:rsid w:val="00635C4C"/>
    <w:rsid w:val="00640F75"/>
    <w:rsid w:val="00644E8E"/>
    <w:rsid w:val="00644F66"/>
    <w:rsid w:val="0064632A"/>
    <w:rsid w:val="006502B6"/>
    <w:rsid w:val="00660C4E"/>
    <w:rsid w:val="00663C12"/>
    <w:rsid w:val="00665CB3"/>
    <w:rsid w:val="00667336"/>
    <w:rsid w:val="00673DB0"/>
    <w:rsid w:val="00674966"/>
    <w:rsid w:val="0067682C"/>
    <w:rsid w:val="0068508E"/>
    <w:rsid w:val="00690BC2"/>
    <w:rsid w:val="00693717"/>
    <w:rsid w:val="006A47BE"/>
    <w:rsid w:val="006B19E8"/>
    <w:rsid w:val="006B2D89"/>
    <w:rsid w:val="006B64CD"/>
    <w:rsid w:val="006C09EC"/>
    <w:rsid w:val="006C3EE8"/>
    <w:rsid w:val="006D58B3"/>
    <w:rsid w:val="006D67C5"/>
    <w:rsid w:val="006E2702"/>
    <w:rsid w:val="006E2E51"/>
    <w:rsid w:val="006E4442"/>
    <w:rsid w:val="006F65F6"/>
    <w:rsid w:val="00700ED5"/>
    <w:rsid w:val="0070201D"/>
    <w:rsid w:val="0070203C"/>
    <w:rsid w:val="00705F44"/>
    <w:rsid w:val="007076DF"/>
    <w:rsid w:val="0071080D"/>
    <w:rsid w:val="00716690"/>
    <w:rsid w:val="00717D79"/>
    <w:rsid w:val="00720639"/>
    <w:rsid w:val="0072153D"/>
    <w:rsid w:val="00731E85"/>
    <w:rsid w:val="007331A7"/>
    <w:rsid w:val="00733EB7"/>
    <w:rsid w:val="00734F2E"/>
    <w:rsid w:val="00764CC8"/>
    <w:rsid w:val="007677A1"/>
    <w:rsid w:val="00780B69"/>
    <w:rsid w:val="007831C4"/>
    <w:rsid w:val="00786BD0"/>
    <w:rsid w:val="00797ECB"/>
    <w:rsid w:val="007A1C12"/>
    <w:rsid w:val="007A6576"/>
    <w:rsid w:val="007B0ACF"/>
    <w:rsid w:val="007C20F7"/>
    <w:rsid w:val="007D41F8"/>
    <w:rsid w:val="007D66A6"/>
    <w:rsid w:val="007F2685"/>
    <w:rsid w:val="007F3FDC"/>
    <w:rsid w:val="00812558"/>
    <w:rsid w:val="00814598"/>
    <w:rsid w:val="00816BC2"/>
    <w:rsid w:val="00831393"/>
    <w:rsid w:val="008326BA"/>
    <w:rsid w:val="008361EF"/>
    <w:rsid w:val="00842510"/>
    <w:rsid w:val="00846913"/>
    <w:rsid w:val="00852811"/>
    <w:rsid w:val="008530B7"/>
    <w:rsid w:val="0085510A"/>
    <w:rsid w:val="0086089E"/>
    <w:rsid w:val="00861885"/>
    <w:rsid w:val="00863A27"/>
    <w:rsid w:val="00865586"/>
    <w:rsid w:val="00870488"/>
    <w:rsid w:val="00871734"/>
    <w:rsid w:val="008735D1"/>
    <w:rsid w:val="008853F2"/>
    <w:rsid w:val="00890F39"/>
    <w:rsid w:val="00893858"/>
    <w:rsid w:val="008945C9"/>
    <w:rsid w:val="00895ECC"/>
    <w:rsid w:val="00896F9F"/>
    <w:rsid w:val="008A2795"/>
    <w:rsid w:val="008A598E"/>
    <w:rsid w:val="008B3375"/>
    <w:rsid w:val="008B3897"/>
    <w:rsid w:val="008C0029"/>
    <w:rsid w:val="008C2B6D"/>
    <w:rsid w:val="008C783C"/>
    <w:rsid w:val="008D4D95"/>
    <w:rsid w:val="008E2B21"/>
    <w:rsid w:val="008E41DC"/>
    <w:rsid w:val="008E4424"/>
    <w:rsid w:val="008F7C7C"/>
    <w:rsid w:val="00901CFF"/>
    <w:rsid w:val="009062AC"/>
    <w:rsid w:val="00906833"/>
    <w:rsid w:val="00910430"/>
    <w:rsid w:val="00913E35"/>
    <w:rsid w:val="00930596"/>
    <w:rsid w:val="0093090A"/>
    <w:rsid w:val="00934603"/>
    <w:rsid w:val="00957213"/>
    <w:rsid w:val="009656ED"/>
    <w:rsid w:val="0097288E"/>
    <w:rsid w:val="00974D2A"/>
    <w:rsid w:val="009767A4"/>
    <w:rsid w:val="00977B66"/>
    <w:rsid w:val="009911CB"/>
    <w:rsid w:val="00996680"/>
    <w:rsid w:val="009A5B4B"/>
    <w:rsid w:val="009B3470"/>
    <w:rsid w:val="009B389A"/>
    <w:rsid w:val="009B57D9"/>
    <w:rsid w:val="009B6490"/>
    <w:rsid w:val="009D2114"/>
    <w:rsid w:val="009D311B"/>
    <w:rsid w:val="009D33CE"/>
    <w:rsid w:val="009F5632"/>
    <w:rsid w:val="009F57C8"/>
    <w:rsid w:val="00A00545"/>
    <w:rsid w:val="00A021F2"/>
    <w:rsid w:val="00A040CA"/>
    <w:rsid w:val="00A123F2"/>
    <w:rsid w:val="00A37238"/>
    <w:rsid w:val="00A37DF1"/>
    <w:rsid w:val="00A423DF"/>
    <w:rsid w:val="00A52717"/>
    <w:rsid w:val="00A604C1"/>
    <w:rsid w:val="00A61EE7"/>
    <w:rsid w:val="00A635E5"/>
    <w:rsid w:val="00A647D1"/>
    <w:rsid w:val="00A724E6"/>
    <w:rsid w:val="00A73CF1"/>
    <w:rsid w:val="00A752B3"/>
    <w:rsid w:val="00A80F55"/>
    <w:rsid w:val="00A845B9"/>
    <w:rsid w:val="00A968C6"/>
    <w:rsid w:val="00A96B04"/>
    <w:rsid w:val="00AA304C"/>
    <w:rsid w:val="00AC04C6"/>
    <w:rsid w:val="00AD0C0F"/>
    <w:rsid w:val="00AD3687"/>
    <w:rsid w:val="00AD46A3"/>
    <w:rsid w:val="00AE443D"/>
    <w:rsid w:val="00AE5782"/>
    <w:rsid w:val="00AE60ED"/>
    <w:rsid w:val="00AF1FAE"/>
    <w:rsid w:val="00AF3FD8"/>
    <w:rsid w:val="00B02657"/>
    <w:rsid w:val="00B03432"/>
    <w:rsid w:val="00B04CDC"/>
    <w:rsid w:val="00B266CA"/>
    <w:rsid w:val="00B26D13"/>
    <w:rsid w:val="00B2708F"/>
    <w:rsid w:val="00B364AB"/>
    <w:rsid w:val="00B371AB"/>
    <w:rsid w:val="00B37BCF"/>
    <w:rsid w:val="00B46836"/>
    <w:rsid w:val="00B4733C"/>
    <w:rsid w:val="00B525A7"/>
    <w:rsid w:val="00B5687A"/>
    <w:rsid w:val="00B57CB3"/>
    <w:rsid w:val="00B61627"/>
    <w:rsid w:val="00B62577"/>
    <w:rsid w:val="00B672A8"/>
    <w:rsid w:val="00B711B6"/>
    <w:rsid w:val="00B81A61"/>
    <w:rsid w:val="00B84417"/>
    <w:rsid w:val="00B84905"/>
    <w:rsid w:val="00BB2438"/>
    <w:rsid w:val="00BB26EC"/>
    <w:rsid w:val="00BD18F2"/>
    <w:rsid w:val="00BD2D0E"/>
    <w:rsid w:val="00BD747D"/>
    <w:rsid w:val="00BE63F7"/>
    <w:rsid w:val="00BE7542"/>
    <w:rsid w:val="00BF3775"/>
    <w:rsid w:val="00C02751"/>
    <w:rsid w:val="00C04662"/>
    <w:rsid w:val="00C05FE2"/>
    <w:rsid w:val="00C079A3"/>
    <w:rsid w:val="00C105CB"/>
    <w:rsid w:val="00C11DCB"/>
    <w:rsid w:val="00C125BF"/>
    <w:rsid w:val="00C13ACA"/>
    <w:rsid w:val="00C1701E"/>
    <w:rsid w:val="00C170EB"/>
    <w:rsid w:val="00C20576"/>
    <w:rsid w:val="00C34B42"/>
    <w:rsid w:val="00C3758A"/>
    <w:rsid w:val="00C440D4"/>
    <w:rsid w:val="00C546B2"/>
    <w:rsid w:val="00C579E1"/>
    <w:rsid w:val="00C6053A"/>
    <w:rsid w:val="00C66178"/>
    <w:rsid w:val="00C716B6"/>
    <w:rsid w:val="00C71740"/>
    <w:rsid w:val="00C8494D"/>
    <w:rsid w:val="00C84AB1"/>
    <w:rsid w:val="00C867C2"/>
    <w:rsid w:val="00C90DA6"/>
    <w:rsid w:val="00C90FA6"/>
    <w:rsid w:val="00C92384"/>
    <w:rsid w:val="00CA5EBC"/>
    <w:rsid w:val="00CB2F73"/>
    <w:rsid w:val="00CB7A29"/>
    <w:rsid w:val="00CC0E4E"/>
    <w:rsid w:val="00CC2238"/>
    <w:rsid w:val="00CC6193"/>
    <w:rsid w:val="00CC75B0"/>
    <w:rsid w:val="00CC77D8"/>
    <w:rsid w:val="00CF0763"/>
    <w:rsid w:val="00CF6ECD"/>
    <w:rsid w:val="00D02F2E"/>
    <w:rsid w:val="00D053E2"/>
    <w:rsid w:val="00D13FFA"/>
    <w:rsid w:val="00D2610F"/>
    <w:rsid w:val="00D27760"/>
    <w:rsid w:val="00D31A6B"/>
    <w:rsid w:val="00D33E5F"/>
    <w:rsid w:val="00D375E7"/>
    <w:rsid w:val="00D42C32"/>
    <w:rsid w:val="00D51836"/>
    <w:rsid w:val="00D5332D"/>
    <w:rsid w:val="00D53BFD"/>
    <w:rsid w:val="00D540B6"/>
    <w:rsid w:val="00D70F79"/>
    <w:rsid w:val="00D81B35"/>
    <w:rsid w:val="00D84BA4"/>
    <w:rsid w:val="00D96E10"/>
    <w:rsid w:val="00DA5AD7"/>
    <w:rsid w:val="00DB1BF2"/>
    <w:rsid w:val="00DB2590"/>
    <w:rsid w:val="00DB30C9"/>
    <w:rsid w:val="00DB4728"/>
    <w:rsid w:val="00DB4BC7"/>
    <w:rsid w:val="00DB6121"/>
    <w:rsid w:val="00DB672E"/>
    <w:rsid w:val="00DC0E33"/>
    <w:rsid w:val="00DC3A36"/>
    <w:rsid w:val="00DD031C"/>
    <w:rsid w:val="00DF0171"/>
    <w:rsid w:val="00DF6670"/>
    <w:rsid w:val="00E035CE"/>
    <w:rsid w:val="00E07339"/>
    <w:rsid w:val="00E146B5"/>
    <w:rsid w:val="00E1663F"/>
    <w:rsid w:val="00E17AEA"/>
    <w:rsid w:val="00E216D4"/>
    <w:rsid w:val="00E23AFC"/>
    <w:rsid w:val="00E353E3"/>
    <w:rsid w:val="00E37697"/>
    <w:rsid w:val="00E3788A"/>
    <w:rsid w:val="00E451FD"/>
    <w:rsid w:val="00E453C0"/>
    <w:rsid w:val="00E457D2"/>
    <w:rsid w:val="00E56E19"/>
    <w:rsid w:val="00E56EB2"/>
    <w:rsid w:val="00E63DD0"/>
    <w:rsid w:val="00E72435"/>
    <w:rsid w:val="00E7646E"/>
    <w:rsid w:val="00E81C52"/>
    <w:rsid w:val="00E83116"/>
    <w:rsid w:val="00E83B35"/>
    <w:rsid w:val="00E93D63"/>
    <w:rsid w:val="00E94E3C"/>
    <w:rsid w:val="00EA1992"/>
    <w:rsid w:val="00EC0EF8"/>
    <w:rsid w:val="00EC5FA0"/>
    <w:rsid w:val="00ED026C"/>
    <w:rsid w:val="00ED0D09"/>
    <w:rsid w:val="00ED215F"/>
    <w:rsid w:val="00ED3FA0"/>
    <w:rsid w:val="00EE029D"/>
    <w:rsid w:val="00EF007B"/>
    <w:rsid w:val="00EF1089"/>
    <w:rsid w:val="00EF374B"/>
    <w:rsid w:val="00EF4508"/>
    <w:rsid w:val="00EF65F0"/>
    <w:rsid w:val="00EF6A3D"/>
    <w:rsid w:val="00EF75CB"/>
    <w:rsid w:val="00F017DA"/>
    <w:rsid w:val="00F02258"/>
    <w:rsid w:val="00F04087"/>
    <w:rsid w:val="00F24E7F"/>
    <w:rsid w:val="00F26BAF"/>
    <w:rsid w:val="00F27D93"/>
    <w:rsid w:val="00F3215F"/>
    <w:rsid w:val="00F352D4"/>
    <w:rsid w:val="00F40BBA"/>
    <w:rsid w:val="00F47755"/>
    <w:rsid w:val="00F5646B"/>
    <w:rsid w:val="00F56BC5"/>
    <w:rsid w:val="00F63CE8"/>
    <w:rsid w:val="00F821DE"/>
    <w:rsid w:val="00FA3A35"/>
    <w:rsid w:val="00FB2CB3"/>
    <w:rsid w:val="00FB5CD4"/>
    <w:rsid w:val="00FC2904"/>
    <w:rsid w:val="00FC5040"/>
    <w:rsid w:val="00FD77D6"/>
    <w:rsid w:val="00FE25B5"/>
    <w:rsid w:val="00FE4B4D"/>
    <w:rsid w:val="00FF005A"/>
    <w:rsid w:val="00FF1439"/>
    <w:rsid w:val="03240E13"/>
    <w:rsid w:val="036906AF"/>
    <w:rsid w:val="047D6CB9"/>
    <w:rsid w:val="04912ACD"/>
    <w:rsid w:val="04CC6B08"/>
    <w:rsid w:val="061C08B6"/>
    <w:rsid w:val="06FD269B"/>
    <w:rsid w:val="086576AD"/>
    <w:rsid w:val="093175DA"/>
    <w:rsid w:val="09E2121D"/>
    <w:rsid w:val="0AD446A3"/>
    <w:rsid w:val="0B2A3B25"/>
    <w:rsid w:val="0C9764ED"/>
    <w:rsid w:val="0D0D08FC"/>
    <w:rsid w:val="0DD34156"/>
    <w:rsid w:val="0ED47E83"/>
    <w:rsid w:val="0FDF5BB4"/>
    <w:rsid w:val="10BA50E6"/>
    <w:rsid w:val="12062D4C"/>
    <w:rsid w:val="12946A9D"/>
    <w:rsid w:val="12A04F4F"/>
    <w:rsid w:val="13127934"/>
    <w:rsid w:val="134F2CBC"/>
    <w:rsid w:val="13A00CD0"/>
    <w:rsid w:val="13E261E7"/>
    <w:rsid w:val="13E75583"/>
    <w:rsid w:val="14611365"/>
    <w:rsid w:val="15462E0A"/>
    <w:rsid w:val="179937E6"/>
    <w:rsid w:val="188337F5"/>
    <w:rsid w:val="18AD322A"/>
    <w:rsid w:val="18EB21A6"/>
    <w:rsid w:val="19AD50AF"/>
    <w:rsid w:val="1A671CAB"/>
    <w:rsid w:val="1ABB1F40"/>
    <w:rsid w:val="1BE42050"/>
    <w:rsid w:val="1C0B11C0"/>
    <w:rsid w:val="1C99302D"/>
    <w:rsid w:val="1D5334FD"/>
    <w:rsid w:val="1D8817B1"/>
    <w:rsid w:val="1F3E77A1"/>
    <w:rsid w:val="1FBC07EC"/>
    <w:rsid w:val="20EC4FC6"/>
    <w:rsid w:val="235D5D60"/>
    <w:rsid w:val="236D4252"/>
    <w:rsid w:val="23D87BE9"/>
    <w:rsid w:val="23FA0FFD"/>
    <w:rsid w:val="26127ABA"/>
    <w:rsid w:val="2747042A"/>
    <w:rsid w:val="290D0F31"/>
    <w:rsid w:val="298B65DE"/>
    <w:rsid w:val="298F6A8D"/>
    <w:rsid w:val="2AE1659D"/>
    <w:rsid w:val="2B624713"/>
    <w:rsid w:val="2C2D7D03"/>
    <w:rsid w:val="2D303DD5"/>
    <w:rsid w:val="2DA872EC"/>
    <w:rsid w:val="2DFE2B47"/>
    <w:rsid w:val="2EC06410"/>
    <w:rsid w:val="303F5F1B"/>
    <w:rsid w:val="317038E6"/>
    <w:rsid w:val="31782796"/>
    <w:rsid w:val="32070037"/>
    <w:rsid w:val="33734150"/>
    <w:rsid w:val="34066B14"/>
    <w:rsid w:val="34545E97"/>
    <w:rsid w:val="34FD0F22"/>
    <w:rsid w:val="35772D55"/>
    <w:rsid w:val="360D2CF2"/>
    <w:rsid w:val="361908AC"/>
    <w:rsid w:val="37706D04"/>
    <w:rsid w:val="37CB5B7F"/>
    <w:rsid w:val="3B5E64E9"/>
    <w:rsid w:val="3C61401E"/>
    <w:rsid w:val="3CFD2D52"/>
    <w:rsid w:val="3E1C2BE6"/>
    <w:rsid w:val="40F611DE"/>
    <w:rsid w:val="42C6780A"/>
    <w:rsid w:val="435D635D"/>
    <w:rsid w:val="44BE4109"/>
    <w:rsid w:val="45C82E7E"/>
    <w:rsid w:val="484E10AD"/>
    <w:rsid w:val="48B83281"/>
    <w:rsid w:val="492A6049"/>
    <w:rsid w:val="49551A36"/>
    <w:rsid w:val="4A9274F7"/>
    <w:rsid w:val="4D3006A2"/>
    <w:rsid w:val="4D4620BA"/>
    <w:rsid w:val="4E122349"/>
    <w:rsid w:val="501535D2"/>
    <w:rsid w:val="51D155C1"/>
    <w:rsid w:val="536027B7"/>
    <w:rsid w:val="55746880"/>
    <w:rsid w:val="563A433F"/>
    <w:rsid w:val="56BD1706"/>
    <w:rsid w:val="57A41AC9"/>
    <w:rsid w:val="57D8264D"/>
    <w:rsid w:val="57E41585"/>
    <w:rsid w:val="591016D1"/>
    <w:rsid w:val="59756784"/>
    <w:rsid w:val="5C953B81"/>
    <w:rsid w:val="5E96782C"/>
    <w:rsid w:val="5F386214"/>
    <w:rsid w:val="5F922AF6"/>
    <w:rsid w:val="5FB67C6D"/>
    <w:rsid w:val="608F1356"/>
    <w:rsid w:val="630612CC"/>
    <w:rsid w:val="63802821"/>
    <w:rsid w:val="650963BA"/>
    <w:rsid w:val="65E049D2"/>
    <w:rsid w:val="666631D0"/>
    <w:rsid w:val="67127669"/>
    <w:rsid w:val="685330FF"/>
    <w:rsid w:val="688D6550"/>
    <w:rsid w:val="69CC781C"/>
    <w:rsid w:val="6A9E6466"/>
    <w:rsid w:val="6D9F3F72"/>
    <w:rsid w:val="6DF94A8D"/>
    <w:rsid w:val="6E2A11E0"/>
    <w:rsid w:val="6E407BDC"/>
    <w:rsid w:val="6F873E3E"/>
    <w:rsid w:val="7138642E"/>
    <w:rsid w:val="71F56951"/>
    <w:rsid w:val="739E3B0B"/>
    <w:rsid w:val="73E12C22"/>
    <w:rsid w:val="74B32BF0"/>
    <w:rsid w:val="762E06E2"/>
    <w:rsid w:val="76532A48"/>
    <w:rsid w:val="77932543"/>
    <w:rsid w:val="7A0C674C"/>
    <w:rsid w:val="7BD3145A"/>
    <w:rsid w:val="7C165694"/>
    <w:rsid w:val="7CBE4CDE"/>
    <w:rsid w:val="7CEF1FB6"/>
    <w:rsid w:val="7D2F3C22"/>
    <w:rsid w:val="7DBD2FDF"/>
    <w:rsid w:val="7EBA548D"/>
    <w:rsid w:val="7F5E6269"/>
    <w:rsid w:val="7F69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仿宋" w:hAnsi="仿宋" w:eastAsia="仿宋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60" w:after="60"/>
      <w:ind w:firstLine="0" w:firstLineChars="0"/>
      <w:jc w:val="center"/>
      <w:outlineLvl w:val="0"/>
    </w:pPr>
    <w:rPr>
      <w:rFonts w:asciiTheme="minorHAnsi" w:hAnsiTheme="minorHAnsi" w:eastAsiaTheme="minorEastAsia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60" w:after="60"/>
      <w:ind w:firstLine="0" w:firstLineChars="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60" w:after="60" w:line="240" w:lineRule="auto"/>
      <w:ind w:firstLine="0" w:firstLineChars="0"/>
      <w:outlineLvl w:val="2"/>
    </w:pPr>
    <w:rPr>
      <w:b/>
      <w:bCs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9"/>
    <w:semiHidden/>
    <w:unhideWhenUsed/>
    <w:qFormat/>
    <w:uiPriority w:val="99"/>
    <w:pPr>
      <w:jc w:val="left"/>
    </w:pPr>
  </w:style>
  <w:style w:type="paragraph" w:styleId="6">
    <w:name w:val="Balloon Text"/>
    <w:basedOn w:val="1"/>
    <w:link w:val="3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7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8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9">
    <w:name w:val="footnote text"/>
    <w:basedOn w:val="1"/>
    <w:link w:val="26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kern w:val="0"/>
      <w:szCs w:val="24"/>
    </w:rPr>
  </w:style>
  <w:style w:type="paragraph" w:styleId="11">
    <w:name w:val="annotation subject"/>
    <w:basedOn w:val="5"/>
    <w:next w:val="5"/>
    <w:link w:val="30"/>
    <w:semiHidden/>
    <w:unhideWhenUsed/>
    <w:qFormat/>
    <w:uiPriority w:val="99"/>
    <w:rPr>
      <w:b/>
      <w:bCs/>
    </w:rPr>
  </w:style>
  <w:style w:type="character" w:styleId="14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styleId="15">
    <w:name w:val="footnote reference"/>
    <w:basedOn w:val="13"/>
    <w:semiHidden/>
    <w:unhideWhenUsed/>
    <w:qFormat/>
    <w:uiPriority w:val="99"/>
    <w:rPr>
      <w:vertAlign w:val="superscript"/>
    </w:rPr>
  </w:style>
  <w:style w:type="paragraph" w:customStyle="1" w:styleId="16">
    <w:name w:val="任务"/>
    <w:basedOn w:val="1"/>
    <w:link w:val="17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jc w:val="center"/>
    </w:pPr>
    <w:rPr>
      <w:rFonts w:eastAsia="宋体"/>
      <w:b/>
      <w:color w:val="FFC000"/>
    </w:rPr>
  </w:style>
  <w:style w:type="character" w:customStyle="1" w:styleId="17">
    <w:name w:val="任务 字符"/>
    <w:basedOn w:val="13"/>
    <w:link w:val="16"/>
    <w:qFormat/>
    <w:uiPriority w:val="0"/>
    <w:rPr>
      <w:rFonts w:eastAsia="宋体"/>
      <w:b/>
      <w:color w:val="FFC000"/>
    </w:rPr>
  </w:style>
  <w:style w:type="paragraph" w:customStyle="1" w:styleId="18">
    <w:name w:val="猜测"/>
    <w:basedOn w:val="1"/>
    <w:next w:val="1"/>
    <w:link w:val="19"/>
    <w:qFormat/>
    <w:uiPriority w:val="0"/>
    <w:pPr>
      <w:jc w:val="left"/>
    </w:pPr>
    <w:rPr>
      <w:rFonts w:eastAsia="宋体"/>
      <w:b/>
      <w:color w:val="4472C4"/>
    </w:rPr>
  </w:style>
  <w:style w:type="character" w:customStyle="1" w:styleId="19">
    <w:name w:val="猜测 字符"/>
    <w:link w:val="18"/>
    <w:qFormat/>
    <w:uiPriority w:val="0"/>
    <w:rPr>
      <w:rFonts w:eastAsia="宋体"/>
      <w:b/>
      <w:color w:val="4472C4"/>
    </w:rPr>
  </w:style>
  <w:style w:type="character" w:customStyle="1" w:styleId="20">
    <w:name w:val="标题 1 字符"/>
    <w:basedOn w:val="13"/>
    <w:link w:val="2"/>
    <w:qFormat/>
    <w:uiPriority w:val="9"/>
    <w:rPr>
      <w:b/>
      <w:bCs/>
      <w:kern w:val="44"/>
      <w:sz w:val="32"/>
      <w:szCs w:val="44"/>
    </w:rPr>
  </w:style>
  <w:style w:type="character" w:customStyle="1" w:styleId="21">
    <w:name w:val="标题 2 字符"/>
    <w:basedOn w:val="13"/>
    <w:link w:val="3"/>
    <w:qFormat/>
    <w:uiPriority w:val="9"/>
    <w:rPr>
      <w:rFonts w:eastAsia="仿宋" w:asciiTheme="majorHAnsi" w:hAnsiTheme="majorHAnsi" w:cstheme="majorBidi"/>
      <w:b/>
      <w:bCs/>
      <w:sz w:val="28"/>
      <w:szCs w:val="32"/>
    </w:rPr>
  </w:style>
  <w:style w:type="character" w:customStyle="1" w:styleId="22">
    <w:name w:val="标题 3 字符"/>
    <w:basedOn w:val="13"/>
    <w:link w:val="4"/>
    <w:qFormat/>
    <w:uiPriority w:val="9"/>
    <w:rPr>
      <w:rFonts w:ascii="仿宋" w:hAnsi="仿宋" w:eastAsia="仿宋"/>
      <w:b/>
      <w:bCs/>
      <w:sz w:val="24"/>
      <w:szCs w:val="32"/>
    </w:rPr>
  </w:style>
  <w:style w:type="character" w:customStyle="1" w:styleId="23">
    <w:name w:val="页眉 字符"/>
    <w:basedOn w:val="13"/>
    <w:link w:val="8"/>
    <w:qFormat/>
    <w:uiPriority w:val="99"/>
    <w:rPr>
      <w:rFonts w:ascii="仿宋" w:hAnsi="仿宋" w:eastAsia="仿宋"/>
      <w:sz w:val="18"/>
      <w:szCs w:val="18"/>
    </w:rPr>
  </w:style>
  <w:style w:type="character" w:customStyle="1" w:styleId="24">
    <w:name w:val="页脚 字符"/>
    <w:basedOn w:val="13"/>
    <w:link w:val="7"/>
    <w:qFormat/>
    <w:uiPriority w:val="99"/>
    <w:rPr>
      <w:rFonts w:ascii="仿宋" w:hAnsi="仿宋" w:eastAsia="仿宋"/>
      <w:sz w:val="18"/>
      <w:szCs w:val="18"/>
    </w:rPr>
  </w:style>
  <w:style w:type="paragraph" w:styleId="25">
    <w:name w:val="List Paragraph"/>
    <w:basedOn w:val="1"/>
    <w:qFormat/>
    <w:uiPriority w:val="34"/>
    <w:pPr>
      <w:ind w:firstLine="420"/>
    </w:pPr>
  </w:style>
  <w:style w:type="character" w:customStyle="1" w:styleId="26">
    <w:name w:val="脚注文本 字符"/>
    <w:basedOn w:val="13"/>
    <w:link w:val="9"/>
    <w:semiHidden/>
    <w:qFormat/>
    <w:uiPriority w:val="99"/>
    <w:rPr>
      <w:rFonts w:ascii="仿宋" w:hAnsi="仿宋" w:eastAsia="仿宋"/>
      <w:sz w:val="18"/>
      <w:szCs w:val="18"/>
    </w:rPr>
  </w:style>
  <w:style w:type="character" w:customStyle="1" w:styleId="27">
    <w:name w:val="font21"/>
    <w:basedOn w:val="13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28">
    <w:name w:val="font11"/>
    <w:basedOn w:val="1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9">
    <w:name w:val="批注文字 字符"/>
    <w:basedOn w:val="13"/>
    <w:link w:val="5"/>
    <w:semiHidden/>
    <w:qFormat/>
    <w:uiPriority w:val="99"/>
    <w:rPr>
      <w:rFonts w:ascii="仿宋" w:hAnsi="仿宋" w:eastAsia="仿宋" w:cstheme="minorBidi"/>
      <w:kern w:val="2"/>
      <w:sz w:val="24"/>
      <w:szCs w:val="22"/>
    </w:rPr>
  </w:style>
  <w:style w:type="character" w:customStyle="1" w:styleId="30">
    <w:name w:val="批注主题 字符"/>
    <w:basedOn w:val="29"/>
    <w:link w:val="11"/>
    <w:semiHidden/>
    <w:qFormat/>
    <w:uiPriority w:val="99"/>
    <w:rPr>
      <w:rFonts w:ascii="仿宋" w:hAnsi="仿宋" w:eastAsia="仿宋" w:cstheme="minorBidi"/>
      <w:b/>
      <w:bCs/>
      <w:kern w:val="2"/>
      <w:sz w:val="24"/>
      <w:szCs w:val="22"/>
    </w:rPr>
  </w:style>
  <w:style w:type="character" w:customStyle="1" w:styleId="31">
    <w:name w:val="批注框文本 字符"/>
    <w:basedOn w:val="13"/>
    <w:link w:val="6"/>
    <w:semiHidden/>
    <w:qFormat/>
    <w:uiPriority w:val="99"/>
    <w:rPr>
      <w:rFonts w:ascii="仿宋" w:hAnsi="仿宋" w:eastAsia="仿宋" w:cstheme="minorBidi"/>
      <w:kern w:val="2"/>
      <w:sz w:val="18"/>
      <w:szCs w:val="18"/>
    </w:rPr>
  </w:style>
  <w:style w:type="table" w:customStyle="1" w:styleId="32">
    <w:name w:val="网格表 1 浅色 - 着色 11"/>
    <w:basedOn w:val="12"/>
    <w:qFormat/>
    <w:uiPriority w:val="46"/>
    <w:tblPr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5.emf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emf"/><Relationship Id="rId12" Type="http://schemas.openxmlformats.org/officeDocument/2006/relationships/image" Target="media/image1.emf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iyd\Documents\&#33258;&#23450;&#20041;%20Office%20&#27169;&#26495;\&#19987;&#25253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42C21-6242-4142-8485-7888F574D2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专报模板.dotx</Template>
  <Company>HP Inc.</Company>
  <Pages>5</Pages>
  <Words>2315</Words>
  <Characters>2495</Characters>
  <Lines>18</Lines>
  <Paragraphs>5</Paragraphs>
  <TotalTime>1</TotalTime>
  <ScaleCrop>false</ScaleCrop>
  <LinksUpToDate>false</LinksUpToDate>
  <CharactersWithSpaces>2513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2024-07-16T01:05:00Z</dcterms:created>
  <dc:creator>peiyd</dc:creator>
  <cp:lastModifiedBy>田盼</cp:lastModifiedBy>
  <dcterms:modified xsi:type="dcterms:W3CDTF">2024-07-29T08:30:39Z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FE32A64A61954F019241E16320DD3C8C_13</vt:lpwstr>
  </property>
</Properties>
</file>