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533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4"/>
        </w:rPr>
        <w:t>关键问题掣肘云电脑发展，</w:t>
      </w:r>
    </w:p>
    <w:p>
      <w:pPr>
        <w:ind w:left="1975"/>
        <w:spacing w:before="95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头部厂商策略可资借鉴</w:t>
      </w:r>
    </w:p>
    <w:p>
      <w:pPr>
        <w:ind w:left="3457"/>
        <w:spacing w:before="331" w:line="211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3"/>
        </w:rPr>
        <w:t>文/</w:t>
      </w:r>
      <w:r>
        <w:rPr>
          <w:rFonts w:ascii="STKaiti" w:hAnsi="STKaiti" w:eastAsia="STKaiti" w:cs="STKaiti"/>
          <w:sz w:val="30"/>
          <w:szCs w:val="30"/>
          <w:spacing w:val="1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3"/>
        </w:rPr>
        <w:t>柴雪芳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pStyle w:val="BodyText"/>
        <w:ind w:left="33" w:right="260" w:firstLine="602"/>
        <w:spacing w:before="97" w:line="259" w:lineRule="auto"/>
        <w:rPr/>
      </w:pPr>
      <w:r>
        <w:rPr>
          <w:spacing w:val="-5"/>
        </w:rPr>
        <w:t>云电脑是中国电信助力政企客户进入云上数字化时代、满足</w:t>
      </w:r>
      <w:r>
        <w:rPr>
          <w:spacing w:val="-4"/>
        </w:rPr>
        <w:t>现代化办公场景需求的重要融云产品。但政企市场发展面临</w:t>
      </w:r>
      <w:r>
        <w:rPr>
          <w:spacing w:val="-5"/>
        </w:rPr>
        <w:t>三大</w:t>
      </w:r>
      <w:r>
        <w:rPr>
          <w:spacing w:val="-8"/>
        </w:rPr>
        <w:t>困境：一是发展并不理想，用户质态欠佳，1～4</w:t>
      </w:r>
      <w:r>
        <w:rPr>
          <w:spacing w:val="-29"/>
        </w:rPr>
        <w:t xml:space="preserve"> </w:t>
      </w:r>
      <w:r>
        <w:rPr>
          <w:spacing w:val="-8"/>
        </w:rPr>
        <w:t>月份全国一半省</w:t>
      </w:r>
      <w:r>
        <w:rPr>
          <w:spacing w:val="-9"/>
        </w:rPr>
        <w:t>份负增长，新增用户激活率仅</w:t>
      </w:r>
      <w:r>
        <w:rPr>
          <w:spacing w:val="-29"/>
        </w:rPr>
        <w:t xml:space="preserve"> </w:t>
      </w:r>
      <w:r>
        <w:rPr>
          <w:spacing w:val="-9"/>
        </w:rPr>
        <w:t>56%，其中</w:t>
      </w:r>
      <w:r>
        <w:rPr>
          <w:spacing w:val="-9"/>
        </w:rPr>
        <w:t xml:space="preserve"> </w:t>
      </w:r>
      <w:r>
        <w:rPr>
          <w:spacing w:val="-9"/>
        </w:rPr>
        <w:t>4</w:t>
      </w:r>
      <w:r>
        <w:rPr>
          <w:spacing w:val="-9"/>
        </w:rPr>
        <w:t xml:space="preserve"> </w:t>
      </w:r>
      <w:r>
        <w:rPr>
          <w:spacing w:val="-9"/>
        </w:rPr>
        <w:t>月份登录率仅</w:t>
      </w:r>
      <w:r>
        <w:rPr>
          <w:spacing w:val="-9"/>
        </w:rPr>
        <w:t xml:space="preserve"> </w:t>
      </w:r>
      <w:r>
        <w:rPr>
          <w:spacing w:val="-9"/>
        </w:rPr>
        <w:t>12%；</w:t>
      </w:r>
    </w:p>
    <w:p>
      <w:pPr>
        <w:pStyle w:val="BodyText"/>
        <w:ind w:left="33" w:firstLine="10"/>
        <w:spacing w:before="7" w:line="258" w:lineRule="auto"/>
        <w:rPr/>
      </w:pPr>
      <w:r>
        <w:rPr>
          <w:spacing w:val="-9"/>
        </w:rPr>
        <w:t>二是友商高调入局，移动</w:t>
      </w:r>
      <w:r>
        <w:rPr>
          <w:spacing w:val="-34"/>
        </w:rPr>
        <w:t xml:space="preserve"> </w:t>
      </w:r>
      <w:r>
        <w:rPr>
          <w:spacing w:val="-9"/>
        </w:rPr>
        <w:t>6</w:t>
      </w:r>
      <w:r>
        <w:rPr>
          <w:spacing w:val="-9"/>
        </w:rPr>
        <w:t xml:space="preserve"> </w:t>
      </w:r>
      <w:r>
        <w:rPr>
          <w:spacing w:val="-9"/>
        </w:rPr>
        <w:t>月底启动“霄云行动”，旨在</w:t>
      </w:r>
      <w:r>
        <w:rPr>
          <w:spacing w:val="-10"/>
        </w:rPr>
        <w:t>运用运</w:t>
      </w:r>
      <w:r>
        <w:rPr>
          <w:spacing w:val="1"/>
        </w:rPr>
        <w:t>营商的云网和算力资源优势发力“电信运营商级”云电脑业务；</w:t>
      </w:r>
      <w:r>
        <w:rPr>
          <w:spacing w:val="-4"/>
        </w:rPr>
        <w:t>三是主流厂商在不同行业长期耕耘，已形成卡位头部客户的</w:t>
      </w:r>
      <w:r>
        <w:rPr>
          <w:spacing w:val="-5"/>
        </w:rPr>
        <w:t>独特</w:t>
      </w:r>
      <w:r>
        <w:rPr>
          <w:spacing w:val="-8"/>
        </w:rPr>
        <w:t>优势。基于云电脑发展过程中的突出问题，</w:t>
      </w:r>
      <w:r>
        <w:rPr>
          <w:spacing w:val="-37"/>
        </w:rPr>
        <w:t xml:space="preserve"> </w:t>
      </w:r>
      <w:r>
        <w:rPr>
          <w:spacing w:val="-8"/>
        </w:rPr>
        <w:t>针对性研究</w:t>
      </w:r>
      <w:r>
        <w:rPr>
          <w:spacing w:val="-9"/>
        </w:rPr>
        <w:t>分析主流</w:t>
      </w:r>
      <w:r>
        <w:rPr>
          <w:spacing w:val="-5"/>
        </w:rPr>
        <w:t>厂商的策略做法，对中国电信政企云电脑的发展有较大</w:t>
      </w:r>
      <w:r>
        <w:rPr>
          <w:spacing w:val="-6"/>
        </w:rPr>
        <w:t>借鉴意义。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675"/>
        <w:spacing w:before="100" w:line="224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一、云电脑发展过程中的突出问题与主流厂商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借鉴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27" w:right="156" w:firstLine="598"/>
        <w:spacing w:before="98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产品发展需要对问题的快速迭代优化，但中电云电脑</w:t>
      </w:r>
      <w:r>
        <w:rPr>
          <w:rFonts w:ascii="SimSun" w:hAnsi="SimSun" w:eastAsia="SimSun" w:cs="SimSun"/>
          <w:sz w:val="30"/>
          <w:szCs w:val="30"/>
          <w:spacing w:val="-5"/>
        </w:rPr>
        <w:t>在发展</w:t>
      </w:r>
      <w:r>
        <w:rPr>
          <w:rFonts w:ascii="SimSun" w:hAnsi="SimSun" w:eastAsia="SimSun" w:cs="SimSun"/>
          <w:sz w:val="30"/>
          <w:szCs w:val="30"/>
        </w:rPr>
        <w:t>过程中，有一些突出问题长期未解决，对标主流厂商差距明显。</w:t>
      </w:r>
    </w:p>
    <w:p>
      <w:pPr>
        <w:ind w:left="27" w:right="268" w:firstLine="609"/>
        <w:spacing w:before="271"/>
        <w:outlineLvl w:val="1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（一）产品基础能力：存在传输效率低、未实现一键切换网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络、不支持同一宽带下的分组管理等情况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．云电脑传输效率低：画面清晰度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2K 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且桌面卡顿</w:t>
      </w:r>
    </w:p>
    <w:p>
      <w:pPr>
        <w:ind w:left="28" w:right="263" w:firstLine="625"/>
        <w:spacing w:before="324" w:line="26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中电情况：支持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2K  </w:t>
      </w:r>
      <w:r>
        <w:rPr>
          <w:rFonts w:ascii="SimSun" w:hAnsi="SimSun" w:eastAsia="SimSun" w:cs="SimSun"/>
          <w:sz w:val="30"/>
          <w:szCs w:val="30"/>
          <w:spacing w:val="-7"/>
        </w:rPr>
        <w:t>分辨率；但云教室等多终端场景下的卡</w:t>
      </w:r>
      <w:r>
        <w:rPr>
          <w:rFonts w:ascii="SimSun" w:hAnsi="SimSun" w:eastAsia="SimSun" w:cs="SimSun"/>
          <w:sz w:val="30"/>
          <w:szCs w:val="30"/>
          <w:spacing w:val="-4"/>
        </w:rPr>
        <w:t>顿、画面不同步等现象依然存在。</w:t>
      </w:r>
    </w:p>
    <w:p>
      <w:pPr>
        <w:ind w:left="27" w:right="259" w:firstLine="601"/>
        <w:spacing w:before="269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主流厂商做法：自研桌面协议保障桌面流畅度和分辨率，支</w:t>
      </w:r>
      <w:r>
        <w:rPr>
          <w:rFonts w:ascii="SimSun" w:hAnsi="SimSun" w:eastAsia="SimSun" w:cs="SimSun"/>
          <w:sz w:val="30"/>
          <w:szCs w:val="30"/>
          <w:spacing w:val="-3"/>
        </w:rPr>
        <w:t>持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4K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分辨率。如华为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HDP</w:t>
      </w:r>
      <w:r>
        <w:rPr>
          <w:rFonts w:ascii="Times New Roman" w:hAnsi="Times New Roman" w:eastAsia="Times New Roman" w:cs="Times New Roman"/>
          <w:sz w:val="30"/>
          <w:szCs w:val="3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高清传输协议，阿里云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ASP</w:t>
      </w:r>
      <w:r>
        <w:rPr>
          <w:rFonts w:ascii="Times New Roman" w:hAnsi="Times New Roman" w:eastAsia="Times New Roman" w:cs="Times New Roman"/>
          <w:sz w:val="30"/>
          <w:szCs w:val="30"/>
          <w:spacing w:val="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流化协</w:t>
      </w:r>
      <w:r>
        <w:rPr>
          <w:rFonts w:ascii="SimSun" w:hAnsi="SimSun" w:eastAsia="SimSun" w:cs="SimSun"/>
          <w:sz w:val="30"/>
          <w:szCs w:val="30"/>
          <w:spacing w:val="-2"/>
        </w:rPr>
        <w:t>议，深信服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SRAP  </w:t>
      </w:r>
      <w:r>
        <w:rPr>
          <w:rFonts w:ascii="SimSun" w:hAnsi="SimSun" w:eastAsia="SimSun" w:cs="SimSun"/>
          <w:sz w:val="30"/>
          <w:szCs w:val="30"/>
          <w:spacing w:val="-2"/>
        </w:rPr>
        <w:t>高效交付协议等。深信服的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SRAP  </w:t>
      </w:r>
      <w:r>
        <w:rPr>
          <w:rFonts w:ascii="SimSun" w:hAnsi="SimSun" w:eastAsia="SimSun" w:cs="SimSun"/>
          <w:sz w:val="30"/>
          <w:szCs w:val="30"/>
          <w:spacing w:val="-2"/>
        </w:rPr>
        <w:t>高效交付</w:t>
      </w:r>
      <w:r>
        <w:rPr>
          <w:rFonts w:ascii="SimSun" w:hAnsi="SimSun" w:eastAsia="SimSun" w:cs="SimSun"/>
          <w:sz w:val="30"/>
          <w:szCs w:val="30"/>
          <w:spacing w:val="-4"/>
        </w:rPr>
        <w:t>协议采用高效流压缩、智能图像缓存、动态图像优化等多项技术</w:t>
      </w:r>
      <w:r>
        <w:rPr>
          <w:rFonts w:ascii="SimSun" w:hAnsi="SimSun" w:eastAsia="SimSun" w:cs="SimSun"/>
          <w:sz w:val="30"/>
          <w:szCs w:val="30"/>
          <w:spacing w:val="-4"/>
        </w:rPr>
        <w:t>提升传输效率；另外采用视频重定向、终端硬件解码技术以减少</w:t>
      </w:r>
    </w:p>
    <w:p>
      <w:pPr>
        <w:spacing w:line="260" w:lineRule="auto"/>
        <w:sectPr>
          <w:pgSz w:w="11907" w:h="16839"/>
          <w:pgMar w:top="1431" w:right="153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5"/>
        <w:spacing w:before="86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CPU</w:t>
      </w:r>
      <w:r>
        <w:rPr>
          <w:rFonts w:ascii="Times New Roman" w:hAnsi="Times New Roman" w:eastAsia="Times New Roman" w:cs="Times New Roman"/>
          <w:sz w:val="30"/>
          <w:szCs w:val="30"/>
          <w:spacing w:val="6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占用。用户无需配置高性能服务器也能支持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4K </w:t>
      </w:r>
      <w:r>
        <w:rPr>
          <w:rFonts w:ascii="SimSun" w:hAnsi="SimSun" w:eastAsia="SimSun" w:cs="SimSun"/>
          <w:sz w:val="30"/>
          <w:szCs w:val="30"/>
          <w:spacing w:val="-4"/>
        </w:rPr>
        <w:t>分辨率。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624"/>
        <w:spacing w:before="97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．未实现一键断网</w:t>
      </w:r>
    </w:p>
    <w:p>
      <w:pPr>
        <w:ind w:left="29" w:right="258" w:firstLine="624"/>
        <w:spacing w:before="320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中电情况：教育行业客户提出云教室场景一</w:t>
      </w:r>
      <w:r>
        <w:rPr>
          <w:rFonts w:ascii="SimSun" w:hAnsi="SimSun" w:eastAsia="SimSun" w:cs="SimSun"/>
          <w:sz w:val="30"/>
          <w:szCs w:val="30"/>
          <w:spacing w:val="-6"/>
        </w:rPr>
        <w:t>键控制上、下网</w:t>
      </w:r>
      <w:r>
        <w:rPr>
          <w:rFonts w:ascii="SimSun" w:hAnsi="SimSun" w:eastAsia="SimSun" w:cs="SimSun"/>
          <w:sz w:val="30"/>
          <w:szCs w:val="30"/>
          <w:spacing w:val="-4"/>
        </w:rPr>
        <w:t>或者断网的功能，但未能实现。</w:t>
      </w:r>
    </w:p>
    <w:p>
      <w:pPr>
        <w:ind w:left="26" w:firstLine="602"/>
        <w:spacing w:before="272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主流厂商做法：同时提供逻辑和物理网络隔离方案，一键切</w:t>
      </w:r>
      <w:r>
        <w:rPr>
          <w:rFonts w:ascii="SimSun" w:hAnsi="SimSun" w:eastAsia="SimSun" w:cs="SimSun"/>
          <w:sz w:val="30"/>
          <w:szCs w:val="30"/>
          <w:spacing w:val="-9"/>
        </w:rPr>
        <w:t>换，操作便捷。深信服研发了物理隔离的网络切换器， 有一个网</w:t>
      </w:r>
      <w:r>
        <w:rPr>
          <w:rFonts w:ascii="SimSun" w:hAnsi="SimSun" w:eastAsia="SimSun" w:cs="SimSun"/>
          <w:sz w:val="30"/>
          <w:szCs w:val="30"/>
          <w:spacing w:val="-4"/>
        </w:rPr>
        <w:t>线进口多个网线出口，使得切换器可以连接多个网络；通过切换</w:t>
      </w:r>
      <w:r>
        <w:rPr>
          <w:rFonts w:ascii="SimSun" w:hAnsi="SimSun" w:eastAsia="SimSun" w:cs="SimSun"/>
          <w:sz w:val="30"/>
          <w:szCs w:val="30"/>
          <w:spacing w:val="-5"/>
        </w:rPr>
        <w:t>器上的按键实现不同网络切换，确保同一时间只能连接</w:t>
      </w:r>
      <w:r>
        <w:rPr>
          <w:rFonts w:ascii="SimSun" w:hAnsi="SimSun" w:eastAsia="SimSun" w:cs="SimSun"/>
          <w:sz w:val="30"/>
          <w:szCs w:val="30"/>
          <w:spacing w:val="-6"/>
        </w:rPr>
        <w:t>一个网络。</w:t>
      </w:r>
    </w:p>
    <w:p>
      <w:pPr>
        <w:ind w:firstLine="623"/>
        <w:spacing w:before="138" w:line="6067" w:lineRule="exact"/>
        <w:rPr/>
      </w:pPr>
      <w:r>
        <w:rPr>
          <w:position w:val="-121"/>
        </w:rPr>
        <w:drawing>
          <wp:inline distT="0" distB="0" distL="0" distR="0">
            <wp:extent cx="4352544" cy="385267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2544" cy="385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01"/>
        <w:spacing w:before="86" w:line="215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3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1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深信服教育行业多终端分组管理技术架构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621"/>
        <w:spacing w:before="97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．不支持分组管理</w:t>
      </w:r>
    </w:p>
    <w:p>
      <w:pPr>
        <w:ind w:left="34" w:right="254" w:firstLine="620"/>
        <w:spacing w:before="319" w:line="25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中电情况：教育行业云教室场景，不支持分组管理；</w:t>
      </w:r>
      <w:r>
        <w:rPr>
          <w:rFonts w:ascii="SimSun" w:hAnsi="SimSun" w:eastAsia="SimSun" w:cs="SimSun"/>
          <w:sz w:val="30"/>
          <w:szCs w:val="30"/>
          <w:spacing w:val="-6"/>
        </w:rPr>
        <w:t>如一个</w:t>
      </w:r>
      <w:r>
        <w:rPr>
          <w:rFonts w:ascii="SimSun" w:hAnsi="SimSun" w:eastAsia="SimSun" w:cs="SimSun"/>
          <w:sz w:val="30"/>
          <w:szCs w:val="30"/>
          <w:spacing w:val="-3"/>
        </w:rPr>
        <w:t>总账户下</w:t>
      </w:r>
      <w:r>
        <w:rPr>
          <w:rFonts w:ascii="SimSun" w:hAnsi="SimSun" w:eastAsia="SimSun" w:cs="SimSun"/>
          <w:sz w:val="30"/>
          <w:szCs w:val="3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60</w:t>
      </w:r>
      <w:r>
        <w:rPr>
          <w:rFonts w:ascii="Times New Roman" w:hAnsi="Times New Roman" w:eastAsia="Times New Roman" w:cs="Times New Roman"/>
          <w:sz w:val="30"/>
          <w:szCs w:val="30"/>
          <w:spacing w:val="6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台设备，单条宽带不支持分组，也无法通过加装宽</w:t>
      </w:r>
      <w:r>
        <w:rPr>
          <w:rFonts w:ascii="SimSun" w:hAnsi="SimSun" w:eastAsia="SimSun" w:cs="SimSun"/>
          <w:sz w:val="30"/>
          <w:szCs w:val="30"/>
          <w:spacing w:val="-3"/>
        </w:rPr>
        <w:t>带的方式实现。</w:t>
      </w:r>
    </w:p>
    <w:p>
      <w:pPr>
        <w:ind w:left="628"/>
        <w:spacing w:before="286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主流厂商做法：深信服教育行业解决方案，可实现统一身份</w:t>
      </w:r>
    </w:p>
    <w:p>
      <w:pPr>
        <w:spacing w:line="220" w:lineRule="auto"/>
        <w:sectPr>
          <w:pgSz w:w="11907" w:h="16839"/>
          <w:pgMar w:top="1431" w:right="154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 w:right="109"/>
        <w:spacing w:before="88" w:line="26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认证平台下的多终端分组管理。如西南大学某学院案例，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通过多</w:t>
      </w:r>
      <w:r>
        <w:rPr>
          <w:rFonts w:ascii="SimSun" w:hAnsi="SimSun" w:eastAsia="SimSun" w:cs="SimSun"/>
          <w:sz w:val="30"/>
          <w:szCs w:val="30"/>
          <w:spacing w:val="-4"/>
        </w:rPr>
        <w:t>个桌面云一体机组成桌面资源池来实现不同机房的分组管理；在</w:t>
      </w:r>
      <w:r>
        <w:rPr>
          <w:rFonts w:ascii="SimSun" w:hAnsi="SimSun" w:eastAsia="SimSun" w:cs="SimSun"/>
          <w:sz w:val="30"/>
          <w:szCs w:val="30"/>
          <w:spacing w:val="-4"/>
        </w:rPr>
        <w:t>后续机房新建或扩容时，只需在服务器集群中增添硬件资源，即</w:t>
      </w:r>
      <w:r>
        <w:rPr>
          <w:rFonts w:ascii="SimSun" w:hAnsi="SimSun" w:eastAsia="SimSun" w:cs="SimSun"/>
          <w:sz w:val="30"/>
          <w:szCs w:val="30"/>
          <w:spacing w:val="-5"/>
        </w:rPr>
        <w:t>可实现无缝平滑扩展。如图</w:t>
      </w:r>
      <w:r>
        <w:rPr>
          <w:rFonts w:ascii="SimSun" w:hAnsi="SimSun" w:eastAsia="SimSun" w:cs="SimSun"/>
          <w:sz w:val="30"/>
          <w:szCs w:val="3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 </w:t>
      </w:r>
      <w:r>
        <w:rPr>
          <w:rFonts w:ascii="SimSun" w:hAnsi="SimSun" w:eastAsia="SimSun" w:cs="SimSun"/>
          <w:sz w:val="30"/>
          <w:szCs w:val="30"/>
          <w:spacing w:val="-5"/>
        </w:rPr>
        <w:t>所示。</w:t>
      </w:r>
    </w:p>
    <w:p>
      <w:pPr>
        <w:ind w:left="26" w:right="113" w:firstLine="610"/>
        <w:spacing w:before="246"/>
        <w:outlineLvl w:val="1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（二）软、硬件适配与兼容：行业常用软件未做到售前统一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适配；硬件兼容的多样性仍待解决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636"/>
        <w:spacing w:before="97" w:line="234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6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．中电情况</w:t>
      </w:r>
    </w:p>
    <w:p>
      <w:pPr>
        <w:ind w:left="25" w:right="108" w:firstLine="604"/>
        <w:spacing w:before="321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软件方面，软件兼容问题依然存在，部分行业常用软件还做</w:t>
      </w:r>
      <w:r>
        <w:rPr>
          <w:rFonts w:ascii="SimSun" w:hAnsi="SimSun" w:eastAsia="SimSun" w:cs="SimSun"/>
          <w:sz w:val="30"/>
          <w:szCs w:val="30"/>
          <w:spacing w:val="-8"/>
        </w:rPr>
        <w:t>不到售前统一适配。如教育行业本身应用软件比较多，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不同学科</w:t>
      </w:r>
      <w:r>
        <w:rPr>
          <w:rFonts w:ascii="SimSun" w:hAnsi="SimSun" w:eastAsia="SimSun" w:cs="SimSun"/>
          <w:sz w:val="30"/>
          <w:szCs w:val="30"/>
          <w:spacing w:val="-4"/>
        </w:rPr>
        <w:t>课件、实验所需软件、国内最大的教育软件极域等均存在不支持</w:t>
      </w:r>
      <w:r>
        <w:rPr>
          <w:rFonts w:ascii="SimSun" w:hAnsi="SimSun" w:eastAsia="SimSun" w:cs="SimSun"/>
          <w:sz w:val="30"/>
          <w:szCs w:val="30"/>
          <w:spacing w:val="-6"/>
        </w:rPr>
        <w:t>情况；另外，商业客户常用的税务软件、银行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U </w:t>
      </w:r>
      <w:r>
        <w:rPr>
          <w:rFonts w:ascii="SimSun" w:hAnsi="SimSun" w:eastAsia="SimSun" w:cs="SimSun"/>
          <w:sz w:val="30"/>
          <w:szCs w:val="30"/>
          <w:spacing w:val="-6"/>
        </w:rPr>
        <w:t>盾也未实现预装</w:t>
      </w:r>
      <w:r>
        <w:rPr>
          <w:rFonts w:ascii="SimSun" w:hAnsi="SimSun" w:eastAsia="SimSun" w:cs="SimSun"/>
          <w:sz w:val="30"/>
          <w:szCs w:val="30"/>
          <w:spacing w:val="-12"/>
        </w:rPr>
        <w:t>适配。</w:t>
      </w:r>
    </w:p>
    <w:p>
      <w:pPr>
        <w:ind w:left="29" w:right="111" w:firstLine="596"/>
        <w:spacing w:before="267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硬件方面：部分场景硬件兼容进展缓慢。如捆绑</w:t>
      </w:r>
      <w:r>
        <w:rPr>
          <w:rFonts w:ascii="SimSun" w:hAnsi="SimSun" w:eastAsia="SimSun" w:cs="SimSun"/>
          <w:sz w:val="30"/>
          <w:szCs w:val="30"/>
          <w:spacing w:val="-5"/>
        </w:rPr>
        <w:t>云游戏不支</w:t>
      </w:r>
      <w:r>
        <w:rPr>
          <w:rFonts w:ascii="SimSun" w:hAnsi="SimSun" w:eastAsia="SimSun" w:cs="SimSun"/>
          <w:sz w:val="30"/>
          <w:szCs w:val="30"/>
          <w:spacing w:val="-4"/>
        </w:rPr>
        <w:t>持手柄适配，且长时间未解决；通过云盒使用云电脑时大屏兼容</w:t>
      </w:r>
      <w:r>
        <w:rPr>
          <w:rFonts w:ascii="SimSun" w:hAnsi="SimSun" w:eastAsia="SimSun" w:cs="SimSun"/>
          <w:sz w:val="30"/>
          <w:szCs w:val="30"/>
          <w:spacing w:val="-3"/>
        </w:rPr>
        <w:t>性差、键盘输入没有响应、网络打印机配置复杂等。</w:t>
      </w:r>
    </w:p>
    <w:p>
      <w:pPr>
        <w:ind w:left="29" w:right="117" w:firstLine="594"/>
        <w:spacing w:before="273" w:line="23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．主流厂商做法：通过广泛合作来解决多样化的软硬件兼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容问题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25" w:firstLine="602"/>
        <w:spacing w:before="98" w:line="25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华为云桌面的伙伴多达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2000 </w:t>
      </w:r>
      <w:r>
        <w:rPr>
          <w:rFonts w:ascii="SimSun" w:hAnsi="SimSun" w:eastAsia="SimSun" w:cs="SimSun"/>
          <w:sz w:val="30"/>
          <w:szCs w:val="30"/>
          <w:spacing w:val="-8"/>
        </w:rPr>
        <w:t>多家；软件方面不仅适配</w:t>
      </w:r>
      <w:r>
        <w:rPr>
          <w:rFonts w:ascii="SimSun" w:hAnsi="SimSun" w:eastAsia="SimSun" w:cs="SimSun"/>
          <w:sz w:val="30"/>
          <w:szCs w:val="30"/>
          <w:spacing w:val="-8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WPS</w:t>
      </w:r>
      <w:r>
        <w:rPr>
          <w:rFonts w:ascii="SimSun" w:hAnsi="SimSun" w:eastAsia="SimSun" w:cs="SimSun"/>
          <w:sz w:val="30"/>
          <w:szCs w:val="30"/>
          <w:spacing w:val="-8"/>
        </w:rPr>
        <w:t>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360 </w:t>
      </w:r>
      <w:r>
        <w:rPr>
          <w:rFonts w:ascii="SimSun" w:hAnsi="SimSun" w:eastAsia="SimSun" w:cs="SimSun"/>
          <w:sz w:val="30"/>
          <w:szCs w:val="30"/>
          <w:spacing w:val="-1"/>
        </w:rPr>
        <w:t>浏览器等办公软件和专业设计类软件在内的近万款软件，而</w:t>
      </w:r>
      <w:r>
        <w:rPr>
          <w:rFonts w:ascii="SimSun" w:hAnsi="SimSun" w:eastAsia="SimSun" w:cs="SimSun"/>
          <w:sz w:val="30"/>
          <w:szCs w:val="30"/>
          <w:spacing w:val="-2"/>
        </w:rPr>
        <w:t>且可灵活集成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240</w:t>
      </w:r>
      <w:r>
        <w:rPr>
          <w:rFonts w:ascii="Times New Roman" w:hAnsi="Times New Roman" w:eastAsia="Times New Roman" w:cs="Times New Roman"/>
          <w:sz w:val="30"/>
          <w:szCs w:val="30"/>
          <w:spacing w:val="2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多款华为云和上千款云市场的产品及服务；硬</w:t>
      </w:r>
      <w:r>
        <w:rPr>
          <w:rFonts w:ascii="SimSun" w:hAnsi="SimSun" w:eastAsia="SimSun" w:cs="SimSun"/>
          <w:sz w:val="30"/>
          <w:szCs w:val="30"/>
          <w:spacing w:val="-3"/>
        </w:rPr>
        <w:t>件方面兼容端侧手写板、高拍仪等近千款外设。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ind w:left="31" w:right="110" w:firstLine="605"/>
        <w:spacing w:before="98" w:line="239" w:lineRule="auto"/>
        <w:outlineLvl w:val="1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（三）产品运维能力不足：无法快速定位故障且前后端协同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不畅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636"/>
        <w:spacing w:before="97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．中电情况：运维能力不足体现在两个方面</w:t>
      </w:r>
    </w:p>
    <w:p>
      <w:pPr>
        <w:ind w:right="30"/>
        <w:spacing w:before="322" w:line="220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一是工具化运维能力不足，无法快速、准确定位和解决故障；</w:t>
      </w:r>
    </w:p>
    <w:p>
      <w:pPr>
        <w:spacing w:line="220" w:lineRule="auto"/>
        <w:sectPr>
          <w:pgSz w:w="11907" w:h="16839"/>
          <w:pgMar w:top="1431" w:right="1690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1" w:right="232"/>
        <w:spacing w:before="87" w:line="26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如用户电话报障，省分无法定位资源</w:t>
      </w:r>
      <w:r>
        <w:rPr>
          <w:rFonts w:ascii="SimSun" w:hAnsi="SimSun" w:eastAsia="SimSun" w:cs="SimSun"/>
          <w:sz w:val="30"/>
          <w:szCs w:val="3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ID</w:t>
      </w:r>
      <w:r>
        <w:rPr>
          <w:rFonts w:ascii="Times New Roman" w:hAnsi="Times New Roman" w:eastAsia="Times New Roman" w:cs="Times New Roman"/>
          <w:sz w:val="30"/>
          <w:szCs w:val="3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从而无法定位到具体的</w:t>
      </w:r>
      <w:r>
        <w:rPr>
          <w:rFonts w:ascii="SimSun" w:hAnsi="SimSun" w:eastAsia="SimSun" w:cs="SimSun"/>
          <w:sz w:val="30"/>
          <w:szCs w:val="30"/>
          <w:spacing w:val="-4"/>
        </w:rPr>
        <w:t>故障机，只能定位到管理员的邮箱。</w:t>
      </w:r>
    </w:p>
    <w:p>
      <w:pPr>
        <w:ind w:left="27" w:firstLine="603"/>
        <w:spacing w:before="272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二是售后运维无法获得云网等后端部门及时支持，且没有实</w:t>
      </w:r>
      <w:r>
        <w:rPr>
          <w:rFonts w:ascii="SimSun" w:hAnsi="SimSun" w:eastAsia="SimSun" w:cs="SimSun"/>
          <w:sz w:val="30"/>
          <w:szCs w:val="30"/>
          <w:spacing w:val="-6"/>
        </w:rPr>
        <w:t>现规范化的专业人员远程售后支持或在线工具支持；如教育行业，</w:t>
      </w:r>
      <w:r>
        <w:rPr>
          <w:rFonts w:ascii="SimSun" w:hAnsi="SimSun" w:eastAsia="SimSun" w:cs="SimSun"/>
          <w:sz w:val="30"/>
          <w:szCs w:val="30"/>
          <w:spacing w:val="-4"/>
        </w:rPr>
        <w:t>老师安装软件出现不兼容情况时找客户经理解决，客户经理面临</w:t>
      </w:r>
      <w:r>
        <w:rPr>
          <w:rFonts w:ascii="SimSun" w:hAnsi="SimSun" w:eastAsia="SimSun" w:cs="SimSun"/>
          <w:sz w:val="30"/>
          <w:szCs w:val="30"/>
          <w:spacing w:val="-3"/>
        </w:rPr>
        <w:t>技术难度大、没有明确的及时支撑解决路径的问题。</w:t>
      </w:r>
    </w:p>
    <w:p>
      <w:pPr>
        <w:ind w:left="624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．主流厂商做法：使用智能化自助修复工具提高运维效率</w:t>
      </w:r>
    </w:p>
    <w:p>
      <w:pPr>
        <w:ind w:left="27" w:right="231" w:firstLine="599"/>
        <w:spacing w:before="316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华为采用问题自助修复与体验优化工具，问题自助解决</w:t>
      </w:r>
      <w:r>
        <w:rPr>
          <w:rFonts w:ascii="SimSun" w:hAnsi="SimSun" w:eastAsia="SimSun" w:cs="SimSun"/>
          <w:sz w:val="30"/>
          <w:szCs w:val="30"/>
          <w:spacing w:val="-5"/>
        </w:rPr>
        <w:t>率达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15%</w:t>
      </w:r>
      <w:r>
        <w:rPr>
          <w:rFonts w:ascii="SimSun" w:hAnsi="SimSun" w:eastAsia="SimSun" w:cs="SimSun"/>
          <w:sz w:val="30"/>
          <w:szCs w:val="30"/>
          <w:spacing w:val="-2"/>
        </w:rPr>
        <w:t>以上；深信服则已经实现了融</w:t>
      </w:r>
      <w:r>
        <w:rPr>
          <w:rFonts w:ascii="SimSun" w:hAnsi="SimSun" w:eastAsia="SimSun" w:cs="SimSun"/>
          <w:sz w:val="30"/>
          <w:szCs w:val="3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AI  </w:t>
      </w:r>
      <w:r>
        <w:rPr>
          <w:rFonts w:ascii="SimSun" w:hAnsi="SimSun" w:eastAsia="SimSun" w:cs="SimSun"/>
          <w:sz w:val="30"/>
          <w:szCs w:val="30"/>
          <w:spacing w:val="-2"/>
        </w:rPr>
        <w:t>的“智能运维”能力的飞</w:t>
      </w:r>
      <w:r>
        <w:rPr>
          <w:rFonts w:ascii="SimSun" w:hAnsi="SimSun" w:eastAsia="SimSun" w:cs="SimSun"/>
          <w:sz w:val="30"/>
          <w:szCs w:val="30"/>
          <w:spacing w:val="-9"/>
        </w:rPr>
        <w:t>跃，具体做法如下：</w:t>
      </w:r>
    </w:p>
    <w:p>
      <w:pPr>
        <w:ind w:left="25" w:right="232" w:firstLine="599"/>
        <w:spacing w:before="287" w:line="24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① 初期搭建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IOM</w:t>
      </w:r>
      <w:r>
        <w:rPr>
          <w:rFonts w:ascii="Times New Roman" w:hAnsi="Times New Roman" w:eastAsia="Times New Roman" w:cs="Times New Roman"/>
          <w:sz w:val="30"/>
          <w:szCs w:val="30"/>
          <w:spacing w:val="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智能运营平台，结合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模型进行运维的</w:t>
      </w:r>
      <w:r>
        <w:rPr>
          <w:rFonts w:ascii="SimSun" w:hAnsi="SimSun" w:eastAsia="SimSun" w:cs="SimSun"/>
          <w:sz w:val="30"/>
          <w:szCs w:val="30"/>
          <w:spacing w:val="-1"/>
        </w:rPr>
        <w:t>智能分析与推荐。深信服的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IOM</w:t>
      </w:r>
      <w:r>
        <w:rPr>
          <w:rFonts w:ascii="Times New Roman" w:hAnsi="Times New Roman" w:eastAsia="Times New Roman" w:cs="Times New Roman"/>
          <w:sz w:val="30"/>
          <w:szCs w:val="30"/>
          <w:spacing w:val="54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智能运营平</w:t>
      </w:r>
      <w:r>
        <w:rPr>
          <w:rFonts w:ascii="SimSun" w:hAnsi="SimSun" w:eastAsia="SimSun" w:cs="SimSun"/>
          <w:sz w:val="30"/>
          <w:szCs w:val="30"/>
          <w:spacing w:val="-2"/>
        </w:rPr>
        <w:t>台具备强大的数据</w:t>
      </w:r>
      <w:r>
        <w:rPr>
          <w:rFonts w:ascii="SimSun" w:hAnsi="SimSun" w:eastAsia="SimSun" w:cs="SimSun"/>
          <w:sz w:val="30"/>
          <w:szCs w:val="30"/>
          <w:spacing w:val="-4"/>
        </w:rPr>
        <w:t>采集和分析能力，对产品进行全栈监控和分析，帮助用户大幅减</w:t>
      </w:r>
      <w:r>
        <w:rPr>
          <w:rFonts w:ascii="SimSun" w:hAnsi="SimSun" w:eastAsia="SimSun" w:cs="SimSun"/>
          <w:sz w:val="30"/>
          <w:szCs w:val="30"/>
          <w:spacing w:val="-6"/>
        </w:rPr>
        <w:t>少运维管理难度。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9" w:right="124" w:firstLine="593"/>
        <w:spacing w:before="97" w:line="25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② 构建</w:t>
      </w:r>
      <w:r>
        <w:rPr>
          <w:rFonts w:ascii="SimSun" w:hAnsi="SimSun" w:eastAsia="SimSun" w:cs="SimSun"/>
          <w:sz w:val="30"/>
          <w:szCs w:val="30"/>
          <w:spacing w:val="-7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知识图谱实现卡慢的分钟级定位。在</w:t>
      </w:r>
      <w:r>
        <w:rPr>
          <w:rFonts w:ascii="SimSun" w:hAnsi="SimSun" w:eastAsia="SimSun" w:cs="SimSun"/>
          <w:sz w:val="30"/>
          <w:szCs w:val="30"/>
          <w:spacing w:val="-6"/>
        </w:rPr>
        <w:t>知识图谱中</w:t>
      </w:r>
      <w:r>
        <w:rPr>
          <w:rFonts w:ascii="SimSun" w:hAnsi="SimSun" w:eastAsia="SimSun" w:cs="SimSun"/>
          <w:sz w:val="30"/>
          <w:szCs w:val="30"/>
          <w:spacing w:val="-1"/>
        </w:rPr>
        <w:t>训练得到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根因定位模型，实现用户虚拟机卡慢根因的分钟级</w:t>
      </w:r>
      <w:r>
        <w:rPr>
          <w:rFonts w:ascii="SimSun" w:hAnsi="SimSun" w:eastAsia="SimSun" w:cs="SimSun"/>
          <w:sz w:val="30"/>
          <w:szCs w:val="30"/>
          <w:spacing w:val="-4"/>
        </w:rPr>
        <w:t>定位，覆盖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30+</w:t>
      </w:r>
      <w:r>
        <w:rPr>
          <w:rFonts w:ascii="SimSun" w:hAnsi="SimSun" w:eastAsia="SimSun" w:cs="SimSun"/>
          <w:sz w:val="30"/>
          <w:szCs w:val="30"/>
          <w:spacing w:val="-4"/>
        </w:rPr>
        <w:t>常见卡慢场景，降低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50%</w:t>
      </w:r>
      <w:r>
        <w:rPr>
          <w:rFonts w:ascii="SimSun" w:hAnsi="SimSun" w:eastAsia="SimSun" w:cs="SimSun"/>
          <w:sz w:val="30"/>
          <w:szCs w:val="30"/>
          <w:spacing w:val="-4"/>
        </w:rPr>
        <w:t>以上的卡慢排查时间。</w:t>
      </w:r>
    </w:p>
    <w:p>
      <w:pPr>
        <w:ind w:left="28" w:right="229" w:firstLine="595"/>
        <w:spacing w:before="320" w:line="24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③ 提供运维知识库保障修复。运维知识库提供专家</w:t>
      </w:r>
      <w:r>
        <w:rPr>
          <w:rFonts w:ascii="SimSun" w:hAnsi="SimSun" w:eastAsia="SimSun" w:cs="SimSun"/>
          <w:sz w:val="30"/>
          <w:szCs w:val="30"/>
          <w:spacing w:val="1"/>
        </w:rPr>
        <w:t>处理建</w:t>
      </w:r>
      <w:r>
        <w:rPr>
          <w:rFonts w:ascii="SimSun" w:hAnsi="SimSun" w:eastAsia="SimSun" w:cs="SimSun"/>
          <w:sz w:val="30"/>
          <w:szCs w:val="30"/>
          <w:spacing w:val="-4"/>
        </w:rPr>
        <w:t>议超过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200 </w:t>
      </w:r>
      <w:r>
        <w:rPr>
          <w:rFonts w:ascii="SimSun" w:hAnsi="SimSun" w:eastAsia="SimSun" w:cs="SimSun"/>
          <w:sz w:val="30"/>
          <w:szCs w:val="30"/>
          <w:spacing w:val="-4"/>
        </w:rPr>
        <w:t>条，全方位保障各类根因问题的修复，平均问题定位</w:t>
      </w:r>
      <w:r>
        <w:rPr>
          <w:rFonts w:ascii="SimSun" w:hAnsi="SimSun" w:eastAsia="SimSun" w:cs="SimSun"/>
          <w:sz w:val="30"/>
          <w:szCs w:val="30"/>
          <w:spacing w:val="-7"/>
        </w:rPr>
        <w:t>时间（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MTTI</w:t>
      </w:r>
      <w:r>
        <w:rPr>
          <w:rFonts w:ascii="SimSun" w:hAnsi="SimSun" w:eastAsia="SimSun" w:cs="SimSun"/>
          <w:sz w:val="30"/>
          <w:szCs w:val="30"/>
          <w:spacing w:val="-7"/>
        </w:rPr>
        <w:t>）和平均问题解决时间（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MTTR</w:t>
      </w:r>
      <w:r>
        <w:rPr>
          <w:rFonts w:ascii="SimSun" w:hAnsi="SimSun" w:eastAsia="SimSun" w:cs="SimSun"/>
          <w:sz w:val="30"/>
          <w:szCs w:val="30"/>
          <w:spacing w:val="-7"/>
        </w:rPr>
        <w:t>）都得到显著下降。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636"/>
        <w:spacing w:before="98" w:line="220" w:lineRule="auto"/>
        <w:outlineLvl w:val="1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（四）业务发展模式：现有业务模式阻碍市场拓展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．方案型交付的支持力度不够，产品竞争力低</w:t>
      </w:r>
    </w:p>
    <w:p>
      <w:pPr>
        <w:ind w:left="25" w:right="148" w:firstLine="603"/>
        <w:spacing w:before="31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主要表现在两个方面：一是终端价格高、整体方案价格高：</w:t>
      </w:r>
      <w:r>
        <w:rPr>
          <w:rFonts w:ascii="SimSun" w:hAnsi="SimSun" w:eastAsia="SimSun" w:cs="SimSun"/>
          <w:sz w:val="30"/>
          <w:szCs w:val="30"/>
          <w:spacing w:val="-2"/>
        </w:rPr>
        <w:t>如信创终端价格是同类非信创的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5-6 </w:t>
      </w:r>
      <w:r>
        <w:rPr>
          <w:rFonts w:ascii="SimSun" w:hAnsi="SimSun" w:eastAsia="SimSun" w:cs="SimSun"/>
          <w:sz w:val="30"/>
          <w:szCs w:val="30"/>
          <w:spacing w:val="-2"/>
        </w:rPr>
        <w:t>倍；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GPU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云电脑价格较高导</w:t>
      </w:r>
      <w:r>
        <w:rPr>
          <w:rFonts w:ascii="SimSun" w:hAnsi="SimSun" w:eastAsia="SimSun" w:cs="SimSun"/>
          <w:sz w:val="30"/>
          <w:szCs w:val="30"/>
          <w:spacing w:val="-6"/>
        </w:rPr>
        <w:t>致成交量少；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PAD </w:t>
      </w:r>
      <w:r>
        <w:rPr>
          <w:rFonts w:ascii="SimSun" w:hAnsi="SimSun" w:eastAsia="SimSun" w:cs="SimSun"/>
          <w:sz w:val="30"/>
          <w:szCs w:val="30"/>
          <w:spacing w:val="-6"/>
        </w:rPr>
        <w:t>终端大幅超出客户期望的千元左右；云教室最</w:t>
      </w:r>
      <w:r>
        <w:rPr>
          <w:rFonts w:ascii="SimSun" w:hAnsi="SimSun" w:eastAsia="SimSun" w:cs="SimSun"/>
          <w:sz w:val="30"/>
          <w:szCs w:val="30"/>
          <w:spacing w:val="-8"/>
        </w:rPr>
        <w:t>低配终端都超出客户预算等。二是资费策略不够灵活，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不支持临</w:t>
      </w:r>
      <w:r>
        <w:rPr>
          <w:rFonts w:ascii="SimSun" w:hAnsi="SimSun" w:eastAsia="SimSun" w:cs="SimSun"/>
          <w:sz w:val="30"/>
          <w:szCs w:val="30"/>
          <w:spacing w:val="-4"/>
        </w:rPr>
        <w:t>时停机保号，如无法支持校园客户寒暑假期间通过停机的方式减</w:t>
      </w:r>
    </w:p>
    <w:p>
      <w:pPr>
        <w:spacing w:line="259" w:lineRule="auto"/>
        <w:sectPr>
          <w:pgSz w:w="11907" w:h="16839"/>
          <w:pgMar w:top="1431" w:right="1566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3"/>
        <w:spacing w:before="87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免资费。</w:t>
      </w:r>
    </w:p>
    <w:p>
      <w:pPr>
        <w:rPr>
          <w:rFonts w:ascii="Arial"/>
          <w:sz w:val="21"/>
        </w:rPr>
      </w:pPr>
      <w:r/>
    </w:p>
    <w:p>
      <w:pPr>
        <w:ind w:left="26" w:right="111" w:firstLine="602"/>
        <w:spacing w:before="98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主流厂商做法：主流厂商均支持包年、包月和按量付费三种</w:t>
      </w:r>
      <w:r>
        <w:rPr>
          <w:rFonts w:ascii="SimSun" w:hAnsi="SimSun" w:eastAsia="SimSun" w:cs="SimSun"/>
          <w:sz w:val="30"/>
          <w:szCs w:val="30"/>
          <w:spacing w:val="-4"/>
        </w:rPr>
        <w:t>计费方式，同时支持计费方式转换；并根据用户的实际需求制定</w:t>
      </w:r>
      <w:r>
        <w:rPr>
          <w:rFonts w:ascii="SimSun" w:hAnsi="SimSun" w:eastAsia="SimSun" w:cs="SimSun"/>
          <w:sz w:val="30"/>
          <w:szCs w:val="30"/>
          <w:spacing w:val="-7"/>
        </w:rPr>
        <w:t>灵活的资费政策。</w:t>
      </w:r>
    </w:p>
    <w:p>
      <w:pPr>
        <w:ind w:left="624"/>
        <w:spacing w:before="269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．未能针对信创等重点场景打造竞争优势</w:t>
      </w:r>
    </w:p>
    <w:p>
      <w:pPr>
        <w:ind w:left="31" w:right="113" w:firstLine="603"/>
        <w:spacing w:before="317" w:line="25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1</w:t>
      </w:r>
      <w:r>
        <w:rPr>
          <w:rFonts w:ascii="SimSun" w:hAnsi="SimSun" w:eastAsia="SimSun" w:cs="SimSun"/>
          <w:sz w:val="30"/>
          <w:szCs w:val="30"/>
          <w:spacing w:val="1"/>
        </w:rPr>
        <w:t>）中电情况：信创场景存在资源支持不足、营销穿透不</w:t>
      </w:r>
      <w:r>
        <w:rPr>
          <w:rFonts w:ascii="SimSun" w:hAnsi="SimSun" w:eastAsia="SimSun" w:cs="SimSun"/>
          <w:sz w:val="30"/>
          <w:szCs w:val="30"/>
          <w:spacing w:val="-4"/>
        </w:rPr>
        <w:t>足等问题</w:t>
      </w:r>
    </w:p>
    <w:p>
      <w:pPr>
        <w:ind w:left="27" w:right="109" w:firstLine="603"/>
        <w:spacing w:before="289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首先，信创未实现一城一池，无法满足政府等客户数据不出</w:t>
      </w:r>
      <w:r>
        <w:rPr>
          <w:rFonts w:ascii="SimSun" w:hAnsi="SimSun" w:eastAsia="SimSun" w:cs="SimSun"/>
          <w:sz w:val="30"/>
          <w:szCs w:val="30"/>
          <w:spacing w:val="-9"/>
        </w:rPr>
        <w:t>市的信创需求。其次， 信创场景方案未标准化，省内反馈从国产</w:t>
      </w:r>
      <w:r>
        <w:rPr>
          <w:rFonts w:ascii="SimSun" w:hAnsi="SimSun" w:eastAsia="SimSun" w:cs="SimSun"/>
          <w:sz w:val="30"/>
          <w:szCs w:val="30"/>
          <w:spacing w:val="-2"/>
        </w:rPr>
        <w:t>化到信创，需要一系列的手续和认证，如何实施缺乏</w:t>
      </w:r>
      <w:r>
        <w:rPr>
          <w:rFonts w:ascii="SimSun" w:hAnsi="SimSun" w:eastAsia="SimSun" w:cs="SimSun"/>
          <w:sz w:val="30"/>
          <w:szCs w:val="30"/>
          <w:spacing w:val="-3"/>
        </w:rPr>
        <w:t>指引。</w:t>
      </w:r>
    </w:p>
    <w:p>
      <w:pPr>
        <w:ind w:left="634"/>
        <w:spacing w:before="271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</w:t>
      </w:r>
      <w:r>
        <w:rPr>
          <w:rFonts w:ascii="SimSun" w:hAnsi="SimSun" w:eastAsia="SimSun" w:cs="SimSun"/>
          <w:sz w:val="30"/>
          <w:szCs w:val="30"/>
          <w:spacing w:val="-1"/>
        </w:rPr>
        <w:t>）主流厂商做法：围绕重点场景打造场景生态</w:t>
      </w:r>
    </w:p>
    <w:p>
      <w:pPr>
        <w:ind w:left="25" w:firstLine="599"/>
        <w:spacing w:before="317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业内打造生态的场景有两个：信创场景和高性能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GPU </w:t>
      </w:r>
      <w:r>
        <w:rPr>
          <w:rFonts w:ascii="SimSun" w:hAnsi="SimSun" w:eastAsia="SimSun" w:cs="SimSun"/>
          <w:sz w:val="30"/>
          <w:szCs w:val="30"/>
          <w:spacing w:val="-6"/>
        </w:rPr>
        <w:t>场景。</w:t>
      </w:r>
      <w:r>
        <w:rPr>
          <w:rFonts w:ascii="SimSun" w:hAnsi="SimSun" w:eastAsia="SimSun" w:cs="SimSun"/>
          <w:sz w:val="30"/>
          <w:szCs w:val="30"/>
          <w:spacing w:val="-14"/>
        </w:rPr>
        <w:t>围绕信创场景，华为、深信服、阿里等主流厂商除了从底层技</w:t>
      </w:r>
      <w:r>
        <w:rPr>
          <w:rFonts w:ascii="SimSun" w:hAnsi="SimSun" w:eastAsia="SimSun" w:cs="SimSun"/>
          <w:sz w:val="30"/>
          <w:szCs w:val="30"/>
          <w:spacing w:val="-15"/>
        </w:rPr>
        <w:t>术，</w:t>
      </w:r>
      <w:r>
        <w:rPr>
          <w:rFonts w:ascii="SimSun" w:hAnsi="SimSun" w:eastAsia="SimSun" w:cs="SimSun"/>
          <w:sz w:val="30"/>
          <w:szCs w:val="30"/>
          <w:spacing w:val="-9"/>
        </w:rPr>
        <w:t>到硬件、系统、应用层面进行全面认证和适配， 以实现国产化改</w:t>
      </w:r>
      <w:r>
        <w:rPr>
          <w:rFonts w:ascii="SimSun" w:hAnsi="SimSun" w:eastAsia="SimSun" w:cs="SimSun"/>
          <w:sz w:val="30"/>
          <w:szCs w:val="30"/>
          <w:spacing w:val="-4"/>
        </w:rPr>
        <w:t>造；还把信创集成商和有资质的供应商看作是推进信创的关键动</w:t>
      </w:r>
      <w:r>
        <w:rPr>
          <w:rFonts w:ascii="SimSun" w:hAnsi="SimSun" w:eastAsia="SimSun" w:cs="SimSun"/>
          <w:sz w:val="30"/>
          <w:szCs w:val="30"/>
          <w:spacing w:val="-4"/>
        </w:rPr>
        <w:t>作，由总部统一进行合作部署。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二、中国电信政企云电脑发展策略建议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．针对长期存在的问题进行技术攻关，提升产品基础能力</w:t>
      </w:r>
    </w:p>
    <w:p>
      <w:pPr>
        <w:ind w:left="23" w:right="109" w:firstLine="602"/>
        <w:spacing w:before="317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针对目前云电脑产品存在的传输效率低、桌面卡顿、</w:t>
      </w:r>
      <w:r>
        <w:rPr>
          <w:rFonts w:ascii="SimSun" w:hAnsi="SimSun" w:eastAsia="SimSun" w:cs="SimSun"/>
          <w:sz w:val="30"/>
          <w:szCs w:val="30"/>
          <w:spacing w:val="-5"/>
        </w:rPr>
        <w:t>不能一</w:t>
      </w:r>
      <w:r>
        <w:rPr>
          <w:rFonts w:ascii="SimSun" w:hAnsi="SimSun" w:eastAsia="SimSun" w:cs="SimSun"/>
          <w:sz w:val="30"/>
          <w:szCs w:val="30"/>
          <w:spacing w:val="-4"/>
        </w:rPr>
        <w:t>键切换网络、不支持同一宽带下的分组、软硬件兼容适配、不支</w:t>
      </w:r>
      <w:r>
        <w:rPr>
          <w:rFonts w:ascii="SimSun" w:hAnsi="SimSun" w:eastAsia="SimSun" w:cs="SimSun"/>
          <w:sz w:val="30"/>
          <w:szCs w:val="30"/>
          <w:spacing w:val="7"/>
        </w:rPr>
        <w:t>持通过 </w:t>
      </w:r>
      <w:r>
        <w:rPr>
          <w:rFonts w:ascii="Times New Roman" w:hAnsi="Times New Roman" w:eastAsia="Times New Roman" w:cs="Times New Roman"/>
          <w:sz w:val="30"/>
          <w:szCs w:val="30"/>
        </w:rPr>
        <w:t>VPN</w:t>
      </w:r>
      <w:r>
        <w:rPr>
          <w:rFonts w:ascii="Times New Roman" w:hAnsi="Times New Roman" w:eastAsia="Times New Roman" w:cs="Times New Roma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7"/>
        </w:rPr>
        <w:t>加密隧道访问网络的场景需求等长期存在的难题</w:t>
      </w:r>
      <w:r>
        <w:rPr>
          <w:rFonts w:ascii="SimSun" w:hAnsi="SimSun" w:eastAsia="SimSun" w:cs="SimSun"/>
          <w:sz w:val="30"/>
          <w:szCs w:val="30"/>
          <w:spacing w:val="-4"/>
        </w:rPr>
        <w:t>进行技术攻关，提升产品基础能力；进而提升用户使用体验，改</w:t>
      </w:r>
      <w:r>
        <w:rPr>
          <w:rFonts w:ascii="SimSun" w:hAnsi="SimSun" w:eastAsia="SimSun" w:cs="SimSun"/>
          <w:sz w:val="30"/>
          <w:szCs w:val="30"/>
          <w:spacing w:val="-8"/>
        </w:rPr>
        <w:t>善用户质态。</w:t>
      </w:r>
    </w:p>
    <w:p>
      <w:pPr>
        <w:ind w:left="26" w:right="117" w:firstLine="597"/>
        <w:spacing w:before="269" w:line="23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．三个维度优化业务发展模式，从粗放式发展向精细化深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耕转变</w:t>
      </w:r>
    </w:p>
    <w:p>
      <w:pPr>
        <w:spacing w:line="239" w:lineRule="auto"/>
        <w:sectPr>
          <w:pgSz w:w="11907" w:h="16839"/>
          <w:pgMar w:top="1431" w:right="1690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7" w:right="86" w:firstLine="603"/>
        <w:spacing w:before="84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一是售后运维规范化与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化。形成完善的售</w:t>
      </w:r>
      <w:r>
        <w:rPr>
          <w:rFonts w:ascii="SimSun" w:hAnsi="SimSun" w:eastAsia="SimSun" w:cs="SimSun"/>
          <w:sz w:val="30"/>
          <w:szCs w:val="30"/>
          <w:spacing w:val="-2"/>
        </w:rPr>
        <w:t>后保障流程与</w:t>
      </w:r>
      <w:r>
        <w:rPr>
          <w:rFonts w:ascii="SimSun" w:hAnsi="SimSun" w:eastAsia="SimSun" w:cs="SimSun"/>
          <w:sz w:val="30"/>
          <w:szCs w:val="30"/>
          <w:spacing w:val="-4"/>
        </w:rPr>
        <w:t>规范；向智能化运维迈进：实现快速定位故障，根据用户故障情</w:t>
      </w:r>
      <w:r>
        <w:rPr>
          <w:rFonts w:ascii="SimSun" w:hAnsi="SimSun" w:eastAsia="SimSun" w:cs="SimSun"/>
          <w:sz w:val="30"/>
          <w:szCs w:val="30"/>
          <w:spacing w:val="-4"/>
        </w:rPr>
        <w:t>况提供自助解决建议，对用户的使用情况进行监控、分析与预警</w:t>
      </w:r>
      <w:r>
        <w:rPr>
          <w:rFonts w:ascii="SimSun" w:hAnsi="SimSun" w:eastAsia="SimSun" w:cs="SimSun"/>
          <w:sz w:val="30"/>
          <w:szCs w:val="30"/>
          <w:spacing w:val="-15"/>
        </w:rPr>
        <w:t>等。</w:t>
      </w:r>
    </w:p>
    <w:p>
      <w:pPr>
        <w:ind w:left="27" w:firstLine="603"/>
        <w:spacing w:before="271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二是优化资费策略，满足不同类型客户资费灵活性的要求，</w:t>
      </w:r>
      <w:r>
        <w:rPr>
          <w:rFonts w:ascii="SimSun" w:hAnsi="SimSun" w:eastAsia="SimSun" w:cs="SimSun"/>
          <w:sz w:val="30"/>
          <w:szCs w:val="30"/>
          <w:spacing w:val="-4"/>
        </w:rPr>
        <w:t>面向政企客户的竞标方案建立省专一事一议协同机制；必要情况</w:t>
      </w:r>
      <w:r>
        <w:rPr>
          <w:rFonts w:ascii="SimSun" w:hAnsi="SimSun" w:eastAsia="SimSun" w:cs="SimSun"/>
          <w:sz w:val="30"/>
          <w:szCs w:val="30"/>
          <w:spacing w:val="-4"/>
        </w:rPr>
        <w:t>下调整结算政策以适应客户需要，如按用户活跃情况进行动态结</w:t>
      </w:r>
      <w:r>
        <w:rPr>
          <w:rFonts w:ascii="SimSun" w:hAnsi="SimSun" w:eastAsia="SimSun" w:cs="SimSun"/>
          <w:sz w:val="30"/>
          <w:szCs w:val="30"/>
          <w:spacing w:val="-15"/>
        </w:rPr>
        <w:t>算。</w:t>
      </w:r>
    </w:p>
    <w:p>
      <w:pPr>
        <w:ind w:left="25" w:right="86" w:firstLine="601"/>
        <w:spacing w:before="272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三是针对信创场景，围绕资源建设、营销穿透等打造</w:t>
      </w:r>
      <w:r>
        <w:rPr>
          <w:rFonts w:ascii="SimSun" w:hAnsi="SimSun" w:eastAsia="SimSun" w:cs="SimSun"/>
          <w:sz w:val="30"/>
          <w:szCs w:val="30"/>
          <w:spacing w:val="-5"/>
        </w:rPr>
        <w:t>重点场</w:t>
      </w:r>
      <w:r>
        <w:rPr>
          <w:rFonts w:ascii="SimSun" w:hAnsi="SimSun" w:eastAsia="SimSun" w:cs="SimSun"/>
          <w:sz w:val="30"/>
          <w:szCs w:val="30"/>
          <w:spacing w:val="-4"/>
        </w:rPr>
        <w:t>景竞争优势。一方面鼓励云省分在资源具备的情况下，自主推进</w:t>
      </w:r>
      <w:r>
        <w:rPr>
          <w:rFonts w:ascii="SimSun" w:hAnsi="SimSun" w:eastAsia="SimSun" w:cs="SimSun"/>
          <w:sz w:val="30"/>
          <w:szCs w:val="30"/>
          <w:spacing w:val="-4"/>
        </w:rPr>
        <w:t>本省信创一城一池的资源能力，满足客户在信创、私有云部署等</w:t>
      </w:r>
      <w:r>
        <w:rPr>
          <w:rFonts w:ascii="SimSun" w:hAnsi="SimSun" w:eastAsia="SimSun" w:cs="SimSun"/>
          <w:sz w:val="30"/>
          <w:szCs w:val="30"/>
          <w:spacing w:val="-4"/>
        </w:rPr>
        <w:t>模式下的数据安全需求。另一方面，由集团相关部门统筹，制定</w:t>
      </w:r>
      <w:r>
        <w:rPr>
          <w:rFonts w:ascii="SimSun" w:hAnsi="SimSun" w:eastAsia="SimSun" w:cs="SimSun"/>
          <w:sz w:val="30"/>
          <w:szCs w:val="30"/>
          <w:spacing w:val="-9"/>
        </w:rPr>
        <w:t>销售模式指引、打单投标指引等， 指导省专协同，提高重点场景</w:t>
      </w:r>
      <w:r>
        <w:rPr>
          <w:rFonts w:ascii="SimSun" w:hAnsi="SimSun" w:eastAsia="SimSun" w:cs="SimSun"/>
          <w:sz w:val="30"/>
          <w:szCs w:val="30"/>
          <w:spacing w:val="-11"/>
        </w:rPr>
        <w:t>竞争力。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8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</w:t>
      </w:r>
      <w:r>
        <w:rPr>
          <w:rFonts w:ascii="KaiTi" w:hAnsi="KaiTi" w:eastAsia="KaiTi" w:cs="KaiTi"/>
          <w:spacing w:val="-2"/>
        </w:rPr>
        <w:t>战略发展研究所</w:t>
      </w:r>
    </w:p>
    <w:p>
      <w:pPr>
        <w:spacing w:line="461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31775</wp:posOffset>
            </wp:positionH>
            <wp:positionV relativeFrom="paragraph">
              <wp:posOffset>139171</wp:posOffset>
            </wp:positionV>
            <wp:extent cx="1011936" cy="124815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1936" cy="124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33"/>
        <w:spacing w:before="91" w:line="21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柴雪芳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【13316090028】</w:t>
      </w:r>
    </w:p>
    <w:p>
      <w:pPr>
        <w:ind w:left="2122" w:right="418" w:firstLine="281"/>
        <w:spacing w:before="125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一级分析师，管理科学与工程硕士，长期从事</w:t>
      </w:r>
      <w:r>
        <w:rPr>
          <w:rFonts w:ascii="KaiTi" w:hAnsi="KaiTi" w:eastAsia="KaiTi" w:cs="KaiTi"/>
          <w:sz w:val="28"/>
          <w:szCs w:val="28"/>
          <w:spacing w:val="-1"/>
        </w:rPr>
        <w:t>市场与客户研究，近年来专注产品管理模式创</w:t>
      </w:r>
    </w:p>
    <w:p>
      <w:pPr>
        <w:ind w:left="2126"/>
        <w:spacing w:before="6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新、产品能力提升，及数字化体验等领域研究。</w:t>
      </w:r>
    </w:p>
    <w:sectPr>
      <w:pgSz w:w="11907" w:h="16839"/>
      <w:pgMar w:top="1431" w:right="1712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2023-09-20T10:36:07Z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2025-11-04T15:54:27</vt:filetime>
  </property>
</Properties>
</file>