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288" w:lineRule="auto"/>
        <w:jc w:val="center"/>
        <w:outlineLvl w:val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典型数据交易所的挂牌产品洞察及启示</w:t>
      </w:r>
    </w:p>
    <w:p>
      <w:pPr>
        <w:spacing w:before="156" w:beforeLines="50" w:after="156" w:afterLines="50" w:line="288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为推进数据要素市场建设，国家积极布局地方数据交易所建设，现有及筹建</w:t>
      </w:r>
      <w:r>
        <w:rPr>
          <w:rFonts w:hint="eastAsia"/>
          <w:sz w:val="24"/>
          <w:szCs w:val="32"/>
          <w:lang w:val="en-US" w:eastAsia="zh-CN"/>
        </w:rPr>
        <w:t>中的</w:t>
      </w:r>
      <w:r>
        <w:rPr>
          <w:rFonts w:hint="eastAsia"/>
          <w:sz w:val="24"/>
          <w:szCs w:val="32"/>
        </w:rPr>
        <w:t>机构已有53家（含港澳）</w:t>
      </w:r>
      <w:r>
        <w:rPr>
          <w:rStyle w:val="15"/>
          <w:sz w:val="24"/>
          <w:szCs w:val="32"/>
        </w:rPr>
        <w:footnoteReference w:id="0"/>
      </w:r>
      <w:r>
        <w:rPr>
          <w:rFonts w:hint="eastAsia"/>
          <w:sz w:val="24"/>
          <w:szCs w:val="32"/>
        </w:rPr>
        <w:t>。本文选取其中具有代表性的贵阳、上海、海南、西部四家数据交易所，针对挂牌数据产品进行分析</w:t>
      </w:r>
      <w:r>
        <w:rPr>
          <w:rStyle w:val="15"/>
          <w:rFonts w:hint="eastAsia"/>
          <w:sz w:val="24"/>
          <w:szCs w:val="32"/>
        </w:rPr>
        <w:footnoteReference w:id="1"/>
      </w:r>
      <w:r>
        <w:rPr>
          <w:rFonts w:hint="eastAsia"/>
          <w:sz w:val="24"/>
          <w:szCs w:val="32"/>
        </w:rPr>
        <w:t>，为中国电信参与场内数据交易提供参考。</w:t>
      </w:r>
    </w:p>
    <w:p>
      <w:pPr>
        <w:spacing w:before="156" w:beforeLines="50" w:after="156" w:afterLines="50" w:line="288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四家数交所中，海南省数据产品超市是在政府机构主导下、将平台授权给电信运营，另外三家数交所均采用数据交易专职公司运营的模式。总体来说，四家数交所的挂牌数商和产品数量均已达到一定规模，每年促成交易达数亿元。</w:t>
      </w:r>
    </w:p>
    <w:p>
      <w:pPr>
        <w:spacing w:before="156" w:beforeLines="50" w:after="156" w:afterLines="50" w:line="288" w:lineRule="auto"/>
        <w:jc w:val="center"/>
      </w:pPr>
      <w:r>
        <w:rPr>
          <w:rFonts w:hint="eastAsia"/>
        </w:rPr>
        <w:t>表1：典型数据交易所的基本信息</w:t>
      </w:r>
    </w:p>
    <w:p>
      <w:pPr>
        <w:spacing w:before="156" w:beforeLines="50" w:after="156" w:afterLines="50" w:line="288" w:lineRule="auto"/>
        <w:rPr>
          <w:sz w:val="24"/>
          <w:szCs w:val="32"/>
        </w:rPr>
      </w:pPr>
      <w:r>
        <w:drawing>
          <wp:inline distT="0" distB="0" distL="114300" distR="114300">
            <wp:extent cx="5268595" cy="3254375"/>
            <wp:effectExtent l="0" t="0" r="8255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before="156" w:beforeLines="50" w:after="156" w:afterLines="50" w:line="288" w:lineRule="auto"/>
        <w:outlineLvl w:val="0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典型数据交易所的数据产品挂牌特点</w:t>
      </w:r>
    </w:p>
    <w:p>
      <w:pPr>
        <w:spacing w:before="156" w:beforeLines="50" w:after="156" w:afterLines="50" w:line="288" w:lineRule="auto"/>
        <w:ind w:firstLine="482" w:firstLineChars="200"/>
        <w:outlineLvl w:val="1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（一）从产品类型来看：以服务应用类别为主</w:t>
      </w:r>
    </w:p>
    <w:p>
      <w:pPr>
        <w:spacing w:before="156" w:beforeLines="50" w:after="156" w:afterLines="50" w:line="288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《北京市数字经济促进条例》将数据交易形式定义为“数据、数据产品和数据服务”，《广东省数字经济促进条例》规定设立数据交易所依法交易“数据资源开发利用的成果”。结合各地条例和四个数交所的数据产品分类，</w:t>
      </w:r>
      <w:r>
        <w:rPr>
          <w:rFonts w:hint="eastAsia"/>
          <w:b/>
          <w:bCs/>
          <w:sz w:val="24"/>
          <w:szCs w:val="32"/>
        </w:rPr>
        <w:t>本文将挂牌的77</w:t>
      </w:r>
      <w:r>
        <w:rPr>
          <w:rFonts w:hint="eastAsia"/>
          <w:b/>
          <w:bCs/>
          <w:sz w:val="24"/>
          <w:szCs w:val="32"/>
          <w:lang w:val="en-US" w:eastAsia="zh-CN"/>
        </w:rPr>
        <w:t>59</w:t>
      </w:r>
      <w:r>
        <w:rPr>
          <w:rFonts w:hint="eastAsia"/>
          <w:b/>
          <w:bCs/>
          <w:sz w:val="24"/>
          <w:szCs w:val="32"/>
        </w:rPr>
        <w:t>个数据产品分为服务应用、数据资源、算力算法三种类型，数量占比分别为78%、10%和12%</w:t>
      </w:r>
      <w:r>
        <w:rPr>
          <w:rFonts w:hint="eastAsia"/>
          <w:sz w:val="24"/>
          <w:szCs w:val="32"/>
        </w:rPr>
        <w:t>，具体而言：</w:t>
      </w:r>
    </w:p>
    <w:p>
      <w:pPr>
        <w:spacing w:before="156" w:beforeLines="50" w:after="156" w:afterLines="50" w:line="288" w:lineRule="auto"/>
        <w:ind w:firstLine="482" w:firstLineChars="200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服务应用类数据产品</w:t>
      </w:r>
      <w:r>
        <w:rPr>
          <w:rFonts w:hint="eastAsia"/>
          <w:sz w:val="24"/>
          <w:szCs w:val="32"/>
          <w:lang w:val="en-US" w:eastAsia="zh-CN"/>
        </w:rPr>
        <w:t>形态多样，缺乏统一规范</w:t>
      </w:r>
      <w:r>
        <w:rPr>
          <w:rFonts w:hint="eastAsia"/>
          <w:sz w:val="24"/>
          <w:szCs w:val="32"/>
        </w:rPr>
        <w:t>。首先，这些产品提供标准化的API和软件许可证，同时也提供高度定制化的数据报告和咨询服务，以灵活满足客户的标准化和定制化需求。其次，它们围绕数据交易的核心环节，提供数据增值、合规审查和数据中介等服务。此外，服务应用类数据产品还包括一些无需通过数交所交易的产品，如笼统的驻场服务、网站平台、热成像/安检设备等。</w:t>
      </w:r>
    </w:p>
    <w:p>
      <w:pPr>
        <w:spacing w:before="156" w:beforeLines="50" w:after="156" w:afterLines="50" w:line="288" w:lineRule="auto"/>
        <w:ind w:firstLine="482" w:firstLineChars="200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数据资源类数据产品</w:t>
      </w:r>
      <w:r>
        <w:rPr>
          <w:rFonts w:hint="eastAsia"/>
          <w:sz w:val="24"/>
          <w:szCs w:val="32"/>
        </w:rPr>
        <w:t>以提供标准化、结构化数据包形式为主。上海数交所设立高质量语料库专栏，通过市场机制促进不同行业和领域的语料数据产品交易，以支持大模型技术的创新和应用。迄今为止，上海数交所已挂牌超过160种多模态语料数据产品。</w:t>
      </w:r>
    </w:p>
    <w:p>
      <w:pPr>
        <w:spacing w:before="156" w:beforeLines="50" w:after="156" w:afterLines="50" w:line="288" w:lineRule="auto"/>
        <w:ind w:firstLine="482" w:firstLineChars="200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算力算法类数据产品</w:t>
      </w:r>
      <w:r>
        <w:rPr>
          <w:rFonts w:hint="eastAsia"/>
          <w:sz w:val="24"/>
          <w:szCs w:val="32"/>
        </w:rPr>
        <w:t>聚焦提供计算能力和模型服务。这些产品将数据流通所需的关键基础资源，如存储、分析、安全等，转化为标准化的算法模型服务，并通过资源共享平台进行发布。</w:t>
      </w:r>
    </w:p>
    <w:p>
      <w:pPr>
        <w:spacing w:before="156" w:beforeLines="50" w:after="156" w:afterLines="50" w:line="288" w:lineRule="auto"/>
        <w:jc w:val="center"/>
      </w:pPr>
      <w:r>
        <w:drawing>
          <wp:inline distT="0" distB="0" distL="114300" distR="114300">
            <wp:extent cx="4461510" cy="2665095"/>
            <wp:effectExtent l="0" t="0" r="5715" b="19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288" w:lineRule="auto"/>
        <w:jc w:val="center"/>
        <w:rPr>
          <w:sz w:val="24"/>
          <w:szCs w:val="32"/>
          <w:highlight w:val="yellow"/>
        </w:rPr>
      </w:pPr>
      <w:r>
        <w:rPr>
          <w:rFonts w:hint="eastAsia"/>
        </w:rPr>
        <w:t>图1：四个数据交易平台挂牌产品类别</w:t>
      </w:r>
    </w:p>
    <w:p>
      <w:pPr>
        <w:spacing w:before="156" w:beforeLines="50" w:after="156" w:afterLines="50" w:line="288" w:lineRule="auto"/>
        <w:ind w:firstLine="482" w:firstLineChars="200"/>
        <w:outlineLvl w:val="1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（二）从应用行业来看：金融服务、城市治理、商贸流通是主要领域</w:t>
      </w:r>
    </w:p>
    <w:p>
      <w:pPr>
        <w:spacing w:before="156" w:beforeLines="50" w:after="156" w:afterLines="50" w:line="288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《“数据要素×”三年行动计划（2024—2026年）》计划到2026年底，聚焦12个行业领域，以充分释放数据要素价值。在挂牌数据产品的应用行业分布中，金融服务、城市治理、商贸流通的数据产品占比最高。</w:t>
      </w:r>
    </w:p>
    <w:p>
      <w:pPr>
        <w:spacing w:before="156" w:beforeLines="50" w:after="156" w:afterLines="50" w:line="288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（1）金融服务领域应用主要聚焦在金融风控方面，如，个人征信类数据产品的交易规模在所有金融数据交易中占比接近26%。此外，金融服务的数据来源极为广泛，涵盖运营商、社保、工商、保险、电力和医保等多个渠道。</w:t>
      </w:r>
    </w:p>
    <w:p>
      <w:pPr>
        <w:spacing w:before="156" w:beforeLines="50" w:after="156" w:afterLines="50" w:line="288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（2）城市治理领域中的数据产品应用广泛，包括交通出行、时空数字高程模型（DEM）、行政区划、建筑物面、路网、兴趣点（POI）、用电情况和安防监控等。智慧交通和市场监管</w:t>
      </w:r>
      <w:r>
        <w:rPr>
          <w:rFonts w:hint="eastAsia"/>
          <w:sz w:val="24"/>
          <w:szCs w:val="32"/>
          <w:lang w:val="en-US" w:eastAsia="zh-CN"/>
        </w:rPr>
        <w:t>是</w:t>
      </w:r>
      <w:r>
        <w:rPr>
          <w:rFonts w:hint="eastAsia"/>
          <w:sz w:val="24"/>
          <w:szCs w:val="32"/>
        </w:rPr>
        <w:t>城市治理数据应用的两个关键领域。</w:t>
      </w:r>
    </w:p>
    <w:p>
      <w:pPr>
        <w:spacing w:before="156" w:beforeLines="50" w:after="156" w:afterLines="50" w:line="288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（3）商贸流通领域主要利用电子合同、商圈店铺、人流热力、决策投资等相关数据产品和服务，来提升商业贸易流通效率。</w:t>
      </w:r>
    </w:p>
    <w:p>
      <w:pPr>
        <w:spacing w:before="156" w:beforeLines="50" w:after="156" w:afterLines="50" w:line="288" w:lineRule="auto"/>
        <w:jc w:val="center"/>
      </w:pPr>
      <w:r>
        <w:drawing>
          <wp:inline distT="0" distB="0" distL="114300" distR="114300">
            <wp:extent cx="3942715" cy="3268345"/>
            <wp:effectExtent l="0" t="0" r="63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288" w:lineRule="auto"/>
        <w:jc w:val="center"/>
      </w:pPr>
      <w:r>
        <w:rPr>
          <w:rFonts w:hint="eastAsia"/>
        </w:rPr>
        <w:t>图2：应用不同行业的数据产品数量</w:t>
      </w:r>
    </w:p>
    <w:p>
      <w:pPr>
        <w:spacing w:before="156" w:beforeLines="50" w:after="156" w:afterLines="50" w:line="288" w:lineRule="auto"/>
        <w:ind w:firstLine="241" w:firstLineChars="100"/>
        <w:outlineLvl w:val="1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（三）从挂牌企业来看：软件信息、科技应用服务、互联网行业为主力</w:t>
      </w:r>
    </w:p>
    <w:p>
      <w:pPr>
        <w:spacing w:before="156" w:beforeLines="50" w:after="156" w:afterLines="50" w:line="288" w:lineRule="auto"/>
        <w:ind w:firstLine="480" w:firstLineChars="200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在四个数交所挂牌的企业总数达到517家，主要集中于软件和信息技术服务业、科技推广和应用服务业、互联网和相关服务</w:t>
      </w:r>
      <w:r>
        <w:rPr>
          <w:rStyle w:val="15"/>
          <w:rFonts w:hint="eastAsia" w:ascii="宋体" w:hAnsi="宋体" w:eastAsia="宋体" w:cs="宋体"/>
          <w:sz w:val="24"/>
        </w:rPr>
        <w:footnoteReference w:id="2"/>
      </w:r>
      <w:r>
        <w:rPr>
          <w:rFonts w:hint="eastAsia" w:ascii="宋体" w:hAnsi="宋体" w:eastAsia="宋体" w:cs="宋体"/>
          <w:sz w:val="24"/>
        </w:rPr>
        <w:t>行业，占挂牌企业</w:t>
      </w:r>
      <w:r>
        <w:rPr>
          <w:rFonts w:hint="eastAsia"/>
          <w:sz w:val="24"/>
          <w:szCs w:val="32"/>
        </w:rPr>
        <w:t>数量的70%。此外，还有商务、金融、电信、媒体等其他行业的企业参与挂牌。</w:t>
      </w:r>
    </w:p>
    <w:p>
      <w:pPr>
        <w:spacing w:before="156" w:beforeLines="50" w:after="156" w:afterLines="50" w:line="288" w:lineRule="auto"/>
        <w:jc w:val="center"/>
      </w:pPr>
      <w:r>
        <w:drawing>
          <wp:inline distT="0" distB="0" distL="114300" distR="114300">
            <wp:extent cx="4519930" cy="2943225"/>
            <wp:effectExtent l="0" t="0" r="444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288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图3：挂牌企业的行业分类</w:t>
      </w:r>
      <w:r>
        <w:rPr>
          <w:rFonts w:hint="eastAsia"/>
          <w:lang w:val="en-US" w:eastAsia="zh-CN"/>
        </w:rPr>
        <w:t>Top10</w:t>
      </w:r>
    </w:p>
    <w:p>
      <w:pPr>
        <w:spacing w:before="156" w:beforeLines="50" w:after="156" w:afterLines="50" w:line="288" w:lineRule="auto"/>
        <w:ind w:firstLine="480" w:firstLineChars="200"/>
        <w:jc w:val="left"/>
      </w:pPr>
      <w:r>
        <w:rPr>
          <w:rFonts w:hint="eastAsia"/>
          <w:sz w:val="24"/>
          <w:szCs w:val="32"/>
        </w:rPr>
        <w:t>总体而言，以数据原生为主的企业挂牌数据产品更活跃，这些企业在经营过程中收集和分析大量的用户身份数据、流量数据和行为数据，以驱动业务发展。相对而言，传统以实体业务为主的企业参与比例较少。</w:t>
      </w:r>
    </w:p>
    <w:p>
      <w:pPr>
        <w:numPr>
          <w:ilvl w:val="0"/>
          <w:numId w:val="1"/>
        </w:numPr>
        <w:spacing w:before="156" w:beforeLines="50" w:after="156" w:afterLines="50" w:line="288" w:lineRule="auto"/>
        <w:outlineLvl w:val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运营商数据产品的挂牌情况</w:t>
      </w:r>
    </w:p>
    <w:p>
      <w:pPr>
        <w:spacing w:before="156" w:beforeLines="50" w:after="156" w:afterLines="50" w:line="288" w:lineRule="auto"/>
        <w:ind w:firstLine="482" w:firstLineChars="200"/>
        <w:outlineLvl w:val="1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（一）从挂牌类型来看，运营商数据产品覆盖全面</w:t>
      </w:r>
    </w:p>
    <w:p>
      <w:pPr>
        <w:spacing w:before="156" w:beforeLines="50" w:after="156" w:afterLines="50" w:line="288" w:lineRule="auto"/>
        <w:rPr>
          <w:bCs/>
          <w:sz w:val="24"/>
          <w:szCs w:val="32"/>
        </w:rPr>
      </w:pPr>
      <w:r>
        <w:rPr>
          <w:sz w:val="24"/>
          <w:szCs w:val="32"/>
        </w:rPr>
        <w:tab/>
      </w:r>
      <w:r>
        <w:rPr>
          <w:rFonts w:hint="eastAsia"/>
          <w:bCs/>
          <w:sz w:val="24"/>
          <w:szCs w:val="32"/>
        </w:rPr>
        <w:t>运营商围绕数据交易形成全链条的数据产品和服务。</w:t>
      </w:r>
      <w:r>
        <w:rPr>
          <w:rFonts w:hint="eastAsia"/>
          <w:b/>
          <w:sz w:val="24"/>
          <w:szCs w:val="32"/>
        </w:rPr>
        <w:t>一是云网基础设施产品。</w:t>
      </w:r>
      <w:r>
        <w:rPr>
          <w:rFonts w:hint="eastAsia"/>
          <w:bCs/>
          <w:sz w:val="24"/>
          <w:szCs w:val="32"/>
        </w:rPr>
        <w:t>运营商提供云主机、云存储、云数据库等云服务，同时提供CDN、云专线、VPN等网络服务，这种类型数据产品挂牌数量不多，但是访问量很高。</w:t>
      </w:r>
      <w:r>
        <w:rPr>
          <w:rFonts w:hint="eastAsia"/>
          <w:b/>
          <w:sz w:val="24"/>
          <w:szCs w:val="32"/>
        </w:rPr>
        <w:t>二是基于基础通信业务数据的认证和营销产品</w:t>
      </w:r>
      <w:r>
        <w:rPr>
          <w:rFonts w:hint="eastAsia"/>
          <w:bCs/>
          <w:sz w:val="24"/>
          <w:szCs w:val="32"/>
        </w:rPr>
        <w:t>。运营商客户基础属性、通信消费、位置数据通过加工、脱敏后，对外提供三要素验证、工作地/居住地查询、业务使用量查询等服务，是运营商独特的数据产品，可为精准营销和客户关系管理提供支持。</w:t>
      </w:r>
      <w:r>
        <w:rPr>
          <w:rFonts w:hint="eastAsia"/>
          <w:b/>
          <w:sz w:val="24"/>
          <w:szCs w:val="32"/>
        </w:rPr>
        <w:t>三是行业数据应用解决方案。</w:t>
      </w:r>
      <w:r>
        <w:rPr>
          <w:rFonts w:hint="eastAsia"/>
          <w:bCs/>
          <w:sz w:val="24"/>
          <w:szCs w:val="32"/>
        </w:rPr>
        <w:t>如，运营商旅游大数据产品可以帮助旅游企业优化旅游路线和营销策略，个人信用评分可以帮助金融机构评估信用状况和风险。</w:t>
      </w:r>
      <w:r>
        <w:rPr>
          <w:rFonts w:hint="eastAsia"/>
          <w:b/>
          <w:sz w:val="24"/>
          <w:szCs w:val="32"/>
        </w:rPr>
        <w:t>四是数据流通安全与防护产品。</w:t>
      </w:r>
      <w:r>
        <w:rPr>
          <w:rFonts w:hint="eastAsia"/>
          <w:bCs/>
          <w:sz w:val="24"/>
          <w:szCs w:val="32"/>
        </w:rPr>
        <w:t>运营商提供多种安全产品和服务，如Web应用防火墙、DDoS防护、数据加密、多方安全计算、联邦学习和数据编织平台，保障数据流通安全和业务稳定运行。</w:t>
      </w:r>
    </w:p>
    <w:p>
      <w:pPr>
        <w:spacing w:before="156" w:beforeLines="50" w:after="156" w:afterLines="50" w:line="288" w:lineRule="auto"/>
      </w:pPr>
      <w:r>
        <w:drawing>
          <wp:inline distT="0" distB="0" distL="114300" distR="114300">
            <wp:extent cx="5274310" cy="266954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288" w:lineRule="auto"/>
        <w:jc w:val="center"/>
      </w:pPr>
      <w:r>
        <w:rPr>
          <w:rFonts w:hint="eastAsia"/>
        </w:rPr>
        <w:t>图4：三大运营商挂牌数据产品名称的词云图</w:t>
      </w:r>
    </w:p>
    <w:p>
      <w:pPr>
        <w:spacing w:before="156" w:beforeLines="50" w:after="156" w:afterLines="50" w:line="288" w:lineRule="auto"/>
        <w:jc w:val="center"/>
        <w:rPr>
          <w:sz w:val="24"/>
          <w:szCs w:val="32"/>
          <w:highlight w:val="yellow"/>
        </w:rPr>
      </w:pPr>
      <w:r>
        <w:rPr>
          <w:rFonts w:hint="eastAsia"/>
        </w:rPr>
        <w:t>表2：三大运营商访问量TOP10的挂牌数据产品</w:t>
      </w:r>
      <w:r>
        <w:rPr>
          <w:rStyle w:val="15"/>
          <w:rFonts w:hint="eastAsia"/>
        </w:rPr>
        <w:footnoteReference w:id="3"/>
      </w:r>
    </w:p>
    <w:p>
      <w:pPr>
        <w:spacing w:before="156" w:beforeLines="50" w:after="156" w:afterLines="50" w:line="288" w:lineRule="auto"/>
        <w:rPr>
          <w:sz w:val="24"/>
          <w:szCs w:val="32"/>
          <w:highlight w:val="yellow"/>
        </w:rPr>
      </w:pPr>
      <w:r>
        <w:drawing>
          <wp:inline distT="0" distB="0" distL="114300" distR="114300">
            <wp:extent cx="5267960" cy="2350135"/>
            <wp:effectExtent l="0" t="0" r="8890" b="254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288" w:lineRule="auto"/>
        <w:ind w:firstLine="482" w:firstLineChars="200"/>
        <w:outlineLvl w:val="1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（二）从挂牌数量来看，电信挂牌产品数量更多</w:t>
      </w:r>
    </w:p>
    <w:p>
      <w:pPr>
        <w:spacing w:before="156" w:beforeLines="50" w:after="156" w:afterLines="50" w:line="288" w:lineRule="auto"/>
        <w:ind w:firstLine="420"/>
        <w:rPr>
          <w:sz w:val="24"/>
          <w:szCs w:val="32"/>
          <w:highlight w:val="yellow"/>
        </w:rPr>
      </w:pPr>
      <w:r>
        <w:rPr>
          <w:rFonts w:hint="eastAsia"/>
          <w:sz w:val="24"/>
          <w:szCs w:val="32"/>
        </w:rPr>
        <w:t>运营商在海南、上海和贵阳三个数交所挂牌数据产品达1</w:t>
      </w:r>
      <w:r>
        <w:rPr>
          <w:sz w:val="24"/>
          <w:szCs w:val="32"/>
        </w:rPr>
        <w:t>300</w:t>
      </w:r>
      <w:r>
        <w:rPr>
          <w:rFonts w:hint="eastAsia"/>
          <w:sz w:val="24"/>
          <w:szCs w:val="32"/>
        </w:rPr>
        <w:t>个，占交易所挂牌产品数量的20%。电信还作为代理商为海南省政府发布公共数据产品，如省内企业变更信息、人口基础库等数据。在西部数据交易中心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运营商挂牌产品数量占比仅为3%，未来有很大的拓展空间。</w:t>
      </w:r>
    </w:p>
    <w:p>
      <w:pPr>
        <w:spacing w:before="156" w:beforeLines="50" w:after="156" w:afterLines="50" w:line="288" w:lineRule="auto"/>
        <w:ind w:firstLine="420"/>
        <w:rPr>
          <w:bCs/>
          <w:sz w:val="24"/>
          <w:szCs w:val="32"/>
        </w:rPr>
      </w:pPr>
      <w:r>
        <w:rPr>
          <w:rFonts w:hint="eastAsia"/>
          <w:bCs/>
          <w:sz w:val="24"/>
          <w:szCs w:val="32"/>
        </w:rPr>
        <w:t>三大运营商对比，电信挂牌数据产品数量超600个，是移动的1.3倍、联通的5倍。同时，电信省公司和专业公司挂牌产品数量均衡，上海理想、中电福富挂牌大量城市治理、金融服务的行业数据产品。</w:t>
      </w:r>
    </w:p>
    <w:p>
      <w:pPr>
        <w:spacing w:before="156" w:beforeLines="50" w:after="156" w:afterLines="50" w:line="288" w:lineRule="auto"/>
        <w:jc w:val="center"/>
        <w:rPr>
          <w:sz w:val="24"/>
          <w:szCs w:val="32"/>
        </w:rPr>
      </w:pPr>
      <w:r>
        <w:rPr>
          <w:sz w:val="24"/>
          <w:szCs w:val="32"/>
        </w:rPr>
        <w:drawing>
          <wp:inline distT="0" distB="0" distL="0" distR="0">
            <wp:extent cx="3532505" cy="2152650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288" w:lineRule="auto"/>
        <w:jc w:val="center"/>
        <w:rPr>
          <w:sz w:val="24"/>
          <w:szCs w:val="32"/>
        </w:rPr>
      </w:pPr>
      <w:r>
        <w:rPr>
          <w:rFonts w:hint="eastAsia"/>
          <w:sz w:val="24"/>
          <w:szCs w:val="32"/>
        </w:rPr>
        <w:t>图5：三大运营商挂牌数据产品数量对比</w:t>
      </w:r>
    </w:p>
    <w:p>
      <w:pPr>
        <w:spacing w:before="156" w:beforeLines="50" w:after="156" w:afterLines="50" w:line="288" w:lineRule="auto"/>
        <w:ind w:firstLine="482" w:firstLineChars="200"/>
        <w:outlineLvl w:val="1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（三）从挂牌策略来看，移动、联通品牌统一性更强</w:t>
      </w:r>
    </w:p>
    <w:p>
      <w:pPr>
        <w:spacing w:before="156" w:beforeLines="50" w:after="156" w:afterLines="50" w:line="288" w:lineRule="auto"/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移动省公司通过梧桐大数据平台挂牌近300个数据产品，服务于各个垂直行业。这些产品具有细小的数据颗粒度，并提供API/SDK调用方式，展现出高度的定制性和灵活性。2024年3月，贵阳大数据交易所与中国移动大数据（贵阳）创新研究院联合推出全国首个“移动数据专区”。该专区挂牌了超过百个数据产品，均属于中国移动的梧桐大数据产品品牌，主要提供风控大数据、洞察大数据、触达大数据、咨询服务以及大数据工具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eastAsia"/>
          <w:sz w:val="24"/>
          <w:szCs w:val="32"/>
        </w:rPr>
        <w:t>五大产品</w:t>
      </w:r>
      <w:r>
        <w:rPr>
          <w:rFonts w:hint="eastAsia"/>
          <w:sz w:val="24"/>
          <w:szCs w:val="32"/>
          <w:lang w:val="en-US" w:eastAsia="zh-CN"/>
        </w:rPr>
        <w:t>类别</w:t>
      </w:r>
      <w:r>
        <w:rPr>
          <w:rFonts w:hint="eastAsia"/>
          <w:sz w:val="24"/>
          <w:szCs w:val="32"/>
        </w:rPr>
        <w:t>。</w:t>
      </w:r>
    </w:p>
    <w:p>
      <w:pPr>
        <w:spacing w:before="156" w:beforeLines="50" w:after="156" w:afterLines="50" w:line="288" w:lineRule="auto"/>
        <w:ind w:firstLine="420"/>
        <w:rPr>
          <w:sz w:val="24"/>
          <w:szCs w:val="32"/>
        </w:rPr>
      </w:pPr>
      <w:r>
        <w:rPr>
          <w:rFonts w:hint="eastAsia"/>
          <w:sz w:val="24"/>
          <w:szCs w:val="32"/>
        </w:rPr>
        <w:t>上海联通</w:t>
      </w:r>
      <w:r>
        <w:rPr>
          <w:rFonts w:hint="eastAsia"/>
          <w:sz w:val="24"/>
          <w:szCs w:val="32"/>
          <w:lang w:val="en-US" w:eastAsia="zh-CN"/>
        </w:rPr>
        <w:t>在</w:t>
      </w:r>
      <w:r>
        <w:rPr>
          <w:rFonts w:hint="eastAsia"/>
          <w:sz w:val="24"/>
          <w:szCs w:val="32"/>
        </w:rPr>
        <w:t>上海数交所挂牌65个数据产品，这些产品均源自数盾风控平台，占到集团总体挂牌产品数的一半。</w:t>
      </w:r>
    </w:p>
    <w:p>
      <w:pPr>
        <w:numPr>
          <w:ilvl w:val="0"/>
          <w:numId w:val="1"/>
        </w:numPr>
        <w:spacing w:before="156" w:beforeLines="50" w:after="156" w:afterLines="50" w:line="288" w:lineRule="auto"/>
        <w:outlineLvl w:val="0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对中国电信的启示</w:t>
      </w:r>
    </w:p>
    <w:p>
      <w:pPr>
        <w:spacing w:before="156" w:beforeLines="50" w:after="156" w:afterLines="50" w:line="288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我国数据交易市场规模超800亿元，但规范的场内交易占比不足5%</w:t>
      </w:r>
      <w:r>
        <w:rPr>
          <w:rStyle w:val="15"/>
          <w:rFonts w:hint="eastAsia"/>
          <w:sz w:val="24"/>
          <w:szCs w:val="32"/>
        </w:rPr>
        <w:footnoteReference w:id="4"/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场内交易潜力巨大</w:t>
      </w:r>
      <w:r>
        <w:rPr>
          <w:rFonts w:hint="eastAsia"/>
          <w:sz w:val="24"/>
          <w:szCs w:val="32"/>
        </w:rPr>
        <w:t>。在地方政策支持下，数交所正在积极推进数据产品的合规登记和价值评估等关键工作，以期不断完善场内交易市场。中国电信作为市场的重要参与者，</w:t>
      </w:r>
      <w:r>
        <w:rPr>
          <w:rFonts w:hint="eastAsia"/>
          <w:sz w:val="24"/>
          <w:szCs w:val="32"/>
          <w:lang w:val="en-US" w:eastAsia="zh-CN"/>
        </w:rPr>
        <w:t>可</w:t>
      </w:r>
      <w:r>
        <w:rPr>
          <w:rFonts w:hint="eastAsia"/>
          <w:sz w:val="24"/>
          <w:szCs w:val="32"/>
        </w:rPr>
        <w:t>积极参与数据交易，</w:t>
      </w:r>
      <w:r>
        <w:rPr>
          <w:rFonts w:hint="eastAsia"/>
          <w:sz w:val="24"/>
          <w:szCs w:val="32"/>
          <w:lang w:val="en-US" w:eastAsia="zh-CN"/>
        </w:rPr>
        <w:t>对于</w:t>
      </w:r>
      <w:r>
        <w:rPr>
          <w:rFonts w:hint="eastAsia"/>
          <w:sz w:val="24"/>
          <w:szCs w:val="32"/>
        </w:rPr>
        <w:t>推动</w:t>
      </w:r>
      <w:r>
        <w:rPr>
          <w:rFonts w:hint="eastAsia"/>
          <w:sz w:val="24"/>
          <w:szCs w:val="32"/>
          <w:lang w:val="en-US" w:eastAsia="zh-CN"/>
        </w:rPr>
        <w:t>自身数据</w:t>
      </w:r>
      <w:r>
        <w:rPr>
          <w:rFonts w:hint="eastAsia"/>
          <w:sz w:val="24"/>
          <w:szCs w:val="32"/>
        </w:rPr>
        <w:t>向资源化、产品化、资产化转化</w:t>
      </w:r>
      <w:r>
        <w:rPr>
          <w:rFonts w:hint="eastAsia"/>
          <w:sz w:val="24"/>
          <w:szCs w:val="32"/>
          <w:lang w:val="en-US" w:eastAsia="zh-CN"/>
        </w:rPr>
        <w:t>意义重大</w:t>
      </w:r>
      <w:r>
        <w:rPr>
          <w:rFonts w:hint="eastAsia"/>
          <w:sz w:val="24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88" w:lineRule="auto"/>
        <w:ind w:firstLine="482" w:firstLineChars="200"/>
        <w:jc w:val="left"/>
        <w:textAlignment w:val="auto"/>
        <w:outlineLvl w:val="9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1、加快拓展数交所市场，</w:t>
      </w:r>
      <w:r>
        <w:rPr>
          <w:rFonts w:hint="eastAsia"/>
          <w:b/>
          <w:bCs/>
          <w:sz w:val="24"/>
          <w:szCs w:val="32"/>
        </w:rPr>
        <w:t>提供</w:t>
      </w:r>
      <w:r>
        <w:rPr>
          <w:rFonts w:hint="eastAsia"/>
          <w:b/>
          <w:bCs/>
          <w:sz w:val="24"/>
          <w:szCs w:val="32"/>
          <w:lang w:val="en-US" w:eastAsia="zh-CN"/>
        </w:rPr>
        <w:t>数据基础设施服务</w:t>
      </w:r>
      <w:r>
        <w:rPr>
          <w:rFonts w:hint="eastAsia"/>
          <w:b/>
          <w:bCs/>
          <w:sz w:val="24"/>
          <w:szCs w:val="32"/>
        </w:rPr>
        <w:t>和技术支撑</w:t>
      </w:r>
      <w:r>
        <w:rPr>
          <w:rFonts w:hint="eastAsia"/>
          <w:b/>
          <w:bCs/>
          <w:sz w:val="24"/>
          <w:szCs w:val="32"/>
          <w:lang w:eastAsia="zh-CN"/>
        </w:rPr>
        <w:t>。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基于国资云，</w:t>
      </w:r>
      <w:r>
        <w:rPr>
          <w:rFonts w:hint="eastAsia"/>
          <w:sz w:val="24"/>
          <w:szCs w:val="32"/>
          <w:lang w:val="en-US" w:eastAsia="zh-CN"/>
        </w:rPr>
        <w:t>提供</w:t>
      </w:r>
      <w:r>
        <w:rPr>
          <w:rFonts w:hint="eastAsia"/>
          <w:sz w:val="24"/>
          <w:szCs w:val="32"/>
        </w:rPr>
        <w:t>高存储能力、高计算能力、高运行效率、高安全性和高能效的新型数据基础设施。依托区块链、隐私计算和可信数据空间等先进技术</w:t>
      </w:r>
      <w:r>
        <w:rPr>
          <w:rFonts w:hint="eastAsia"/>
          <w:b w:val="0"/>
          <w:bCs w:val="0"/>
          <w:sz w:val="24"/>
          <w:szCs w:val="32"/>
        </w:rPr>
        <w:t>，提供数据交易的安全可信技术服务配套</w:t>
      </w:r>
      <w:r>
        <w:rPr>
          <w:rFonts w:hint="eastAsia"/>
          <w:b w:val="0"/>
          <w:bCs w:val="0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深入参与数据汇聚、处理、流通、应用等全流程，以确保数据流通交易的安全和可信。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88" w:lineRule="auto"/>
        <w:ind w:firstLine="482" w:firstLineChars="200"/>
        <w:textAlignment w:val="auto"/>
        <w:outlineLvl w:val="9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2、</w:t>
      </w:r>
      <w:r>
        <w:rPr>
          <w:rFonts w:hint="eastAsia"/>
          <w:b/>
          <w:bCs/>
          <w:sz w:val="24"/>
          <w:szCs w:val="32"/>
        </w:rPr>
        <w:t>建立统一</w:t>
      </w:r>
      <w:r>
        <w:rPr>
          <w:rFonts w:hint="eastAsia"/>
          <w:b/>
          <w:bCs/>
          <w:sz w:val="24"/>
          <w:szCs w:val="32"/>
          <w:lang w:val="en-US" w:eastAsia="zh-CN"/>
        </w:rPr>
        <w:t>的</w:t>
      </w:r>
      <w:r>
        <w:rPr>
          <w:rFonts w:hint="eastAsia"/>
          <w:b/>
          <w:bCs/>
          <w:sz w:val="24"/>
          <w:szCs w:val="32"/>
        </w:rPr>
        <w:t>品牌</w:t>
      </w:r>
      <w:r>
        <w:rPr>
          <w:rFonts w:hint="eastAsia"/>
          <w:b/>
          <w:bCs/>
          <w:sz w:val="24"/>
          <w:szCs w:val="32"/>
          <w:lang w:val="en-US" w:eastAsia="zh-CN"/>
        </w:rPr>
        <w:t>和</w:t>
      </w:r>
      <w:r>
        <w:rPr>
          <w:rFonts w:hint="eastAsia"/>
          <w:b/>
          <w:bCs/>
          <w:sz w:val="24"/>
          <w:szCs w:val="32"/>
        </w:rPr>
        <w:t>产品体系</w:t>
      </w:r>
      <w:r>
        <w:rPr>
          <w:rFonts w:hint="eastAsia"/>
          <w:b/>
          <w:bCs/>
          <w:sz w:val="24"/>
          <w:szCs w:val="32"/>
          <w:lang w:eastAsia="zh-CN"/>
        </w:rPr>
        <w:t>。</w:t>
      </w:r>
      <w:r>
        <w:rPr>
          <w:rFonts w:hint="eastAsia"/>
          <w:sz w:val="24"/>
          <w:szCs w:val="32"/>
        </w:rPr>
        <w:t>集团协同省专公司数据资源，以星海大数据平台为载体，构建统一品牌的数据产品体系，明确集团、省公司、本地网</w:t>
      </w:r>
      <w:r>
        <w:rPr>
          <w:rFonts w:hint="eastAsia"/>
          <w:sz w:val="24"/>
          <w:szCs w:val="32"/>
          <w:lang w:val="en-US" w:eastAsia="zh-CN"/>
        </w:rPr>
        <w:t>层次化</w:t>
      </w:r>
      <w:r>
        <w:rPr>
          <w:rFonts w:hint="eastAsia"/>
          <w:sz w:val="24"/>
          <w:szCs w:val="32"/>
        </w:rPr>
        <w:t>的数据产品视图，赋能省公司数据产品发展。</w:t>
      </w:r>
      <w:r>
        <w:rPr>
          <w:rFonts w:hint="eastAsia"/>
          <w:sz w:val="24"/>
          <w:szCs w:val="32"/>
          <w:lang w:val="en-US" w:eastAsia="zh-CN"/>
        </w:rPr>
        <w:t>重点面向金融服务、城市治理、商贸流通等行业，加强数据产品开发，在产品质量、功能上力争实现差异化。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88" w:lineRule="auto"/>
        <w:ind w:firstLine="482" w:firstLineChars="200"/>
        <w:jc w:val="left"/>
        <w:textAlignment w:val="auto"/>
        <w:outlineLvl w:val="9"/>
        <w:rPr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3、</w:t>
      </w:r>
      <w:r>
        <w:rPr>
          <w:rFonts w:hint="eastAsia"/>
          <w:b/>
          <w:bCs/>
          <w:sz w:val="24"/>
          <w:szCs w:val="32"/>
        </w:rPr>
        <w:t>提升场内挂牌数据产品的品质和价值</w:t>
      </w:r>
      <w:r>
        <w:rPr>
          <w:rFonts w:hint="eastAsia"/>
          <w:b/>
          <w:bCs/>
          <w:sz w:val="24"/>
          <w:szCs w:val="32"/>
          <w:lang w:eastAsia="zh-CN"/>
        </w:rPr>
        <w:t>。</w:t>
      </w:r>
      <w:r>
        <w:rPr>
          <w:rFonts w:hint="eastAsia"/>
          <w:b/>
          <w:bCs/>
          <w:sz w:val="24"/>
          <w:szCs w:val="32"/>
        </w:rPr>
        <w:t>明确挂牌的数据</w:t>
      </w:r>
      <w:r>
        <w:rPr>
          <w:rFonts w:hint="eastAsia"/>
          <w:b/>
          <w:bCs/>
          <w:sz w:val="24"/>
          <w:szCs w:val="32"/>
          <w:lang w:val="en-US" w:eastAsia="zh-CN"/>
        </w:rPr>
        <w:t>产品来源、</w:t>
      </w:r>
      <w:r>
        <w:rPr>
          <w:rFonts w:hint="eastAsia"/>
          <w:b/>
          <w:bCs/>
          <w:sz w:val="24"/>
          <w:szCs w:val="32"/>
        </w:rPr>
        <w:t>产品价值、使用场景和限定条件。</w:t>
      </w:r>
      <w:r>
        <w:rPr>
          <w:rFonts w:hint="eastAsia"/>
          <w:sz w:val="24"/>
          <w:szCs w:val="32"/>
        </w:rPr>
        <w:t>对</w:t>
      </w:r>
      <w:r>
        <w:rPr>
          <w:rFonts w:hint="eastAsia"/>
          <w:sz w:val="24"/>
          <w:szCs w:val="32"/>
          <w:lang w:val="en-US" w:eastAsia="zh-CN"/>
        </w:rPr>
        <w:t>拟挂牌的</w:t>
      </w:r>
      <w:r>
        <w:rPr>
          <w:rFonts w:hint="eastAsia"/>
          <w:sz w:val="24"/>
          <w:szCs w:val="32"/>
        </w:rPr>
        <w:t>数据产品</w:t>
      </w:r>
      <w:r>
        <w:rPr>
          <w:rFonts w:hint="eastAsia"/>
          <w:sz w:val="24"/>
          <w:szCs w:val="32"/>
          <w:highlight w:val="none"/>
        </w:rPr>
        <w:t>建立来源区分和审查制度</w:t>
      </w:r>
      <w:r>
        <w:rPr>
          <w:rFonts w:hint="eastAsia"/>
          <w:sz w:val="24"/>
          <w:szCs w:val="32"/>
          <w:highlight w:val="none"/>
          <w:lang w:eastAsia="zh-CN"/>
        </w:rPr>
        <w:t>，</w:t>
      </w:r>
      <w:r>
        <w:rPr>
          <w:rFonts w:hint="eastAsia"/>
          <w:sz w:val="24"/>
          <w:szCs w:val="32"/>
          <w:highlight w:val="none"/>
          <w:lang w:val="en-US" w:eastAsia="zh-CN"/>
        </w:rPr>
        <w:t>并对产品</w:t>
      </w:r>
      <w:r>
        <w:rPr>
          <w:rFonts w:hint="eastAsia"/>
          <w:sz w:val="24"/>
          <w:szCs w:val="32"/>
        </w:rPr>
        <w:t>的知识投入和数据处理成本进行详细梳理，为</w:t>
      </w:r>
      <w:r>
        <w:rPr>
          <w:rFonts w:hint="eastAsia"/>
          <w:sz w:val="24"/>
          <w:szCs w:val="32"/>
          <w:lang w:val="en-US" w:eastAsia="zh-CN"/>
        </w:rPr>
        <w:t>其</w:t>
      </w:r>
      <w:r>
        <w:rPr>
          <w:rFonts w:hint="eastAsia"/>
          <w:sz w:val="24"/>
          <w:szCs w:val="32"/>
        </w:rPr>
        <w:t>设定合理的使用限制（使用期限、权限和保密要求），以保障数据产品</w:t>
      </w:r>
      <w:r>
        <w:rPr>
          <w:rFonts w:hint="eastAsia"/>
          <w:sz w:val="24"/>
          <w:szCs w:val="32"/>
          <w:lang w:val="en-US" w:eastAsia="zh-CN"/>
        </w:rPr>
        <w:t>挂牌后</w:t>
      </w:r>
      <w:r>
        <w:rPr>
          <w:rFonts w:hint="eastAsia"/>
          <w:sz w:val="24"/>
          <w:szCs w:val="32"/>
        </w:rPr>
        <w:t>的合规</w:t>
      </w:r>
      <w:r>
        <w:rPr>
          <w:rFonts w:hint="eastAsia"/>
          <w:sz w:val="24"/>
          <w:szCs w:val="32"/>
          <w:lang w:val="en-US" w:eastAsia="zh-CN"/>
        </w:rPr>
        <w:t>合理</w:t>
      </w:r>
      <w:r>
        <w:rPr>
          <w:rFonts w:hint="eastAsia"/>
          <w:sz w:val="24"/>
          <w:szCs w:val="32"/>
        </w:rPr>
        <w:t>使用。</w:t>
      </w:r>
      <w:r>
        <w:rPr>
          <w:rFonts w:hint="eastAsia"/>
          <w:b/>
          <w:bCs/>
          <w:sz w:val="24"/>
          <w:szCs w:val="32"/>
        </w:rPr>
        <w:t>积极参与公共数据的授权经营。</w:t>
      </w:r>
      <w:r>
        <w:rPr>
          <w:rFonts w:hint="eastAsia"/>
          <w:sz w:val="24"/>
          <w:szCs w:val="32"/>
        </w:rPr>
        <w:t>与国家级/地方级数据交易所</w:t>
      </w:r>
      <w:r>
        <w:rPr>
          <w:rFonts w:hint="eastAsia"/>
          <w:sz w:val="24"/>
          <w:szCs w:val="32"/>
          <w:lang w:val="en-US" w:eastAsia="zh-CN"/>
        </w:rPr>
        <w:t>等</w:t>
      </w:r>
      <w:r>
        <w:rPr>
          <w:rFonts w:hint="eastAsia"/>
          <w:sz w:val="24"/>
          <w:szCs w:val="32"/>
        </w:rPr>
        <w:t>试</w:t>
      </w:r>
      <w:bookmarkStart w:id="0" w:name="_GoBack"/>
      <w:bookmarkEnd w:id="0"/>
      <w:r>
        <w:rPr>
          <w:rFonts w:hint="eastAsia"/>
          <w:sz w:val="24"/>
          <w:szCs w:val="32"/>
        </w:rPr>
        <w:t>点单位合作，根据公共数据的特性，开发具有竞争力的数据产品，释放公共数据价值。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0">
    <w:p>
      <w:r>
        <w:separator/>
      </w:r>
    </w:p>
  </w:footnote>
  <w:footnote w:type="continuationSeparator" w:id="11">
    <w:p>
      <w:r>
        <w:continuationSeparator/>
      </w:r>
    </w:p>
  </w:footnote>
  <w:footnote w:id="0">
    <w:p>
      <w:pPr>
        <w:pStyle w:val="5"/>
      </w:pPr>
      <w:r>
        <w:rPr>
          <w:rStyle w:val="15"/>
        </w:rPr>
        <w:footnoteRef/>
      </w:r>
      <w:r>
        <w:t xml:space="preserve"> </w:t>
      </w:r>
      <w:r>
        <w:rPr>
          <w:rFonts w:hint="eastAsia"/>
        </w:rPr>
        <w:t>窦悦;郭明军;张琳颖;孙湛;曾丽.全国一体化数据交易场所体系的总体布局及推进路径研究[J].电子政务,2024(02):2-11.DOI:10.16582/j.cnki.dzzw.2024.02.001.</w:t>
      </w:r>
    </w:p>
  </w:footnote>
  <w:footnote w:id="1">
    <w:p>
      <w:pPr>
        <w:pStyle w:val="5"/>
      </w:pPr>
      <w:r>
        <w:rPr>
          <w:rStyle w:val="15"/>
        </w:rPr>
        <w:footnoteRef/>
      </w:r>
      <w:r>
        <w:rPr>
          <w:rFonts w:hint="eastAsia"/>
        </w:rPr>
        <w:t xml:space="preserve"> 挂牌数据截止2023年底，贵阳数据交易所是全国第一家数据流通交易场所、上海数据交易所是全国首发数商体系、海南数据产品超市是电信标杆案例、西部数据交易中心由国家发改委和中央网信办批复成立</w:t>
      </w:r>
    </w:p>
  </w:footnote>
  <w:footnote w:id="2">
    <w:p>
      <w:pPr>
        <w:pStyle w:val="5"/>
      </w:pPr>
      <w:r>
        <w:rPr>
          <w:rStyle w:val="15"/>
        </w:rPr>
        <w:footnoteRef/>
      </w:r>
      <w:r>
        <w:t xml:space="preserve"> </w:t>
      </w:r>
      <w:r>
        <w:rPr>
          <w:rFonts w:hint="eastAsia"/>
        </w:rPr>
        <w:t>按国民经济行业分类</w:t>
      </w:r>
    </w:p>
  </w:footnote>
  <w:footnote w:id="3">
    <w:p>
      <w:pPr>
        <w:pStyle w:val="5"/>
      </w:pPr>
      <w:r>
        <w:rPr>
          <w:rStyle w:val="15"/>
        </w:rPr>
        <w:footnoteRef/>
      </w:r>
      <w:r>
        <w:t xml:space="preserve"> </w:t>
      </w:r>
      <w:r>
        <w:rPr>
          <w:rFonts w:hint="eastAsia"/>
        </w:rPr>
        <w:t>只有贵阳数据交易所和海南省</w:t>
      </w:r>
      <w:r>
        <w:rPr>
          <w:rFonts w:hint="eastAsia"/>
          <w:lang w:val="en-US" w:eastAsia="zh-CN"/>
        </w:rPr>
        <w:t>数据</w:t>
      </w:r>
      <w:r>
        <w:rPr>
          <w:rFonts w:hint="eastAsia"/>
        </w:rPr>
        <w:t>产品超市提供访问量数据</w:t>
      </w:r>
    </w:p>
  </w:footnote>
  <w:footnote w:id="4">
    <w:p>
      <w:pPr>
        <w:pStyle w:val="5"/>
      </w:pPr>
      <w:r>
        <w:rPr>
          <w:rStyle w:val="15"/>
        </w:rPr>
        <w:footnoteRef/>
      </w:r>
      <w:r>
        <w:t xml:space="preserve"> </w:t>
      </w:r>
      <w:r>
        <w:rPr>
          <w:rFonts w:hint="eastAsia"/>
        </w:rPr>
        <w:t>上海数据交易所等发布《2023年中国数据交易市场研究分析报告》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CE738C"/>
    <w:multiLevelType w:val="singleLevel"/>
    <w:tmpl w:val="3CCE738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10"/>
    <w:footnote w:id="1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xOTAwZmEyM2ZlMTEyYjg4OWM2ZDJmOGE0YzhlNmQifQ=="/>
    <w:docVar w:name="KSO_WPS_MARK_KEY" w:val="c7ca5442-01ff-4fbc-b77a-5294293c4e1c"/>
  </w:docVars>
  <w:rsids>
    <w:rsidRoot w:val="0027544C"/>
    <w:rsid w:val="00054DE2"/>
    <w:rsid w:val="000740A6"/>
    <w:rsid w:val="0009782B"/>
    <w:rsid w:val="000D313F"/>
    <w:rsid w:val="001D146E"/>
    <w:rsid w:val="001D5AD5"/>
    <w:rsid w:val="001E556D"/>
    <w:rsid w:val="001F483F"/>
    <w:rsid w:val="001F49EF"/>
    <w:rsid w:val="0027544C"/>
    <w:rsid w:val="00382679"/>
    <w:rsid w:val="003B4754"/>
    <w:rsid w:val="003C59D6"/>
    <w:rsid w:val="00407886"/>
    <w:rsid w:val="00420492"/>
    <w:rsid w:val="00440925"/>
    <w:rsid w:val="00481069"/>
    <w:rsid w:val="0048716D"/>
    <w:rsid w:val="004974C7"/>
    <w:rsid w:val="00586BB5"/>
    <w:rsid w:val="005B1CB4"/>
    <w:rsid w:val="006A3632"/>
    <w:rsid w:val="00733F81"/>
    <w:rsid w:val="00793DD4"/>
    <w:rsid w:val="007D3BFD"/>
    <w:rsid w:val="0081492D"/>
    <w:rsid w:val="00A01B4C"/>
    <w:rsid w:val="00A469A1"/>
    <w:rsid w:val="00AB558B"/>
    <w:rsid w:val="00B36D67"/>
    <w:rsid w:val="00B96D08"/>
    <w:rsid w:val="00BE2A3B"/>
    <w:rsid w:val="00CA5839"/>
    <w:rsid w:val="00CE668F"/>
    <w:rsid w:val="00E44BA8"/>
    <w:rsid w:val="00F51B1E"/>
    <w:rsid w:val="00F5514E"/>
    <w:rsid w:val="00FB62F5"/>
    <w:rsid w:val="013E15AA"/>
    <w:rsid w:val="01917A1D"/>
    <w:rsid w:val="01A1605B"/>
    <w:rsid w:val="01B65452"/>
    <w:rsid w:val="023A389D"/>
    <w:rsid w:val="02443D58"/>
    <w:rsid w:val="03345433"/>
    <w:rsid w:val="036D07D5"/>
    <w:rsid w:val="041A3828"/>
    <w:rsid w:val="041B1D37"/>
    <w:rsid w:val="04651478"/>
    <w:rsid w:val="047E2C70"/>
    <w:rsid w:val="04980088"/>
    <w:rsid w:val="04B37805"/>
    <w:rsid w:val="04E83A31"/>
    <w:rsid w:val="04EF3F4D"/>
    <w:rsid w:val="052765C6"/>
    <w:rsid w:val="05283099"/>
    <w:rsid w:val="05B1295C"/>
    <w:rsid w:val="05B47EFA"/>
    <w:rsid w:val="05C052FA"/>
    <w:rsid w:val="061B71F5"/>
    <w:rsid w:val="0678463D"/>
    <w:rsid w:val="06CD6E17"/>
    <w:rsid w:val="06EB273B"/>
    <w:rsid w:val="07580622"/>
    <w:rsid w:val="075E49AD"/>
    <w:rsid w:val="07687F11"/>
    <w:rsid w:val="07D835D8"/>
    <w:rsid w:val="08285FB7"/>
    <w:rsid w:val="08A92BAE"/>
    <w:rsid w:val="08BF747F"/>
    <w:rsid w:val="09094A66"/>
    <w:rsid w:val="09756A36"/>
    <w:rsid w:val="09D077CC"/>
    <w:rsid w:val="09D66D80"/>
    <w:rsid w:val="0A5A2C31"/>
    <w:rsid w:val="0ABA2988"/>
    <w:rsid w:val="0B2D6EBB"/>
    <w:rsid w:val="0B8759FB"/>
    <w:rsid w:val="0C564D28"/>
    <w:rsid w:val="0CE34075"/>
    <w:rsid w:val="0D352AAD"/>
    <w:rsid w:val="0D611BD6"/>
    <w:rsid w:val="0DA6695A"/>
    <w:rsid w:val="0EA57424"/>
    <w:rsid w:val="0EC341AD"/>
    <w:rsid w:val="0ED56400"/>
    <w:rsid w:val="0EEF4FBF"/>
    <w:rsid w:val="0F2850D4"/>
    <w:rsid w:val="0F7C5652"/>
    <w:rsid w:val="0F8A7A0A"/>
    <w:rsid w:val="0FDB7689"/>
    <w:rsid w:val="10C61D50"/>
    <w:rsid w:val="10C77AC2"/>
    <w:rsid w:val="10D17E95"/>
    <w:rsid w:val="11722A4B"/>
    <w:rsid w:val="117910C1"/>
    <w:rsid w:val="11C60740"/>
    <w:rsid w:val="12BB41B0"/>
    <w:rsid w:val="13146DE3"/>
    <w:rsid w:val="13397CF4"/>
    <w:rsid w:val="13EB21F9"/>
    <w:rsid w:val="13FD75DE"/>
    <w:rsid w:val="14146105"/>
    <w:rsid w:val="143B2400"/>
    <w:rsid w:val="14596F72"/>
    <w:rsid w:val="152B320B"/>
    <w:rsid w:val="15840746"/>
    <w:rsid w:val="159D50AC"/>
    <w:rsid w:val="166478D1"/>
    <w:rsid w:val="1785474B"/>
    <w:rsid w:val="1794453F"/>
    <w:rsid w:val="17EB1AC3"/>
    <w:rsid w:val="191D0DEF"/>
    <w:rsid w:val="196C1A2A"/>
    <w:rsid w:val="19D7052B"/>
    <w:rsid w:val="1A652805"/>
    <w:rsid w:val="1AB82112"/>
    <w:rsid w:val="1AD77148"/>
    <w:rsid w:val="1B3708E2"/>
    <w:rsid w:val="1BAA6C0C"/>
    <w:rsid w:val="1BAC6412"/>
    <w:rsid w:val="1BBB23BC"/>
    <w:rsid w:val="1C5539AB"/>
    <w:rsid w:val="1D4B1F5B"/>
    <w:rsid w:val="1D4D4D0D"/>
    <w:rsid w:val="1DAF6046"/>
    <w:rsid w:val="1DC30469"/>
    <w:rsid w:val="1DD770C7"/>
    <w:rsid w:val="1DE4249D"/>
    <w:rsid w:val="1E08750E"/>
    <w:rsid w:val="1E0A3221"/>
    <w:rsid w:val="1EFD4F30"/>
    <w:rsid w:val="1F130856"/>
    <w:rsid w:val="1F2E2934"/>
    <w:rsid w:val="1F555FC7"/>
    <w:rsid w:val="1F612D62"/>
    <w:rsid w:val="1FF9030F"/>
    <w:rsid w:val="21371EDA"/>
    <w:rsid w:val="21933ED0"/>
    <w:rsid w:val="225D5C37"/>
    <w:rsid w:val="22EB7FE4"/>
    <w:rsid w:val="23007E1A"/>
    <w:rsid w:val="23196482"/>
    <w:rsid w:val="23EB1C25"/>
    <w:rsid w:val="24164DBB"/>
    <w:rsid w:val="24471BF7"/>
    <w:rsid w:val="24D74D98"/>
    <w:rsid w:val="25643C25"/>
    <w:rsid w:val="2613196A"/>
    <w:rsid w:val="26437C73"/>
    <w:rsid w:val="26B73CC4"/>
    <w:rsid w:val="26F27757"/>
    <w:rsid w:val="270D0281"/>
    <w:rsid w:val="27351CB2"/>
    <w:rsid w:val="27EA3CF5"/>
    <w:rsid w:val="28E73C67"/>
    <w:rsid w:val="291831BB"/>
    <w:rsid w:val="293D309F"/>
    <w:rsid w:val="29591D3F"/>
    <w:rsid w:val="29695CF7"/>
    <w:rsid w:val="2AA3202E"/>
    <w:rsid w:val="2AC00E31"/>
    <w:rsid w:val="2AD13F16"/>
    <w:rsid w:val="2B126E05"/>
    <w:rsid w:val="2B994E2A"/>
    <w:rsid w:val="2B9B263B"/>
    <w:rsid w:val="2C477BD7"/>
    <w:rsid w:val="2C4970C4"/>
    <w:rsid w:val="2C510EDE"/>
    <w:rsid w:val="2C9A60A2"/>
    <w:rsid w:val="2D1944EE"/>
    <w:rsid w:val="2DFA19DA"/>
    <w:rsid w:val="2E247B91"/>
    <w:rsid w:val="2E6A7C8F"/>
    <w:rsid w:val="2EA9088F"/>
    <w:rsid w:val="2EF06925"/>
    <w:rsid w:val="2EF343E2"/>
    <w:rsid w:val="2F434BA1"/>
    <w:rsid w:val="2F571BF3"/>
    <w:rsid w:val="2F9A414A"/>
    <w:rsid w:val="2FB11000"/>
    <w:rsid w:val="2FC94C08"/>
    <w:rsid w:val="310B6887"/>
    <w:rsid w:val="312F3D3C"/>
    <w:rsid w:val="314152E9"/>
    <w:rsid w:val="31421372"/>
    <w:rsid w:val="31642CFA"/>
    <w:rsid w:val="319D5437"/>
    <w:rsid w:val="320F4088"/>
    <w:rsid w:val="3459474F"/>
    <w:rsid w:val="34782837"/>
    <w:rsid w:val="34A31AB7"/>
    <w:rsid w:val="34D17605"/>
    <w:rsid w:val="34E73858"/>
    <w:rsid w:val="351837D2"/>
    <w:rsid w:val="35313A7D"/>
    <w:rsid w:val="35944F85"/>
    <w:rsid w:val="35D50D53"/>
    <w:rsid w:val="37533A8E"/>
    <w:rsid w:val="3797719A"/>
    <w:rsid w:val="37A6199F"/>
    <w:rsid w:val="382B01F5"/>
    <w:rsid w:val="38C817C4"/>
    <w:rsid w:val="38E47094"/>
    <w:rsid w:val="390E6E5A"/>
    <w:rsid w:val="39A07CBE"/>
    <w:rsid w:val="39D07613"/>
    <w:rsid w:val="39F5449E"/>
    <w:rsid w:val="3A081E63"/>
    <w:rsid w:val="3AAB1520"/>
    <w:rsid w:val="3AB97018"/>
    <w:rsid w:val="3AE66996"/>
    <w:rsid w:val="3B114049"/>
    <w:rsid w:val="3B4F46EA"/>
    <w:rsid w:val="3BCB0289"/>
    <w:rsid w:val="3BEB408E"/>
    <w:rsid w:val="3CBD0AD4"/>
    <w:rsid w:val="3CF64791"/>
    <w:rsid w:val="3D0313A7"/>
    <w:rsid w:val="3DA037A5"/>
    <w:rsid w:val="3E3143FD"/>
    <w:rsid w:val="3E5A6D05"/>
    <w:rsid w:val="3EE16B6E"/>
    <w:rsid w:val="3F106A32"/>
    <w:rsid w:val="3F623618"/>
    <w:rsid w:val="3F8C0AD9"/>
    <w:rsid w:val="3FBF23F5"/>
    <w:rsid w:val="3FEC246B"/>
    <w:rsid w:val="40314034"/>
    <w:rsid w:val="40DB217B"/>
    <w:rsid w:val="4129095F"/>
    <w:rsid w:val="412A5860"/>
    <w:rsid w:val="417B7397"/>
    <w:rsid w:val="423B3E7C"/>
    <w:rsid w:val="42574C98"/>
    <w:rsid w:val="42B40431"/>
    <w:rsid w:val="432D491D"/>
    <w:rsid w:val="43621B40"/>
    <w:rsid w:val="43693F2F"/>
    <w:rsid w:val="43875ADA"/>
    <w:rsid w:val="43AF12D6"/>
    <w:rsid w:val="43CD76AC"/>
    <w:rsid w:val="445D5616"/>
    <w:rsid w:val="44AA56C7"/>
    <w:rsid w:val="44B23C76"/>
    <w:rsid w:val="44C602C6"/>
    <w:rsid w:val="45126508"/>
    <w:rsid w:val="45D95740"/>
    <w:rsid w:val="45E16709"/>
    <w:rsid w:val="46214C3B"/>
    <w:rsid w:val="46920D79"/>
    <w:rsid w:val="46EB0ECD"/>
    <w:rsid w:val="472B0D96"/>
    <w:rsid w:val="47CF7BCB"/>
    <w:rsid w:val="48E0718F"/>
    <w:rsid w:val="490D501D"/>
    <w:rsid w:val="49311376"/>
    <w:rsid w:val="49336F67"/>
    <w:rsid w:val="495D3924"/>
    <w:rsid w:val="49830203"/>
    <w:rsid w:val="49D318F9"/>
    <w:rsid w:val="4A0A4480"/>
    <w:rsid w:val="4A45795D"/>
    <w:rsid w:val="4AA2290B"/>
    <w:rsid w:val="4B615609"/>
    <w:rsid w:val="4B6A1F80"/>
    <w:rsid w:val="4B840262"/>
    <w:rsid w:val="4C9864AA"/>
    <w:rsid w:val="4CC1282A"/>
    <w:rsid w:val="4CFB5ACB"/>
    <w:rsid w:val="4D0F1621"/>
    <w:rsid w:val="4D125AC7"/>
    <w:rsid w:val="4D9531FE"/>
    <w:rsid w:val="4DF865D7"/>
    <w:rsid w:val="4E53179E"/>
    <w:rsid w:val="4E7E05A2"/>
    <w:rsid w:val="4EF760F7"/>
    <w:rsid w:val="4F023D02"/>
    <w:rsid w:val="4FF35095"/>
    <w:rsid w:val="50435A33"/>
    <w:rsid w:val="508148CD"/>
    <w:rsid w:val="50B914F9"/>
    <w:rsid w:val="50C46A1D"/>
    <w:rsid w:val="51AD328A"/>
    <w:rsid w:val="51BB168D"/>
    <w:rsid w:val="51F11EE0"/>
    <w:rsid w:val="52744238"/>
    <w:rsid w:val="52A15B9E"/>
    <w:rsid w:val="53834E60"/>
    <w:rsid w:val="538D2423"/>
    <w:rsid w:val="53A05E52"/>
    <w:rsid w:val="54347887"/>
    <w:rsid w:val="54842C0D"/>
    <w:rsid w:val="54A37535"/>
    <w:rsid w:val="54C00A22"/>
    <w:rsid w:val="54FE4BE1"/>
    <w:rsid w:val="55D34F5E"/>
    <w:rsid w:val="55EB1662"/>
    <w:rsid w:val="56084FAB"/>
    <w:rsid w:val="5643222A"/>
    <w:rsid w:val="566B2ED1"/>
    <w:rsid w:val="566C1233"/>
    <w:rsid w:val="5761453F"/>
    <w:rsid w:val="57B2094D"/>
    <w:rsid w:val="581D3A18"/>
    <w:rsid w:val="586F19A9"/>
    <w:rsid w:val="58862FF5"/>
    <w:rsid w:val="59115BD4"/>
    <w:rsid w:val="592253A3"/>
    <w:rsid w:val="59D61635"/>
    <w:rsid w:val="5A875663"/>
    <w:rsid w:val="5ABE7D64"/>
    <w:rsid w:val="5B0355A1"/>
    <w:rsid w:val="5BED6AD3"/>
    <w:rsid w:val="5C287169"/>
    <w:rsid w:val="5DC723D6"/>
    <w:rsid w:val="5DE872DB"/>
    <w:rsid w:val="5DF610C7"/>
    <w:rsid w:val="5E0F34AB"/>
    <w:rsid w:val="5E730F7C"/>
    <w:rsid w:val="5EEE0C6F"/>
    <w:rsid w:val="5F1371A3"/>
    <w:rsid w:val="5F1C79D1"/>
    <w:rsid w:val="5F4F46B9"/>
    <w:rsid w:val="5FBA39E2"/>
    <w:rsid w:val="60495A3B"/>
    <w:rsid w:val="60676E1E"/>
    <w:rsid w:val="60A5402D"/>
    <w:rsid w:val="60C632E9"/>
    <w:rsid w:val="60DC595C"/>
    <w:rsid w:val="610712C2"/>
    <w:rsid w:val="61216C87"/>
    <w:rsid w:val="61795839"/>
    <w:rsid w:val="62695F3F"/>
    <w:rsid w:val="62A162C8"/>
    <w:rsid w:val="62E50F91"/>
    <w:rsid w:val="630227ED"/>
    <w:rsid w:val="634C27F6"/>
    <w:rsid w:val="634D11CB"/>
    <w:rsid w:val="63844E4C"/>
    <w:rsid w:val="63900CAA"/>
    <w:rsid w:val="63A06EC5"/>
    <w:rsid w:val="63B514A9"/>
    <w:rsid w:val="63DD752D"/>
    <w:rsid w:val="64734320"/>
    <w:rsid w:val="647C1140"/>
    <w:rsid w:val="64CC0858"/>
    <w:rsid w:val="64FF40DE"/>
    <w:rsid w:val="65046AA2"/>
    <w:rsid w:val="650E7F8C"/>
    <w:rsid w:val="653F727C"/>
    <w:rsid w:val="6569065F"/>
    <w:rsid w:val="657524D4"/>
    <w:rsid w:val="65C510A6"/>
    <w:rsid w:val="65C86E8A"/>
    <w:rsid w:val="662C0ABA"/>
    <w:rsid w:val="6679669D"/>
    <w:rsid w:val="67093C6F"/>
    <w:rsid w:val="6746412E"/>
    <w:rsid w:val="67AB0EFE"/>
    <w:rsid w:val="67B31798"/>
    <w:rsid w:val="67B35CFF"/>
    <w:rsid w:val="67CE299A"/>
    <w:rsid w:val="67F9538F"/>
    <w:rsid w:val="68C70C7E"/>
    <w:rsid w:val="68E3080F"/>
    <w:rsid w:val="68FC39E8"/>
    <w:rsid w:val="6A1230FA"/>
    <w:rsid w:val="6A1C20A1"/>
    <w:rsid w:val="6A2829D5"/>
    <w:rsid w:val="6AB434F7"/>
    <w:rsid w:val="6AED15B3"/>
    <w:rsid w:val="6B6E4D2E"/>
    <w:rsid w:val="6B990723"/>
    <w:rsid w:val="6BB05494"/>
    <w:rsid w:val="6C53092D"/>
    <w:rsid w:val="6CCC5597"/>
    <w:rsid w:val="6CD66A67"/>
    <w:rsid w:val="6D343E12"/>
    <w:rsid w:val="6D421A08"/>
    <w:rsid w:val="6D8111F0"/>
    <w:rsid w:val="6DC11C50"/>
    <w:rsid w:val="6DD30EA9"/>
    <w:rsid w:val="6E70290C"/>
    <w:rsid w:val="6E9043CC"/>
    <w:rsid w:val="6F536DE3"/>
    <w:rsid w:val="6F5E1C22"/>
    <w:rsid w:val="6F617124"/>
    <w:rsid w:val="6FE54576"/>
    <w:rsid w:val="6FF702F2"/>
    <w:rsid w:val="6FFD2D97"/>
    <w:rsid w:val="709F51DF"/>
    <w:rsid w:val="714D675F"/>
    <w:rsid w:val="71542765"/>
    <w:rsid w:val="71E026C6"/>
    <w:rsid w:val="72021400"/>
    <w:rsid w:val="72315002"/>
    <w:rsid w:val="729D02C2"/>
    <w:rsid w:val="72AD28E2"/>
    <w:rsid w:val="72BD0BAE"/>
    <w:rsid w:val="73517D90"/>
    <w:rsid w:val="739B2D8C"/>
    <w:rsid w:val="74123AFC"/>
    <w:rsid w:val="748A0AB1"/>
    <w:rsid w:val="74B94537"/>
    <w:rsid w:val="758F751D"/>
    <w:rsid w:val="76CD0799"/>
    <w:rsid w:val="77025562"/>
    <w:rsid w:val="777F3A89"/>
    <w:rsid w:val="779A497C"/>
    <w:rsid w:val="77A273BD"/>
    <w:rsid w:val="77FA2483"/>
    <w:rsid w:val="78414C98"/>
    <w:rsid w:val="7869397D"/>
    <w:rsid w:val="786F0A53"/>
    <w:rsid w:val="78763BB7"/>
    <w:rsid w:val="789D4332"/>
    <w:rsid w:val="78D0505A"/>
    <w:rsid w:val="78D31816"/>
    <w:rsid w:val="792135C8"/>
    <w:rsid w:val="793C4BD3"/>
    <w:rsid w:val="79461AE0"/>
    <w:rsid w:val="79A8392E"/>
    <w:rsid w:val="79C30024"/>
    <w:rsid w:val="79D23C88"/>
    <w:rsid w:val="7A93379E"/>
    <w:rsid w:val="7AAD201A"/>
    <w:rsid w:val="7AB74D82"/>
    <w:rsid w:val="7C7A477A"/>
    <w:rsid w:val="7CB85B52"/>
    <w:rsid w:val="7CCE1670"/>
    <w:rsid w:val="7D364FB1"/>
    <w:rsid w:val="7D453C16"/>
    <w:rsid w:val="7D8934E7"/>
    <w:rsid w:val="7DA10339"/>
    <w:rsid w:val="7DBA2005"/>
    <w:rsid w:val="7DF757B6"/>
    <w:rsid w:val="7E40266C"/>
    <w:rsid w:val="7E4D7032"/>
    <w:rsid w:val="7E6F22B8"/>
    <w:rsid w:val="7EC32874"/>
    <w:rsid w:val="7F046C92"/>
    <w:rsid w:val="7F55461E"/>
    <w:rsid w:val="7F63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8"/>
    <w:uiPriority w:val="0"/>
    <w:pPr>
      <w:jc w:val="left"/>
    </w:pPr>
  </w:style>
  <w:style w:type="paragraph" w:styleId="4">
    <w:name w:val="Balloon Text"/>
    <w:basedOn w:val="1"/>
    <w:link w:val="20"/>
    <w:uiPriority w:val="0"/>
    <w:rPr>
      <w:sz w:val="18"/>
      <w:szCs w:val="18"/>
    </w:rPr>
  </w:style>
  <w:style w:type="paragraph" w:styleId="5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7">
    <w:name w:val="annotation subject"/>
    <w:basedOn w:val="3"/>
    <w:next w:val="3"/>
    <w:link w:val="19"/>
    <w:uiPriority w:val="0"/>
    <w:rPr>
      <w:b/>
      <w:bCs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Emphasis"/>
    <w:basedOn w:val="9"/>
    <w:qFormat/>
    <w:uiPriority w:val="0"/>
    <w:rPr>
      <w:i/>
    </w:rPr>
  </w:style>
  <w:style w:type="character" w:styleId="13">
    <w:name w:val="Hyperlink"/>
    <w:basedOn w:val="9"/>
    <w:qFormat/>
    <w:uiPriority w:val="0"/>
    <w:rPr>
      <w:color w:val="0000FF"/>
      <w:u w:val="single"/>
    </w:rPr>
  </w:style>
  <w:style w:type="character" w:styleId="14">
    <w:name w:val="annotation reference"/>
    <w:basedOn w:val="9"/>
    <w:uiPriority w:val="0"/>
    <w:rPr>
      <w:sz w:val="21"/>
      <w:szCs w:val="21"/>
    </w:rPr>
  </w:style>
  <w:style w:type="character" w:styleId="15">
    <w:name w:val="footnote reference"/>
    <w:basedOn w:val="9"/>
    <w:qFormat/>
    <w:uiPriority w:val="0"/>
    <w:rPr>
      <w:vertAlign w:val="superscript"/>
    </w:rPr>
  </w:style>
  <w:style w:type="character" w:customStyle="1" w:styleId="16">
    <w:name w:val="font11"/>
    <w:basedOn w:val="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17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8">
    <w:name w:val="批注文字 字符"/>
    <w:basedOn w:val="9"/>
    <w:link w:val="3"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9">
    <w:name w:val="批注主题 字符"/>
    <w:basedOn w:val="18"/>
    <w:link w:val="7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20">
    <w:name w:val="批注框文本 字符"/>
    <w:basedOn w:val="9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emf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emf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2995</Words>
  <Characters>3071</Characters>
  <Lines>24</Lines>
  <Paragraphs>7</Paragraphs>
  <TotalTime>6</TotalTime>
  <ScaleCrop>false</ScaleCrop>
  <LinksUpToDate>false</LinksUpToDate>
  <CharactersWithSpaces>3072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2024-05-17T06:24:00Z</dcterms:created>
  <dc:creator>hp</dc:creator>
  <cp:lastModifiedBy>田盼</cp:lastModifiedBy>
  <dcterms:modified xsi:type="dcterms:W3CDTF">2024-05-20T01:02:33Z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7E537DF717804E1FACBFBC2A11A6E042_13</vt:lpwstr>
  </property>
</Properties>
</file>